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D5CBE" w14:textId="4668CA03"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06FBCA8E" w14:textId="77777777"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049661C9" w14:textId="77777777"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18321857" w14:textId="77777777"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54DC7D8C" w14:textId="77777777"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29C949B0" w14:textId="77777777" w:rsidR="009B1A5F" w:rsidRPr="00F012F1" w:rsidRDefault="009B1A5F" w:rsidP="009B1A5F">
      <w:pPr>
        <w:pStyle w:val="doc-ti"/>
        <w:shd w:val="clear" w:color="auto" w:fill="FFFFFF"/>
        <w:spacing w:before="0" w:beforeAutospacing="0" w:after="0" w:afterAutospacing="0" w:line="312" w:lineRule="atLeast"/>
        <w:ind w:left="-1417"/>
        <w:jc w:val="center"/>
        <w:rPr>
          <w:rFonts w:ascii="Arial" w:hAnsi="Arial" w:cs="Arial"/>
          <w:noProof/>
          <w:lang w:val="en-US"/>
        </w:rPr>
      </w:pPr>
    </w:p>
    <w:p w14:paraId="324546E4" w14:textId="77777777" w:rsidR="00CB202F" w:rsidRPr="00052BAC" w:rsidRDefault="00CB202F" w:rsidP="00A52920">
      <w:pPr>
        <w:pStyle w:val="doc-ti"/>
        <w:shd w:val="clear" w:color="auto" w:fill="FFFFFF"/>
        <w:spacing w:before="0" w:beforeAutospacing="0" w:after="0" w:afterAutospacing="0" w:line="312" w:lineRule="atLeast"/>
        <w:ind w:left="-1417"/>
        <w:jc w:val="center"/>
        <w:rPr>
          <w:rFonts w:ascii="Arial" w:hAnsi="Arial" w:cs="Arial"/>
          <w:noProof/>
          <w:lang w:val="en-US"/>
        </w:rPr>
      </w:pPr>
    </w:p>
    <w:p w14:paraId="26BD5DC4" w14:textId="77777777" w:rsidR="00CB202F" w:rsidRPr="00052BAC" w:rsidRDefault="00CB202F" w:rsidP="00A52920">
      <w:pPr>
        <w:pStyle w:val="doc-ti"/>
        <w:shd w:val="clear" w:color="auto" w:fill="FFFFFF"/>
        <w:spacing w:before="0" w:beforeAutospacing="0" w:after="0" w:afterAutospacing="0" w:line="312" w:lineRule="atLeast"/>
        <w:ind w:left="-1417"/>
        <w:jc w:val="center"/>
        <w:rPr>
          <w:rFonts w:ascii="Arial" w:hAnsi="Arial" w:cs="Arial"/>
          <w:noProof/>
          <w:lang w:val="en-US"/>
        </w:rPr>
      </w:pPr>
    </w:p>
    <w:p w14:paraId="49C2DFE0" w14:textId="77777777" w:rsidR="00CB202F" w:rsidRPr="00052BAC" w:rsidRDefault="00CB202F" w:rsidP="00A52920">
      <w:pPr>
        <w:pStyle w:val="doc-ti"/>
        <w:shd w:val="clear" w:color="auto" w:fill="FFFFFF"/>
        <w:spacing w:before="0" w:beforeAutospacing="0" w:after="0" w:afterAutospacing="0" w:line="312" w:lineRule="atLeast"/>
        <w:ind w:left="-1417"/>
        <w:jc w:val="center"/>
        <w:rPr>
          <w:rFonts w:ascii="Arial" w:hAnsi="Arial" w:cs="Arial"/>
          <w:noProof/>
          <w:lang w:val="en-US"/>
        </w:rPr>
      </w:pPr>
    </w:p>
    <w:p w14:paraId="54136CA4" w14:textId="77777777" w:rsidR="00CB202F" w:rsidRPr="005A3BDE" w:rsidRDefault="00CB202F" w:rsidP="00A52920">
      <w:pPr>
        <w:pStyle w:val="doc-ti"/>
        <w:shd w:val="clear" w:color="auto" w:fill="FFFFFF"/>
        <w:spacing w:before="0" w:beforeAutospacing="0" w:after="0" w:afterAutospacing="0" w:line="312" w:lineRule="atLeast"/>
        <w:ind w:left="-1417"/>
        <w:jc w:val="center"/>
        <w:rPr>
          <w:rFonts w:ascii="Arial" w:eastAsia="Calibri" w:hAnsi="Arial" w:cs="Arial"/>
          <w:sz w:val="40"/>
          <w:szCs w:val="40"/>
          <w:lang w:val="en-GB"/>
        </w:rPr>
      </w:pPr>
      <w:r w:rsidRPr="005A3BDE">
        <w:rPr>
          <w:rFonts w:ascii="Arial" w:eastAsia="Calibri" w:hAnsi="Arial" w:cs="Arial"/>
          <w:sz w:val="40"/>
          <w:szCs w:val="40"/>
          <w:lang w:val="en-GB"/>
        </w:rPr>
        <w:t>Article 10 (SFDR)</w:t>
      </w:r>
    </w:p>
    <w:p w14:paraId="083BA85F" w14:textId="4FC0276C" w:rsidR="00CB202F" w:rsidRPr="005A3BDE" w:rsidRDefault="00CB202F" w:rsidP="00A52920">
      <w:pPr>
        <w:shd w:val="clear" w:color="auto" w:fill="17365D" w:themeFill="text2" w:themeFillShade="BF"/>
        <w:spacing w:after="0" w:line="240" w:lineRule="auto"/>
        <w:ind w:right="-141" w:hanging="1417"/>
        <w:jc w:val="center"/>
        <w:rPr>
          <w:rFonts w:ascii="Arial" w:eastAsia="Calibri" w:hAnsi="Arial" w:cs="Arial"/>
          <w:i/>
          <w:sz w:val="40"/>
          <w:szCs w:val="40"/>
          <w:lang w:val="en-GB"/>
        </w:rPr>
      </w:pPr>
      <w:r w:rsidRPr="005A3BDE">
        <w:rPr>
          <w:rFonts w:ascii="Arial" w:eastAsia="Calibri" w:hAnsi="Arial" w:cs="Arial"/>
          <w:sz w:val="40"/>
          <w:szCs w:val="40"/>
          <w:lang w:val="en-GB"/>
        </w:rPr>
        <w:t xml:space="preserve">Website disclosure for an article </w:t>
      </w:r>
      <w:r>
        <w:rPr>
          <w:rFonts w:ascii="Arial" w:eastAsia="Calibri" w:hAnsi="Arial" w:cs="Arial"/>
          <w:sz w:val="40"/>
          <w:szCs w:val="40"/>
          <w:lang w:val="en-GB"/>
        </w:rPr>
        <w:t>8</w:t>
      </w:r>
      <w:r w:rsidRPr="005A3BDE">
        <w:rPr>
          <w:rFonts w:ascii="Arial" w:eastAsia="Calibri" w:hAnsi="Arial" w:cs="Arial"/>
          <w:sz w:val="40"/>
          <w:szCs w:val="40"/>
          <w:lang w:val="en-GB"/>
        </w:rPr>
        <w:t xml:space="preserve"> fund</w:t>
      </w:r>
    </w:p>
    <w:p w14:paraId="73B7015A" w14:textId="77777777" w:rsidR="00CB202F" w:rsidRPr="005A3BDE" w:rsidRDefault="00CB202F" w:rsidP="00A52920">
      <w:pPr>
        <w:tabs>
          <w:tab w:val="left" w:pos="2268"/>
        </w:tabs>
        <w:spacing w:after="0"/>
        <w:ind w:hanging="1417"/>
        <w:jc w:val="center"/>
        <w:rPr>
          <w:rFonts w:ascii="Arial" w:hAnsi="Arial" w:cs="Arial"/>
          <w:b/>
          <w:sz w:val="40"/>
          <w:szCs w:val="40"/>
          <w:lang w:val="en-GB"/>
        </w:rPr>
      </w:pPr>
    </w:p>
    <w:p w14:paraId="4EBBC66A" w14:textId="37E71F90" w:rsidR="00CB202F" w:rsidRPr="005A3BDE" w:rsidRDefault="003D7EF2" w:rsidP="00A52920">
      <w:pPr>
        <w:tabs>
          <w:tab w:val="left" w:pos="2268"/>
        </w:tabs>
        <w:spacing w:after="0"/>
        <w:ind w:hanging="1417"/>
        <w:jc w:val="center"/>
        <w:rPr>
          <w:rFonts w:ascii="Arial" w:hAnsi="Arial" w:cs="Arial"/>
          <w:b/>
          <w:sz w:val="40"/>
          <w:szCs w:val="40"/>
          <w:lang w:val="en-GB"/>
        </w:rPr>
      </w:pPr>
      <w:r>
        <w:rPr>
          <w:rFonts w:ascii="Arial" w:hAnsi="Arial" w:cs="Arial"/>
          <w:b/>
          <w:sz w:val="40"/>
          <w:szCs w:val="40"/>
          <w:lang w:val="en-GB"/>
        </w:rPr>
        <w:t>Bootstrap Europe IV SCSp</w:t>
      </w:r>
    </w:p>
    <w:p w14:paraId="14B7BFEE" w14:textId="77777777" w:rsidR="00CB202F" w:rsidRPr="005A3BDE" w:rsidRDefault="00CB202F" w:rsidP="00CB202F">
      <w:pPr>
        <w:rPr>
          <w:rFonts w:ascii="Arial" w:hAnsi="Arial" w:cs="Arial"/>
          <w:sz w:val="40"/>
          <w:szCs w:val="40"/>
          <w:lang w:val="en-US"/>
        </w:rPr>
      </w:pPr>
      <w:r w:rsidRPr="005A3BDE">
        <w:rPr>
          <w:rFonts w:ascii="Arial" w:hAnsi="Arial" w:cs="Arial"/>
          <w:sz w:val="40"/>
          <w:szCs w:val="40"/>
          <w:lang w:val="en-US"/>
        </w:rPr>
        <w:br w:type="page"/>
      </w:r>
    </w:p>
    <w:tbl>
      <w:tblPr>
        <w:tblStyle w:val="TableGrid"/>
        <w:tblW w:w="10916" w:type="dxa"/>
        <w:tblInd w:w="-856" w:type="dxa"/>
        <w:tblLook w:val="04A0" w:firstRow="1" w:lastRow="0" w:firstColumn="1" w:lastColumn="0" w:noHBand="0" w:noVBand="1"/>
      </w:tblPr>
      <w:tblGrid>
        <w:gridCol w:w="562"/>
        <w:gridCol w:w="10354"/>
      </w:tblGrid>
      <w:tr w:rsidR="00CF6EC8" w:rsidRPr="00F012F1" w14:paraId="7CD9EBD6" w14:textId="77777777" w:rsidTr="0065264E">
        <w:tc>
          <w:tcPr>
            <w:tcW w:w="562" w:type="dxa"/>
          </w:tcPr>
          <w:p w14:paraId="3155A895" w14:textId="35B426CD" w:rsidR="00CF6EC8" w:rsidRPr="00F012F1" w:rsidRDefault="00CF6EC8" w:rsidP="0065264E">
            <w:pPr>
              <w:rPr>
                <w:rFonts w:ascii="Arial" w:hAnsi="Arial" w:cs="Arial"/>
                <w:sz w:val="24"/>
                <w:szCs w:val="24"/>
                <w:lang w:val="en-US"/>
              </w:rPr>
            </w:pPr>
            <w:r w:rsidRPr="00F012F1">
              <w:rPr>
                <w:rFonts w:ascii="Arial" w:hAnsi="Arial" w:cs="Arial"/>
                <w:sz w:val="24"/>
                <w:szCs w:val="24"/>
                <w:lang w:val="en-US"/>
              </w:rPr>
              <w:lastRenderedPageBreak/>
              <w:t>A</w:t>
            </w:r>
          </w:p>
        </w:tc>
        <w:tc>
          <w:tcPr>
            <w:tcW w:w="10354" w:type="dxa"/>
          </w:tcPr>
          <w:p w14:paraId="3E311AB2" w14:textId="000E79E5" w:rsidR="00CF6EC8" w:rsidRPr="00F012F1" w:rsidRDefault="00CF6EC8" w:rsidP="0065264E">
            <w:pPr>
              <w:rPr>
                <w:rFonts w:ascii="Arial" w:hAnsi="Arial" w:cs="Arial"/>
                <w:sz w:val="24"/>
                <w:szCs w:val="24"/>
                <w:u w:val="single"/>
                <w:lang w:val="en-US"/>
              </w:rPr>
            </w:pPr>
            <w:r w:rsidRPr="00F012F1">
              <w:rPr>
                <w:rFonts w:ascii="Arial" w:hAnsi="Arial" w:cs="Arial"/>
                <w:sz w:val="24"/>
                <w:szCs w:val="24"/>
                <w:u w:val="single"/>
                <w:lang w:val="en-US"/>
              </w:rPr>
              <w:t>SUMMARY</w:t>
            </w:r>
          </w:p>
        </w:tc>
      </w:tr>
      <w:tr w:rsidR="00F012F1" w:rsidRPr="00F020CA" w14:paraId="3ED3D558" w14:textId="77777777" w:rsidTr="0065264E">
        <w:tc>
          <w:tcPr>
            <w:tcW w:w="562" w:type="dxa"/>
          </w:tcPr>
          <w:p w14:paraId="67519996" w14:textId="77777777" w:rsidR="00CF6EC8" w:rsidRPr="00F012F1" w:rsidRDefault="00CF6EC8" w:rsidP="0065264E">
            <w:pPr>
              <w:rPr>
                <w:rFonts w:ascii="Arial" w:hAnsi="Arial" w:cs="Arial"/>
                <w:sz w:val="24"/>
                <w:szCs w:val="24"/>
                <w:lang w:val="en-US"/>
              </w:rPr>
            </w:pPr>
          </w:p>
        </w:tc>
        <w:tc>
          <w:tcPr>
            <w:tcW w:w="10354" w:type="dxa"/>
          </w:tcPr>
          <w:p w14:paraId="50B9BE4C" w14:textId="511798B1" w:rsidR="00CF6EC8" w:rsidRPr="00F012F1" w:rsidRDefault="00CF6EC8" w:rsidP="0065264E">
            <w:pPr>
              <w:rPr>
                <w:rFonts w:ascii="Arial" w:hAnsi="Arial" w:cs="Arial"/>
                <w:sz w:val="24"/>
                <w:szCs w:val="24"/>
                <w:lang w:val="en-US"/>
              </w:rPr>
            </w:pPr>
          </w:p>
          <w:p w14:paraId="03EDC9B4" w14:textId="77777777"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Partnership will make investments by financing, through the subscription, acquisition or any other form of investment of Debt Securities, innovative companies with an operational focus or base in Europe or backed by European venture investors.</w:t>
            </w:r>
          </w:p>
          <w:p w14:paraId="545FACB2" w14:textId="77777777" w:rsidR="003D7EF2" w:rsidRPr="003D7EF2" w:rsidRDefault="003D7EF2" w:rsidP="003D7EF2">
            <w:pPr>
              <w:rPr>
                <w:rFonts w:ascii="Arial" w:hAnsi="Arial" w:cs="Arial"/>
                <w:bCs/>
                <w:sz w:val="24"/>
                <w:szCs w:val="24"/>
                <w:lang w:val="en-GB"/>
              </w:rPr>
            </w:pPr>
          </w:p>
          <w:p w14:paraId="75710C3E" w14:textId="77777777"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Partnership's objective is not only to protect the down-side risk but to construct a portfolio of warrants of the best performing European backed or based technology and innovation companies</w:t>
            </w:r>
          </w:p>
          <w:p w14:paraId="0CEF8FBA" w14:textId="69E5DF4B"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Partnership targets innovative and/or backed by venture investors or return-incentivised investors. The European venture capital investment by industry sectors shows that healthcare, information technology and telecoms account for around 83% of the total investments by deal value and around 61% by number of deals. These numbers are used by the General Partner and Investment Advisers as guidance in sourcing Investments.</w:t>
            </w:r>
          </w:p>
          <w:p w14:paraId="5D6986F2" w14:textId="77777777" w:rsidR="003D7EF2" w:rsidRPr="003D7EF2" w:rsidRDefault="003D7EF2" w:rsidP="003D7EF2">
            <w:pPr>
              <w:rPr>
                <w:rFonts w:ascii="Arial" w:hAnsi="Arial" w:cs="Arial"/>
                <w:bCs/>
                <w:sz w:val="24"/>
                <w:szCs w:val="24"/>
                <w:lang w:val="en-GB"/>
              </w:rPr>
            </w:pPr>
          </w:p>
          <w:p w14:paraId="346ACA7B" w14:textId="77777777"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target jurisdictions are United Kingdom, France, Germany, Switzerland, Austria, Denmark, Sweden, Norway, Finland, Belgium, the Netherlands, Luxembourg and Spain. Additional jurisdictions may be added as may be decided.</w:t>
            </w:r>
          </w:p>
          <w:p w14:paraId="7FE69EFB" w14:textId="77777777" w:rsidR="003D7EF2" w:rsidRPr="003D7EF2" w:rsidRDefault="003D7EF2" w:rsidP="003D7EF2">
            <w:pPr>
              <w:rPr>
                <w:rFonts w:ascii="Arial" w:hAnsi="Arial" w:cs="Arial"/>
                <w:bCs/>
                <w:sz w:val="24"/>
                <w:szCs w:val="24"/>
                <w:lang w:val="en-GB"/>
              </w:rPr>
            </w:pPr>
          </w:p>
          <w:p w14:paraId="4D6DFC44" w14:textId="77777777"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Partnership may lend to companies incorporated or operating outside of Europe but that have strong ties to Europe due to their investors, history or operational focus, provided that the General Partner has sufficient level of comfort with the applicable regulatory environment.</w:t>
            </w:r>
          </w:p>
          <w:p w14:paraId="0F73AAED" w14:textId="77777777" w:rsidR="003D7EF2" w:rsidRPr="003D7EF2" w:rsidRDefault="003D7EF2" w:rsidP="003D7EF2">
            <w:pPr>
              <w:rPr>
                <w:rFonts w:ascii="Arial" w:hAnsi="Arial" w:cs="Arial"/>
                <w:bCs/>
                <w:sz w:val="24"/>
                <w:szCs w:val="24"/>
                <w:lang w:val="en-GB"/>
              </w:rPr>
            </w:pPr>
          </w:p>
          <w:p w14:paraId="637100FD" w14:textId="77777777" w:rsidR="003D7EF2" w:rsidRPr="003D7EF2" w:rsidRDefault="003D7EF2" w:rsidP="003D7EF2">
            <w:pPr>
              <w:rPr>
                <w:rFonts w:ascii="Arial" w:hAnsi="Arial" w:cs="Arial"/>
                <w:bCs/>
                <w:sz w:val="24"/>
                <w:szCs w:val="24"/>
                <w:lang w:val="en-GB"/>
              </w:rPr>
            </w:pPr>
            <w:r w:rsidRPr="003D7EF2">
              <w:rPr>
                <w:rFonts w:ascii="Arial" w:hAnsi="Arial" w:cs="Arial"/>
                <w:bCs/>
                <w:sz w:val="24"/>
                <w:szCs w:val="24"/>
                <w:lang w:val="en-GB"/>
              </w:rPr>
              <w:t>The General Partner will take all necessary efforts to ensure that issuers of Investments and borrowers of the Partnership are not of bad repute or operate at the time of the initial investment by the Partnership in a business or sector that could reasonably be expected as being not of good repute or whose activities contravenes the law or generally accepted standards of moral or ethical behaviour or is affiliated with such activities.</w:t>
            </w:r>
          </w:p>
          <w:p w14:paraId="013FE146" w14:textId="77777777" w:rsidR="003D7EF2" w:rsidRPr="003D7EF2" w:rsidRDefault="003D7EF2" w:rsidP="003D7EF2">
            <w:pPr>
              <w:rPr>
                <w:rFonts w:ascii="Arial" w:hAnsi="Arial" w:cs="Arial"/>
                <w:bCs/>
                <w:sz w:val="24"/>
                <w:szCs w:val="24"/>
                <w:lang w:val="en-GB"/>
              </w:rPr>
            </w:pPr>
          </w:p>
          <w:p w14:paraId="1149A81A" w14:textId="5B2DF01C" w:rsidR="005B3DB7" w:rsidRPr="00F012F1" w:rsidRDefault="003D7EF2" w:rsidP="003D7EF2">
            <w:pPr>
              <w:rPr>
                <w:rFonts w:ascii="Arial" w:hAnsi="Arial" w:cs="Arial"/>
                <w:sz w:val="24"/>
                <w:szCs w:val="24"/>
                <w:lang w:val="en-US"/>
              </w:rPr>
            </w:pPr>
            <w:r w:rsidRPr="003D7EF2">
              <w:rPr>
                <w:rFonts w:ascii="Arial" w:hAnsi="Arial" w:cs="Arial"/>
                <w:bCs/>
                <w:sz w:val="24"/>
                <w:szCs w:val="24"/>
                <w:lang w:val="en-GB"/>
              </w:rPr>
              <w:t xml:space="preserve">Bootstrap Europe supports thriving industries across the globe, from green energy and genetic testing to SaaS, ﬁntech and smarter city solutions; the team’s collective experience has ensured that our portfolio includes some of Europe’s fastest, </w:t>
            </w:r>
            <w:proofErr w:type="gramStart"/>
            <w:r w:rsidRPr="003D7EF2">
              <w:rPr>
                <w:rFonts w:ascii="Arial" w:hAnsi="Arial" w:cs="Arial"/>
                <w:bCs/>
                <w:sz w:val="24"/>
                <w:szCs w:val="24"/>
                <w:lang w:val="en-GB"/>
              </w:rPr>
              <w:t>socially-focused</w:t>
            </w:r>
            <w:proofErr w:type="gramEnd"/>
            <w:r w:rsidRPr="003D7EF2">
              <w:rPr>
                <w:rFonts w:ascii="Arial" w:hAnsi="Arial" w:cs="Arial"/>
                <w:bCs/>
                <w:sz w:val="24"/>
                <w:szCs w:val="24"/>
                <w:lang w:val="en-GB"/>
              </w:rPr>
              <w:t xml:space="preserve"> scale-up businesses. Whether it’s deep-tech, sustainable manufacturing solutions or ethical money remittance tools, each of our partners work with us because we understand the ins and outs of creating a sustainable business that’s making a positive impact today and for the good of the future. </w:t>
            </w:r>
            <w:bookmarkStart w:id="0" w:name="_Hlk147244898"/>
            <w:r w:rsidRPr="003D7EF2">
              <w:rPr>
                <w:rFonts w:ascii="Arial" w:hAnsi="Arial" w:cs="Arial"/>
                <w:bCs/>
                <w:sz w:val="24"/>
                <w:szCs w:val="24"/>
                <w:lang w:val="en-GB"/>
              </w:rPr>
              <w:t xml:space="preserve"> </w:t>
            </w:r>
            <w:bookmarkEnd w:id="0"/>
          </w:p>
          <w:p w14:paraId="4220C905" w14:textId="77777777" w:rsidR="00B85C60" w:rsidRDefault="00B85C60" w:rsidP="0065264E">
            <w:pPr>
              <w:rPr>
                <w:rFonts w:ascii="Arial" w:hAnsi="Arial" w:cs="Arial"/>
                <w:sz w:val="24"/>
                <w:szCs w:val="24"/>
                <w:u w:val="single"/>
                <w:lang w:val="en-US"/>
              </w:rPr>
            </w:pPr>
          </w:p>
          <w:p w14:paraId="2893A7D5" w14:textId="77777777" w:rsidR="00F020CA" w:rsidRDefault="00F020CA" w:rsidP="0065264E">
            <w:pPr>
              <w:rPr>
                <w:rFonts w:ascii="Arial" w:hAnsi="Arial" w:cs="Arial"/>
                <w:sz w:val="24"/>
                <w:szCs w:val="24"/>
                <w:lang w:val="en-US"/>
              </w:rPr>
            </w:pPr>
            <w:r w:rsidRPr="00F020CA">
              <w:rPr>
                <w:rFonts w:ascii="Arial" w:hAnsi="Arial" w:cs="Arial"/>
                <w:sz w:val="24"/>
                <w:szCs w:val="24"/>
                <w:lang w:val="en-US"/>
              </w:rPr>
              <w:t xml:space="preserve">The Fund will seek to achieve its investment objective through the Fund’s investment in, and taking exposure to, a diversified portfolio of loans and Debt Securities.  </w:t>
            </w:r>
          </w:p>
          <w:p w14:paraId="13ED2741" w14:textId="77777777" w:rsidR="00F020CA" w:rsidRDefault="00F020CA" w:rsidP="0065264E">
            <w:pPr>
              <w:rPr>
                <w:rFonts w:ascii="Arial" w:hAnsi="Arial" w:cs="Arial"/>
                <w:sz w:val="24"/>
                <w:szCs w:val="24"/>
                <w:lang w:val="en-US"/>
              </w:rPr>
            </w:pPr>
            <w:r w:rsidRPr="00F020CA">
              <w:rPr>
                <w:rFonts w:ascii="Arial" w:hAnsi="Arial" w:cs="Arial"/>
                <w:sz w:val="24"/>
                <w:szCs w:val="24"/>
                <w:lang w:val="en-US"/>
              </w:rPr>
              <w:t xml:space="preserve">The investment strategy of the Fund does not have sustainable investments within the meaning of the (EU) Regulation 2019/2088 (“SFDR”) as its objective.  </w:t>
            </w:r>
          </w:p>
          <w:p w14:paraId="309ED0E8" w14:textId="1E5C41BE" w:rsidR="00F020CA" w:rsidRPr="00DC1FB0" w:rsidRDefault="00F020CA" w:rsidP="00F020CA">
            <w:pPr>
              <w:rPr>
                <w:rFonts w:ascii="Arial" w:hAnsi="Arial" w:cs="Arial"/>
                <w:sz w:val="24"/>
                <w:szCs w:val="24"/>
                <w:lang w:val="en-GB"/>
              </w:rPr>
            </w:pPr>
            <w:r w:rsidRPr="00F020CA">
              <w:rPr>
                <w:rFonts w:ascii="Arial" w:hAnsi="Arial" w:cs="Arial"/>
                <w:sz w:val="24"/>
                <w:szCs w:val="24"/>
                <w:lang w:val="en-US"/>
              </w:rPr>
              <w:t>The Fund's exclusion policy is enforced from the outset of the investment process and remains in effect throughout the entire lifespan of the Fund.</w:t>
            </w:r>
            <w:r>
              <w:rPr>
                <w:rFonts w:ascii="Arial" w:hAnsi="Arial" w:cs="Arial"/>
                <w:sz w:val="24"/>
                <w:szCs w:val="24"/>
                <w:lang w:val="en-US"/>
              </w:rPr>
              <w:t xml:space="preserve"> </w:t>
            </w:r>
            <w:r w:rsidR="00DC1FB0" w:rsidRPr="00DC1FB0">
              <w:rPr>
                <w:rFonts w:ascii="Arial" w:hAnsi="Arial" w:cs="Arial"/>
                <w:sz w:val="24"/>
                <w:szCs w:val="24"/>
                <w:lang w:val="en-US"/>
              </w:rPr>
              <w:t>The financial product is aligned with strict exclusion criteria based on the European Investment Fund (EIF) and International Finance Corporation (IFC) exclusion lists.</w:t>
            </w:r>
          </w:p>
          <w:p w14:paraId="478010C3" w14:textId="77777777" w:rsidR="00F020CA" w:rsidRDefault="00F020CA" w:rsidP="0065264E">
            <w:pPr>
              <w:rPr>
                <w:rFonts w:ascii="Arial" w:hAnsi="Arial" w:cs="Arial"/>
                <w:sz w:val="24"/>
                <w:szCs w:val="24"/>
                <w:lang w:val="en-US"/>
              </w:rPr>
            </w:pPr>
          </w:p>
          <w:p w14:paraId="57E819D7" w14:textId="0A9B4181" w:rsidR="00F020CA" w:rsidRDefault="00F020CA" w:rsidP="0065264E">
            <w:pPr>
              <w:rPr>
                <w:rFonts w:ascii="Arial" w:hAnsi="Arial" w:cs="Arial"/>
                <w:sz w:val="24"/>
                <w:szCs w:val="24"/>
                <w:lang w:val="en-US"/>
              </w:rPr>
            </w:pPr>
            <w:r>
              <w:rPr>
                <w:rFonts w:ascii="Arial" w:hAnsi="Arial" w:cs="Arial"/>
                <w:sz w:val="24"/>
                <w:szCs w:val="24"/>
                <w:lang w:val="en-US"/>
              </w:rPr>
              <w:t xml:space="preserve">The framework to achieve this is set out through the following </w:t>
            </w:r>
            <w:r w:rsidR="00CC1042">
              <w:rPr>
                <w:rFonts w:ascii="Arial" w:hAnsi="Arial" w:cs="Arial"/>
                <w:sz w:val="24"/>
                <w:szCs w:val="24"/>
                <w:lang w:val="en-US"/>
              </w:rPr>
              <w:t>sections below</w:t>
            </w:r>
            <w:r>
              <w:rPr>
                <w:rFonts w:ascii="Arial" w:hAnsi="Arial" w:cs="Arial"/>
                <w:sz w:val="24"/>
                <w:szCs w:val="24"/>
                <w:lang w:val="en-US"/>
              </w:rPr>
              <w:t>:</w:t>
            </w:r>
          </w:p>
          <w:p w14:paraId="310D852D" w14:textId="36657739" w:rsidR="00F020CA" w:rsidRPr="00F020CA" w:rsidRDefault="00F020CA" w:rsidP="00F020CA">
            <w:pPr>
              <w:pStyle w:val="ListParagraph"/>
              <w:numPr>
                <w:ilvl w:val="0"/>
                <w:numId w:val="40"/>
              </w:numPr>
              <w:rPr>
                <w:rFonts w:ascii="Arial" w:hAnsi="Arial" w:cs="Arial"/>
                <w:sz w:val="24"/>
                <w:szCs w:val="24"/>
                <w:lang w:val="en-US"/>
              </w:rPr>
            </w:pPr>
            <w:r w:rsidRPr="00F020CA">
              <w:rPr>
                <w:rFonts w:ascii="Arial" w:hAnsi="Arial" w:cs="Arial"/>
                <w:sz w:val="24"/>
                <w:szCs w:val="24"/>
                <w:lang w:val="en-US"/>
              </w:rPr>
              <w:t>Summary</w:t>
            </w:r>
          </w:p>
          <w:p w14:paraId="0587661F" w14:textId="0BBE5DED" w:rsidR="00F020CA" w:rsidRDefault="00F020CA" w:rsidP="00F020CA">
            <w:pPr>
              <w:pStyle w:val="ListParagraph"/>
              <w:numPr>
                <w:ilvl w:val="0"/>
                <w:numId w:val="40"/>
              </w:numPr>
              <w:rPr>
                <w:rFonts w:ascii="Arial" w:hAnsi="Arial" w:cs="Arial"/>
                <w:sz w:val="24"/>
                <w:szCs w:val="24"/>
                <w:lang w:val="en-US"/>
              </w:rPr>
            </w:pPr>
            <w:r>
              <w:rPr>
                <w:rFonts w:ascii="Arial" w:hAnsi="Arial" w:cs="Arial"/>
                <w:sz w:val="24"/>
                <w:szCs w:val="24"/>
                <w:lang w:val="en-US"/>
              </w:rPr>
              <w:t>Sustainable investment objective</w:t>
            </w:r>
          </w:p>
          <w:p w14:paraId="24F1054B" w14:textId="2E9F19EA" w:rsidR="00F020CA" w:rsidRDefault="00F020CA" w:rsidP="0065264E">
            <w:pPr>
              <w:pStyle w:val="ListParagraph"/>
              <w:numPr>
                <w:ilvl w:val="0"/>
                <w:numId w:val="40"/>
              </w:numPr>
              <w:rPr>
                <w:rFonts w:ascii="Arial" w:hAnsi="Arial" w:cs="Arial"/>
                <w:sz w:val="24"/>
                <w:szCs w:val="24"/>
                <w:lang w:val="en-US"/>
              </w:rPr>
            </w:pPr>
            <w:r>
              <w:rPr>
                <w:rFonts w:ascii="Arial" w:hAnsi="Arial" w:cs="Arial"/>
                <w:sz w:val="24"/>
                <w:szCs w:val="24"/>
                <w:lang w:val="en-US"/>
              </w:rPr>
              <w:t>Environmental/social characteristics</w:t>
            </w:r>
          </w:p>
          <w:p w14:paraId="173A93DF" w14:textId="77777777" w:rsidR="00F020CA" w:rsidRDefault="00F020CA" w:rsidP="005E3AC3">
            <w:pPr>
              <w:pStyle w:val="ListParagraph"/>
              <w:numPr>
                <w:ilvl w:val="0"/>
                <w:numId w:val="40"/>
              </w:numPr>
              <w:rPr>
                <w:rFonts w:ascii="Arial" w:hAnsi="Arial" w:cs="Arial"/>
                <w:sz w:val="24"/>
                <w:szCs w:val="24"/>
                <w:lang w:val="en-US"/>
              </w:rPr>
            </w:pPr>
            <w:r w:rsidRPr="00F020CA">
              <w:rPr>
                <w:rFonts w:ascii="Arial" w:hAnsi="Arial" w:cs="Arial"/>
                <w:sz w:val="24"/>
                <w:szCs w:val="24"/>
                <w:lang w:val="en-US"/>
              </w:rPr>
              <w:lastRenderedPageBreak/>
              <w:t>Investment strategy</w:t>
            </w:r>
          </w:p>
          <w:p w14:paraId="35A6CA25" w14:textId="77777777" w:rsidR="00F020CA" w:rsidRDefault="00F020CA" w:rsidP="001F2E56">
            <w:pPr>
              <w:pStyle w:val="ListParagraph"/>
              <w:numPr>
                <w:ilvl w:val="0"/>
                <w:numId w:val="40"/>
              </w:numPr>
              <w:rPr>
                <w:rFonts w:ascii="Arial" w:hAnsi="Arial" w:cs="Arial"/>
                <w:sz w:val="24"/>
                <w:szCs w:val="24"/>
                <w:lang w:val="en-US"/>
              </w:rPr>
            </w:pPr>
            <w:r w:rsidRPr="00F020CA">
              <w:rPr>
                <w:rFonts w:ascii="Arial" w:hAnsi="Arial" w:cs="Arial"/>
                <w:sz w:val="24"/>
                <w:szCs w:val="24"/>
                <w:lang w:val="en-US"/>
              </w:rPr>
              <w:t>Proportion of investments</w:t>
            </w:r>
          </w:p>
          <w:p w14:paraId="213D5079" w14:textId="0DA0ACC2" w:rsidR="00F020CA" w:rsidRDefault="00F020CA" w:rsidP="001F2E56">
            <w:pPr>
              <w:pStyle w:val="ListParagraph"/>
              <w:numPr>
                <w:ilvl w:val="0"/>
                <w:numId w:val="40"/>
              </w:numPr>
              <w:rPr>
                <w:rFonts w:ascii="Arial" w:hAnsi="Arial" w:cs="Arial"/>
                <w:sz w:val="24"/>
                <w:szCs w:val="24"/>
                <w:lang w:val="en-US"/>
              </w:rPr>
            </w:pPr>
            <w:r>
              <w:rPr>
                <w:rFonts w:ascii="Arial" w:hAnsi="Arial" w:cs="Arial"/>
                <w:sz w:val="24"/>
                <w:szCs w:val="24"/>
                <w:lang w:val="en-US"/>
              </w:rPr>
              <w:t>Monitoring of environmental/social characteristics</w:t>
            </w:r>
          </w:p>
          <w:p w14:paraId="73417363" w14:textId="77777777" w:rsidR="00F020CA" w:rsidRDefault="00F020CA" w:rsidP="00FA34CE">
            <w:pPr>
              <w:pStyle w:val="ListParagraph"/>
              <w:numPr>
                <w:ilvl w:val="0"/>
                <w:numId w:val="40"/>
              </w:numPr>
              <w:rPr>
                <w:rFonts w:ascii="Arial" w:hAnsi="Arial" w:cs="Arial"/>
                <w:sz w:val="24"/>
                <w:szCs w:val="24"/>
                <w:lang w:val="en-US"/>
              </w:rPr>
            </w:pPr>
            <w:r w:rsidRPr="00F020CA">
              <w:rPr>
                <w:rFonts w:ascii="Arial" w:hAnsi="Arial" w:cs="Arial"/>
                <w:sz w:val="24"/>
                <w:szCs w:val="24"/>
                <w:lang w:val="en-US"/>
              </w:rPr>
              <w:t>Methodologies</w:t>
            </w:r>
          </w:p>
          <w:p w14:paraId="2C83000D" w14:textId="77777777" w:rsidR="00F020CA" w:rsidRDefault="00F020CA" w:rsidP="005F097E">
            <w:pPr>
              <w:pStyle w:val="ListParagraph"/>
              <w:numPr>
                <w:ilvl w:val="0"/>
                <w:numId w:val="40"/>
              </w:numPr>
              <w:rPr>
                <w:rFonts w:ascii="Arial" w:hAnsi="Arial" w:cs="Arial"/>
                <w:sz w:val="24"/>
                <w:szCs w:val="24"/>
                <w:lang w:val="en-US"/>
              </w:rPr>
            </w:pPr>
            <w:r w:rsidRPr="00F020CA">
              <w:rPr>
                <w:rFonts w:ascii="Arial" w:hAnsi="Arial" w:cs="Arial"/>
                <w:sz w:val="24"/>
                <w:szCs w:val="24"/>
                <w:lang w:val="en-US"/>
              </w:rPr>
              <w:t>Data sources and processing</w:t>
            </w:r>
          </w:p>
          <w:p w14:paraId="119776CF" w14:textId="77777777" w:rsidR="00F020CA" w:rsidRPr="00F020CA" w:rsidRDefault="00F020CA" w:rsidP="002718EB">
            <w:pPr>
              <w:pStyle w:val="ListParagraph"/>
              <w:numPr>
                <w:ilvl w:val="0"/>
                <w:numId w:val="40"/>
              </w:numPr>
              <w:rPr>
                <w:rFonts w:ascii="Arial" w:hAnsi="Arial" w:cs="Arial"/>
                <w:sz w:val="24"/>
                <w:szCs w:val="24"/>
                <w:lang w:val="fr-FR"/>
              </w:rPr>
            </w:pPr>
            <w:r w:rsidRPr="00F020CA">
              <w:rPr>
                <w:rFonts w:ascii="Arial" w:hAnsi="Arial" w:cs="Arial"/>
                <w:sz w:val="24"/>
                <w:szCs w:val="24"/>
                <w:lang w:val="en-US"/>
              </w:rPr>
              <w:t>Limitations to methodologies and dat</w:t>
            </w:r>
            <w:r>
              <w:rPr>
                <w:rFonts w:ascii="Arial" w:hAnsi="Arial" w:cs="Arial"/>
                <w:sz w:val="24"/>
                <w:szCs w:val="24"/>
                <w:lang w:val="en-US"/>
              </w:rPr>
              <w:t>a</w:t>
            </w:r>
          </w:p>
          <w:p w14:paraId="70DB9CF2" w14:textId="77777777" w:rsidR="00F020CA" w:rsidRDefault="00F020CA" w:rsidP="006E64E4">
            <w:pPr>
              <w:pStyle w:val="ListParagraph"/>
              <w:numPr>
                <w:ilvl w:val="0"/>
                <w:numId w:val="40"/>
              </w:numPr>
              <w:rPr>
                <w:rFonts w:ascii="Arial" w:hAnsi="Arial" w:cs="Arial"/>
                <w:sz w:val="24"/>
                <w:szCs w:val="24"/>
                <w:lang w:val="fr-FR"/>
              </w:rPr>
            </w:pPr>
            <w:r w:rsidRPr="00F020CA">
              <w:rPr>
                <w:rFonts w:ascii="Arial" w:hAnsi="Arial" w:cs="Arial"/>
                <w:sz w:val="24"/>
                <w:szCs w:val="24"/>
                <w:lang w:val="fr-FR"/>
              </w:rPr>
              <w:t>Due diligence</w:t>
            </w:r>
          </w:p>
          <w:p w14:paraId="1D1367F8" w14:textId="683914B0" w:rsidR="00F020CA" w:rsidRPr="00F020CA" w:rsidRDefault="00F020CA" w:rsidP="006E64E4">
            <w:pPr>
              <w:pStyle w:val="ListParagraph"/>
              <w:numPr>
                <w:ilvl w:val="0"/>
                <w:numId w:val="40"/>
              </w:numPr>
              <w:rPr>
                <w:rFonts w:ascii="Arial" w:hAnsi="Arial" w:cs="Arial"/>
                <w:sz w:val="24"/>
                <w:szCs w:val="24"/>
                <w:lang w:val="fr-FR"/>
              </w:rPr>
            </w:pPr>
            <w:r w:rsidRPr="00F020CA">
              <w:rPr>
                <w:rFonts w:ascii="Arial" w:hAnsi="Arial" w:cs="Arial"/>
                <w:sz w:val="24"/>
                <w:szCs w:val="24"/>
                <w:lang w:val="fr-FR"/>
              </w:rPr>
              <w:t>Engagement policies</w:t>
            </w:r>
          </w:p>
          <w:p w14:paraId="2D25CDE5" w14:textId="77777777" w:rsidR="00F020CA" w:rsidRPr="00F020CA" w:rsidRDefault="00F020CA" w:rsidP="0065264E">
            <w:pPr>
              <w:rPr>
                <w:rFonts w:ascii="Arial" w:hAnsi="Arial" w:cs="Arial"/>
                <w:sz w:val="24"/>
                <w:szCs w:val="24"/>
                <w:u w:val="single"/>
                <w:lang w:val="fr-FR"/>
              </w:rPr>
            </w:pPr>
          </w:p>
          <w:p w14:paraId="407E0D5F" w14:textId="439A5CF6" w:rsidR="00F020CA" w:rsidRPr="00F020CA" w:rsidRDefault="00F020CA" w:rsidP="0065264E">
            <w:pPr>
              <w:rPr>
                <w:rFonts w:ascii="Arial" w:hAnsi="Arial" w:cs="Arial"/>
                <w:sz w:val="24"/>
                <w:szCs w:val="24"/>
                <w:u w:val="single"/>
                <w:lang w:val="fr-FR"/>
              </w:rPr>
            </w:pPr>
          </w:p>
        </w:tc>
      </w:tr>
      <w:tr w:rsidR="00F012F1" w:rsidRPr="00F012F1" w14:paraId="27989498" w14:textId="77777777" w:rsidTr="0065264E">
        <w:tc>
          <w:tcPr>
            <w:tcW w:w="562" w:type="dxa"/>
          </w:tcPr>
          <w:p w14:paraId="443ECDBC" w14:textId="5B4169CA" w:rsidR="00D70F89" w:rsidRPr="00F012F1" w:rsidRDefault="00CF6EC8" w:rsidP="0065264E">
            <w:pPr>
              <w:rPr>
                <w:rFonts w:ascii="Arial" w:hAnsi="Arial" w:cs="Arial"/>
                <w:sz w:val="24"/>
                <w:szCs w:val="24"/>
                <w:lang w:val="en-US"/>
              </w:rPr>
            </w:pPr>
            <w:r w:rsidRPr="00F012F1">
              <w:rPr>
                <w:rFonts w:ascii="Arial" w:hAnsi="Arial" w:cs="Arial"/>
                <w:sz w:val="24"/>
                <w:szCs w:val="24"/>
                <w:lang w:val="en-US"/>
              </w:rPr>
              <w:lastRenderedPageBreak/>
              <w:t>B</w:t>
            </w:r>
          </w:p>
        </w:tc>
        <w:tc>
          <w:tcPr>
            <w:tcW w:w="10354" w:type="dxa"/>
          </w:tcPr>
          <w:p w14:paraId="38678475" w14:textId="165C2272" w:rsidR="00D70F89" w:rsidRPr="00F012F1" w:rsidRDefault="00CF6EC8" w:rsidP="0065264E">
            <w:pPr>
              <w:rPr>
                <w:rFonts w:ascii="Arial" w:hAnsi="Arial" w:cs="Arial"/>
                <w:sz w:val="24"/>
                <w:szCs w:val="24"/>
                <w:u w:val="single"/>
                <w:lang w:val="en-US"/>
              </w:rPr>
            </w:pPr>
            <w:r w:rsidRPr="00F012F1">
              <w:rPr>
                <w:rFonts w:ascii="Arial" w:hAnsi="Arial" w:cs="Arial"/>
                <w:sz w:val="24"/>
                <w:szCs w:val="24"/>
                <w:u w:val="single"/>
                <w:lang w:val="en-US"/>
              </w:rPr>
              <w:t xml:space="preserve">NO </w:t>
            </w:r>
            <w:r w:rsidR="00D70F89" w:rsidRPr="00F012F1">
              <w:rPr>
                <w:rFonts w:ascii="Arial" w:hAnsi="Arial" w:cs="Arial"/>
                <w:sz w:val="24"/>
                <w:szCs w:val="24"/>
                <w:u w:val="single"/>
                <w:lang w:val="en-US"/>
              </w:rPr>
              <w:t>SUSTAINABLE INVESTMENT OBJECTIVE</w:t>
            </w:r>
          </w:p>
          <w:p w14:paraId="76514A34" w14:textId="77777777" w:rsidR="00D70F89" w:rsidRPr="00F012F1" w:rsidRDefault="00D70F89" w:rsidP="0065264E">
            <w:pPr>
              <w:rPr>
                <w:rFonts w:ascii="Arial" w:hAnsi="Arial" w:cs="Arial"/>
                <w:sz w:val="24"/>
                <w:szCs w:val="24"/>
                <w:lang w:val="en-US"/>
              </w:rPr>
            </w:pPr>
          </w:p>
        </w:tc>
      </w:tr>
      <w:tr w:rsidR="00F012F1" w:rsidRPr="00CC1042" w14:paraId="592B2DA1" w14:textId="77777777" w:rsidTr="0065264E">
        <w:tc>
          <w:tcPr>
            <w:tcW w:w="562" w:type="dxa"/>
          </w:tcPr>
          <w:p w14:paraId="23894DAF" w14:textId="77777777" w:rsidR="00D70F89" w:rsidRPr="00F012F1" w:rsidRDefault="00D70F89" w:rsidP="0065264E">
            <w:pPr>
              <w:rPr>
                <w:rFonts w:ascii="Arial" w:hAnsi="Arial" w:cs="Arial"/>
                <w:sz w:val="24"/>
                <w:szCs w:val="24"/>
                <w:lang w:val="en-US"/>
              </w:rPr>
            </w:pPr>
          </w:p>
        </w:tc>
        <w:tc>
          <w:tcPr>
            <w:tcW w:w="10354" w:type="dxa"/>
          </w:tcPr>
          <w:p w14:paraId="6575EA78" w14:textId="6E528E47" w:rsidR="00D70F89" w:rsidRPr="003D7EF2" w:rsidRDefault="003D7EF2" w:rsidP="0065264E">
            <w:pPr>
              <w:jc w:val="both"/>
              <w:rPr>
                <w:rFonts w:ascii="Arial" w:eastAsia="Open Sans" w:hAnsi="Arial" w:cs="Arial"/>
                <w:sz w:val="24"/>
                <w:szCs w:val="24"/>
                <w:lang w:val="en-GB" w:eastAsia="en-GB"/>
              </w:rPr>
            </w:pPr>
            <w:r w:rsidRPr="003D7EF2">
              <w:rPr>
                <w:rFonts w:ascii="Arial" w:eastAsia="Open Sans" w:hAnsi="Arial" w:cs="Arial"/>
                <w:i/>
                <w:iCs/>
                <w:sz w:val="24"/>
                <w:szCs w:val="24"/>
                <w:lang w:val="en-GB" w:eastAsia="en-GB"/>
              </w:rPr>
              <w:t>This financial product promotes environmental or social characteristics but does not have as its objective sustainable investment.</w:t>
            </w:r>
          </w:p>
          <w:p w14:paraId="3561AFDA" w14:textId="77777777" w:rsidR="005B3DB7" w:rsidRPr="00F012F1" w:rsidRDefault="005B3DB7" w:rsidP="0065264E">
            <w:pPr>
              <w:jc w:val="both"/>
              <w:rPr>
                <w:rFonts w:ascii="Arial" w:eastAsia="Open Sans" w:hAnsi="Arial" w:cs="Arial"/>
                <w:sz w:val="24"/>
                <w:szCs w:val="24"/>
                <w:lang w:val="en-US" w:eastAsia="en-GB"/>
              </w:rPr>
            </w:pPr>
          </w:p>
          <w:p w14:paraId="77B0EAC3" w14:textId="77777777" w:rsidR="00D70F89" w:rsidRPr="00F012F1" w:rsidRDefault="00D70F89" w:rsidP="0065264E">
            <w:pPr>
              <w:rPr>
                <w:rFonts w:ascii="Arial" w:hAnsi="Arial" w:cs="Arial"/>
                <w:sz w:val="24"/>
                <w:szCs w:val="24"/>
                <w:lang w:val="en-US"/>
              </w:rPr>
            </w:pPr>
          </w:p>
        </w:tc>
      </w:tr>
      <w:tr w:rsidR="00F012F1" w:rsidRPr="00CC1042" w14:paraId="1DCA58B5" w14:textId="77777777" w:rsidTr="0065264E">
        <w:tc>
          <w:tcPr>
            <w:tcW w:w="562" w:type="dxa"/>
          </w:tcPr>
          <w:p w14:paraId="68825DD1" w14:textId="77844E56" w:rsidR="00D70F89" w:rsidRPr="00F012F1" w:rsidRDefault="00CF6EC8" w:rsidP="0065264E">
            <w:pPr>
              <w:rPr>
                <w:rFonts w:ascii="Arial" w:hAnsi="Arial" w:cs="Arial"/>
                <w:sz w:val="24"/>
                <w:szCs w:val="24"/>
                <w:lang w:val="en-US"/>
              </w:rPr>
            </w:pPr>
            <w:r w:rsidRPr="00F012F1">
              <w:rPr>
                <w:rFonts w:ascii="Arial" w:hAnsi="Arial" w:cs="Arial"/>
                <w:sz w:val="24"/>
                <w:szCs w:val="24"/>
                <w:lang w:val="en-US"/>
              </w:rPr>
              <w:t>C</w:t>
            </w:r>
          </w:p>
        </w:tc>
        <w:tc>
          <w:tcPr>
            <w:tcW w:w="10354" w:type="dxa"/>
          </w:tcPr>
          <w:p w14:paraId="6C55FD14" w14:textId="77777777" w:rsidR="00D70F89" w:rsidRPr="00F012F1" w:rsidRDefault="00D70F89" w:rsidP="0065264E">
            <w:pPr>
              <w:rPr>
                <w:rFonts w:ascii="Arial" w:hAnsi="Arial" w:cs="Arial"/>
                <w:sz w:val="24"/>
                <w:szCs w:val="24"/>
                <w:u w:val="single"/>
                <w:lang w:val="en-US"/>
              </w:rPr>
            </w:pPr>
            <w:r w:rsidRPr="00F012F1">
              <w:rPr>
                <w:rFonts w:ascii="Arial" w:hAnsi="Arial" w:cs="Arial"/>
                <w:sz w:val="24"/>
                <w:szCs w:val="24"/>
                <w:u w:val="single"/>
                <w:lang w:val="en-US"/>
              </w:rPr>
              <w:t>ENVIRONMENTAL OR SOCIAL CHARACTERISTICS OF THE FINANCIAL PRODUCT</w:t>
            </w:r>
          </w:p>
          <w:p w14:paraId="39DAE685" w14:textId="77777777" w:rsidR="00D70F89" w:rsidRPr="00F012F1" w:rsidRDefault="00D70F89" w:rsidP="0065264E">
            <w:pPr>
              <w:rPr>
                <w:rFonts w:ascii="Arial" w:hAnsi="Arial" w:cs="Arial"/>
                <w:sz w:val="24"/>
                <w:szCs w:val="24"/>
                <w:u w:val="single"/>
                <w:lang w:val="en-US"/>
              </w:rPr>
            </w:pPr>
          </w:p>
        </w:tc>
      </w:tr>
      <w:tr w:rsidR="00F012F1" w:rsidRPr="00CC1042" w14:paraId="558E37C5" w14:textId="77777777" w:rsidTr="0065264E">
        <w:tc>
          <w:tcPr>
            <w:tcW w:w="562" w:type="dxa"/>
          </w:tcPr>
          <w:p w14:paraId="76B9C9CE" w14:textId="77777777" w:rsidR="00D70F89" w:rsidRPr="00F012F1" w:rsidRDefault="00D70F89" w:rsidP="0065264E">
            <w:pPr>
              <w:rPr>
                <w:rFonts w:ascii="Arial" w:hAnsi="Arial" w:cs="Arial"/>
                <w:sz w:val="24"/>
                <w:szCs w:val="24"/>
                <w:lang w:val="en-US"/>
              </w:rPr>
            </w:pPr>
          </w:p>
        </w:tc>
        <w:tc>
          <w:tcPr>
            <w:tcW w:w="10354" w:type="dxa"/>
          </w:tcPr>
          <w:p w14:paraId="0BB10D31" w14:textId="77777777" w:rsidR="00C326B9" w:rsidRDefault="003D7EF2" w:rsidP="0065264E">
            <w:pPr>
              <w:jc w:val="both"/>
              <w:rPr>
                <w:rFonts w:ascii="Arial" w:eastAsia="Open Sans" w:hAnsi="Arial" w:cs="Arial"/>
                <w:sz w:val="24"/>
                <w:szCs w:val="24"/>
                <w:lang w:val="en-GB" w:eastAsia="en-GB"/>
              </w:rPr>
            </w:pPr>
            <w:r>
              <w:rPr>
                <w:rFonts w:ascii="Arial" w:eastAsia="Open Sans" w:hAnsi="Arial" w:cs="Arial"/>
                <w:sz w:val="24"/>
                <w:szCs w:val="24"/>
                <w:lang w:val="en-GB" w:eastAsia="en-GB"/>
              </w:rPr>
              <w:t>Through the investment strategy the financial product promotes environmental and social characteristics. Examples include</w:t>
            </w:r>
            <w:r w:rsidR="00C326B9">
              <w:rPr>
                <w:rFonts w:ascii="Arial" w:eastAsia="Open Sans" w:hAnsi="Arial" w:cs="Arial"/>
                <w:sz w:val="24"/>
                <w:szCs w:val="24"/>
                <w:lang w:val="en-GB" w:eastAsia="en-GB"/>
              </w:rPr>
              <w:t>:</w:t>
            </w:r>
          </w:p>
          <w:p w14:paraId="05E503B5" w14:textId="2A9BB796" w:rsidR="00C326B9" w:rsidRDefault="00C326B9" w:rsidP="00C326B9">
            <w:pPr>
              <w:pStyle w:val="ListParagraph"/>
              <w:numPr>
                <w:ilvl w:val="0"/>
                <w:numId w:val="39"/>
              </w:numPr>
              <w:jc w:val="both"/>
              <w:rPr>
                <w:rFonts w:ascii="Arial" w:eastAsia="Open Sans" w:hAnsi="Arial" w:cs="Arial"/>
                <w:sz w:val="24"/>
                <w:szCs w:val="24"/>
                <w:lang w:val="en-GB" w:eastAsia="en-GB"/>
              </w:rPr>
            </w:pPr>
            <w:r>
              <w:rPr>
                <w:rFonts w:ascii="Arial" w:eastAsia="Open Sans" w:hAnsi="Arial" w:cs="Arial"/>
                <w:sz w:val="24"/>
                <w:szCs w:val="24"/>
                <w:lang w:val="en-GB" w:eastAsia="en-GB"/>
              </w:rPr>
              <w:t xml:space="preserve">Diversity: what percentage of the workforce, senior management and the board are from a minority </w:t>
            </w:r>
            <w:r w:rsidR="00CC1042">
              <w:rPr>
                <w:rFonts w:ascii="Arial" w:eastAsia="Open Sans" w:hAnsi="Arial" w:cs="Arial"/>
                <w:sz w:val="24"/>
                <w:szCs w:val="24"/>
                <w:lang w:val="en-GB" w:eastAsia="en-GB"/>
              </w:rPr>
              <w:t>background and</w:t>
            </w:r>
            <w:r>
              <w:rPr>
                <w:rFonts w:ascii="Arial" w:eastAsia="Open Sans" w:hAnsi="Arial" w:cs="Arial"/>
                <w:sz w:val="24"/>
                <w:szCs w:val="24"/>
                <w:lang w:val="en-GB" w:eastAsia="en-GB"/>
              </w:rPr>
              <w:t xml:space="preserve"> based also on gender.</w:t>
            </w:r>
          </w:p>
          <w:p w14:paraId="4683FC0C" w14:textId="1164F5C2" w:rsidR="00C326B9" w:rsidRDefault="00C326B9" w:rsidP="00C326B9">
            <w:pPr>
              <w:pStyle w:val="ListParagraph"/>
              <w:numPr>
                <w:ilvl w:val="0"/>
                <w:numId w:val="39"/>
              </w:numPr>
              <w:jc w:val="both"/>
              <w:rPr>
                <w:rFonts w:ascii="Arial" w:eastAsia="Open Sans" w:hAnsi="Arial" w:cs="Arial"/>
                <w:sz w:val="24"/>
                <w:szCs w:val="24"/>
                <w:lang w:val="en-GB" w:eastAsia="en-GB"/>
              </w:rPr>
            </w:pPr>
            <w:r>
              <w:rPr>
                <w:rFonts w:ascii="Arial" w:eastAsia="Open Sans" w:hAnsi="Arial" w:cs="Arial"/>
                <w:sz w:val="24"/>
                <w:szCs w:val="24"/>
                <w:lang w:val="en-GB" w:eastAsia="en-GB"/>
              </w:rPr>
              <w:t>Energy Consumption: various metrics tracked including water usage (Litres), energy consumption (scope 1 /2 where relevant)</w:t>
            </w:r>
          </w:p>
          <w:p w14:paraId="2DFDA2DB" w14:textId="63E82CB9" w:rsidR="00C326B9" w:rsidRDefault="00201797" w:rsidP="00C326B9">
            <w:pPr>
              <w:pStyle w:val="ListParagraph"/>
              <w:numPr>
                <w:ilvl w:val="0"/>
                <w:numId w:val="39"/>
              </w:numPr>
              <w:jc w:val="both"/>
              <w:rPr>
                <w:rFonts w:ascii="Arial" w:eastAsia="Open Sans" w:hAnsi="Arial" w:cs="Arial"/>
                <w:sz w:val="24"/>
                <w:szCs w:val="24"/>
                <w:lang w:val="en-GB" w:eastAsia="en-GB"/>
              </w:rPr>
            </w:pPr>
            <w:r>
              <w:rPr>
                <w:rFonts w:ascii="Arial" w:eastAsia="Open Sans" w:hAnsi="Arial" w:cs="Arial"/>
                <w:sz w:val="24"/>
                <w:szCs w:val="24"/>
                <w:lang w:val="en-GB" w:eastAsia="en-GB"/>
              </w:rPr>
              <w:t>Engagement</w:t>
            </w:r>
            <w:r w:rsidR="00C326B9">
              <w:rPr>
                <w:rFonts w:ascii="Arial" w:eastAsia="Open Sans" w:hAnsi="Arial" w:cs="Arial"/>
                <w:sz w:val="24"/>
                <w:szCs w:val="24"/>
                <w:lang w:val="en-GB" w:eastAsia="en-GB"/>
              </w:rPr>
              <w:t xml:space="preserve"> with ESG topics: what proportion have sustainability as a topic on their board, have an ESG policy, Have a </w:t>
            </w:r>
            <w:r>
              <w:rPr>
                <w:rFonts w:ascii="Arial" w:eastAsia="Open Sans" w:hAnsi="Arial" w:cs="Arial"/>
                <w:sz w:val="24"/>
                <w:szCs w:val="24"/>
                <w:lang w:val="en-GB" w:eastAsia="en-GB"/>
              </w:rPr>
              <w:t>sustainability</w:t>
            </w:r>
            <w:r w:rsidR="00C326B9">
              <w:rPr>
                <w:rFonts w:ascii="Arial" w:eastAsia="Open Sans" w:hAnsi="Arial" w:cs="Arial"/>
                <w:sz w:val="24"/>
                <w:szCs w:val="24"/>
                <w:lang w:val="en-GB" w:eastAsia="en-GB"/>
              </w:rPr>
              <w:t xml:space="preserve"> officer etc</w:t>
            </w:r>
          </w:p>
          <w:p w14:paraId="60049A42" w14:textId="6E24CF80" w:rsidR="00C326B9" w:rsidRPr="00C326B9" w:rsidRDefault="00C326B9" w:rsidP="00C326B9">
            <w:pPr>
              <w:pStyle w:val="ListParagraph"/>
              <w:numPr>
                <w:ilvl w:val="0"/>
                <w:numId w:val="39"/>
              </w:numPr>
              <w:jc w:val="both"/>
              <w:rPr>
                <w:rFonts w:ascii="Arial" w:eastAsia="Open Sans" w:hAnsi="Arial" w:cs="Arial"/>
                <w:sz w:val="24"/>
                <w:szCs w:val="24"/>
                <w:lang w:val="en-GB" w:eastAsia="en-GB"/>
              </w:rPr>
            </w:pPr>
            <w:r>
              <w:rPr>
                <w:rFonts w:ascii="Arial" w:eastAsia="Open Sans" w:hAnsi="Arial" w:cs="Arial"/>
                <w:sz w:val="24"/>
                <w:szCs w:val="24"/>
                <w:lang w:val="en-GB" w:eastAsia="en-GB"/>
              </w:rPr>
              <w:t xml:space="preserve">Gender pay gap: </w:t>
            </w:r>
            <w:r w:rsidRPr="00C326B9">
              <w:rPr>
                <w:rFonts w:ascii="Arial" w:eastAsia="Open Sans" w:hAnsi="Arial" w:cs="Arial"/>
                <w:sz w:val="24"/>
                <w:szCs w:val="24"/>
                <w:lang w:val="en-GB" w:eastAsia="en-GB"/>
              </w:rPr>
              <w:t xml:space="preserve">difference in the average </w:t>
            </w:r>
            <w:r>
              <w:rPr>
                <w:rFonts w:ascii="Arial" w:eastAsia="Open Sans" w:hAnsi="Arial" w:cs="Arial"/>
                <w:sz w:val="24"/>
                <w:szCs w:val="24"/>
                <w:lang w:val="en-GB" w:eastAsia="en-GB"/>
              </w:rPr>
              <w:t xml:space="preserve">earnings </w:t>
            </w:r>
            <w:r w:rsidRPr="00C326B9">
              <w:rPr>
                <w:rFonts w:ascii="Arial" w:eastAsia="Open Sans" w:hAnsi="Arial" w:cs="Arial"/>
                <w:sz w:val="24"/>
                <w:szCs w:val="24"/>
                <w:lang w:val="en-GB" w:eastAsia="en-GB"/>
              </w:rPr>
              <w:t>between all men and women across an organization</w:t>
            </w:r>
          </w:p>
          <w:p w14:paraId="518AD15A" w14:textId="77777777" w:rsidR="00D70F89" w:rsidRPr="00F012F1" w:rsidRDefault="00D70F89" w:rsidP="00C326B9">
            <w:pPr>
              <w:jc w:val="both"/>
              <w:rPr>
                <w:rFonts w:ascii="Arial" w:eastAsia="Open Sans" w:hAnsi="Arial" w:cs="Arial"/>
                <w:sz w:val="24"/>
                <w:szCs w:val="24"/>
                <w:lang w:val="en-US" w:eastAsia="en-GB"/>
              </w:rPr>
            </w:pPr>
          </w:p>
        </w:tc>
      </w:tr>
      <w:tr w:rsidR="00F012F1" w:rsidRPr="00F012F1" w14:paraId="33A17BB0" w14:textId="77777777" w:rsidTr="0065264E">
        <w:tc>
          <w:tcPr>
            <w:tcW w:w="562" w:type="dxa"/>
          </w:tcPr>
          <w:p w14:paraId="4BFE64BF" w14:textId="29BE1EEC" w:rsidR="00D70F89" w:rsidRPr="00F012F1" w:rsidRDefault="00CF6EC8" w:rsidP="0065264E">
            <w:pPr>
              <w:rPr>
                <w:rFonts w:ascii="Arial" w:hAnsi="Arial" w:cs="Arial"/>
                <w:sz w:val="24"/>
                <w:szCs w:val="24"/>
                <w:lang w:val="en-US"/>
              </w:rPr>
            </w:pPr>
            <w:r w:rsidRPr="00F012F1">
              <w:rPr>
                <w:rFonts w:ascii="Arial" w:hAnsi="Arial" w:cs="Arial"/>
                <w:sz w:val="24"/>
                <w:szCs w:val="24"/>
                <w:lang w:val="en-US"/>
              </w:rPr>
              <w:t>D</w:t>
            </w:r>
          </w:p>
        </w:tc>
        <w:tc>
          <w:tcPr>
            <w:tcW w:w="10354" w:type="dxa"/>
          </w:tcPr>
          <w:p w14:paraId="796BC79A" w14:textId="77777777" w:rsidR="00D70F89" w:rsidRPr="00F012F1" w:rsidRDefault="00D70F89" w:rsidP="0065264E">
            <w:pPr>
              <w:rPr>
                <w:rFonts w:ascii="Arial" w:hAnsi="Arial" w:cs="Arial"/>
                <w:sz w:val="24"/>
                <w:szCs w:val="24"/>
                <w:u w:val="single"/>
                <w:lang w:val="en-US"/>
              </w:rPr>
            </w:pPr>
            <w:r w:rsidRPr="00F012F1">
              <w:rPr>
                <w:rFonts w:ascii="Arial" w:hAnsi="Arial" w:cs="Arial"/>
                <w:sz w:val="24"/>
                <w:szCs w:val="24"/>
                <w:u w:val="single"/>
                <w:lang w:val="en-US"/>
              </w:rPr>
              <w:t>INVESTMENT STRATEGY</w:t>
            </w:r>
          </w:p>
          <w:p w14:paraId="36D56571" w14:textId="77777777" w:rsidR="00D70F89" w:rsidRPr="00F012F1" w:rsidRDefault="00D70F89" w:rsidP="0065264E">
            <w:pPr>
              <w:rPr>
                <w:rFonts w:ascii="Arial" w:hAnsi="Arial" w:cs="Arial"/>
                <w:sz w:val="24"/>
                <w:szCs w:val="24"/>
                <w:lang w:val="en-US"/>
              </w:rPr>
            </w:pPr>
          </w:p>
        </w:tc>
      </w:tr>
      <w:tr w:rsidR="003D7EF2" w:rsidRPr="00CC1042" w14:paraId="7773AEFB" w14:textId="77777777" w:rsidTr="0065264E">
        <w:tc>
          <w:tcPr>
            <w:tcW w:w="562" w:type="dxa"/>
          </w:tcPr>
          <w:p w14:paraId="5512EE65" w14:textId="77777777" w:rsidR="003D7EF2" w:rsidRPr="00F012F1" w:rsidRDefault="003D7EF2" w:rsidP="003D7EF2">
            <w:pPr>
              <w:rPr>
                <w:rFonts w:ascii="Arial" w:hAnsi="Arial" w:cs="Arial"/>
                <w:sz w:val="24"/>
                <w:szCs w:val="24"/>
                <w:lang w:val="en-US"/>
              </w:rPr>
            </w:pPr>
          </w:p>
        </w:tc>
        <w:tc>
          <w:tcPr>
            <w:tcW w:w="10354" w:type="dxa"/>
          </w:tcPr>
          <w:p w14:paraId="173E4786" w14:textId="77777777" w:rsidR="003D7EF2" w:rsidRPr="003D7EF2" w:rsidRDefault="003D7EF2" w:rsidP="003D7EF2">
            <w:pPr>
              <w:jc w:val="both"/>
              <w:rPr>
                <w:rFonts w:ascii="Arial" w:eastAsia="Open Sans" w:hAnsi="Arial" w:cs="Arial"/>
                <w:sz w:val="24"/>
                <w:szCs w:val="24"/>
                <w:lang w:val="en-GB" w:eastAsia="en-GB"/>
              </w:rPr>
            </w:pPr>
            <w:r w:rsidRPr="003D7EF2">
              <w:rPr>
                <w:rFonts w:ascii="Arial" w:eastAsia="Open Sans" w:hAnsi="Arial" w:cs="Arial"/>
                <w:sz w:val="24"/>
                <w:szCs w:val="24"/>
                <w:lang w:val="en-GB" w:eastAsia="en-GB"/>
              </w:rPr>
              <w:t>The Fund will make investments by financing, through the subscription, acquisition or any other form of investment of Debt Securities, innovative companies with an operational focus or base in Europe or backed by European venture investors.</w:t>
            </w:r>
            <w:r>
              <w:rPr>
                <w:rFonts w:ascii="Arial" w:eastAsia="Open Sans" w:hAnsi="Arial" w:cs="Arial"/>
                <w:sz w:val="24"/>
                <w:szCs w:val="24"/>
                <w:lang w:val="en-GB" w:eastAsia="en-GB"/>
              </w:rPr>
              <w:t xml:space="preserve"> </w:t>
            </w:r>
            <w:r w:rsidRPr="003D7EF2">
              <w:rPr>
                <w:rFonts w:ascii="Arial" w:eastAsia="Open Sans" w:hAnsi="Arial" w:cs="Arial"/>
                <w:sz w:val="24"/>
                <w:szCs w:val="24"/>
                <w:lang w:val="en-GB" w:eastAsia="en-GB"/>
              </w:rPr>
              <w:t>The investment strategy has both a negative and positive aspect; to exclude those based on certain criteria, and to include those that hit certain criteria:</w:t>
            </w:r>
          </w:p>
          <w:p w14:paraId="4B4A987A" w14:textId="6B6EF14C" w:rsidR="003D7EF2" w:rsidRPr="003D7EF2" w:rsidRDefault="003D7EF2" w:rsidP="003D7EF2">
            <w:pPr>
              <w:jc w:val="both"/>
              <w:rPr>
                <w:rFonts w:ascii="Arial" w:eastAsia="Open Sans" w:hAnsi="Arial" w:cs="Arial"/>
                <w:sz w:val="24"/>
                <w:szCs w:val="24"/>
                <w:lang w:val="en-GB" w:eastAsia="en-GB"/>
              </w:rPr>
            </w:pPr>
            <w:r w:rsidRPr="003D7EF2">
              <w:rPr>
                <w:rFonts w:ascii="Arial" w:eastAsia="Open Sans" w:hAnsi="Arial" w:cs="Arial"/>
                <w:sz w:val="24"/>
                <w:szCs w:val="24"/>
                <w:lang w:val="en-GB" w:eastAsia="en-GB"/>
              </w:rPr>
              <w:t>1) Strictly comply with negative screening criteria</w:t>
            </w:r>
            <w:r w:rsidR="00201797">
              <w:rPr>
                <w:rFonts w:ascii="Arial" w:eastAsia="Open Sans" w:hAnsi="Arial" w:cs="Arial"/>
                <w:sz w:val="24"/>
                <w:szCs w:val="24"/>
                <w:lang w:val="en-GB" w:eastAsia="en-GB"/>
              </w:rPr>
              <w:t xml:space="preserve"> (this includes good governance checks)</w:t>
            </w:r>
            <w:r w:rsidRPr="003D7EF2">
              <w:rPr>
                <w:rFonts w:ascii="Arial" w:eastAsia="Open Sans" w:hAnsi="Arial" w:cs="Arial"/>
                <w:sz w:val="24"/>
                <w:szCs w:val="24"/>
                <w:lang w:val="en-GB" w:eastAsia="en-GB"/>
              </w:rPr>
              <w:t xml:space="preserve"> </w:t>
            </w:r>
          </w:p>
          <w:p w14:paraId="07C84E06" w14:textId="77777777" w:rsidR="003D7EF2" w:rsidRPr="003D7EF2" w:rsidRDefault="003D7EF2" w:rsidP="003D7EF2">
            <w:pPr>
              <w:jc w:val="both"/>
              <w:rPr>
                <w:rFonts w:ascii="Arial" w:eastAsia="Open Sans" w:hAnsi="Arial" w:cs="Arial"/>
                <w:sz w:val="24"/>
                <w:szCs w:val="24"/>
                <w:lang w:val="en-GB" w:eastAsia="en-GB"/>
              </w:rPr>
            </w:pPr>
            <w:r w:rsidRPr="003D7EF2">
              <w:rPr>
                <w:rFonts w:ascii="Arial" w:eastAsia="Open Sans" w:hAnsi="Arial" w:cs="Arial"/>
                <w:sz w:val="24"/>
                <w:szCs w:val="24"/>
                <w:lang w:val="en-GB" w:eastAsia="en-GB"/>
              </w:rPr>
              <w:t xml:space="preserve">2) Apply positive investment screening during the due diligence process (alignment with at least two UN SDGs). </w:t>
            </w:r>
          </w:p>
          <w:p w14:paraId="2A65FD85" w14:textId="77777777" w:rsidR="003D7EF2" w:rsidRPr="003D7EF2" w:rsidRDefault="003D7EF2" w:rsidP="003D7EF2">
            <w:pPr>
              <w:jc w:val="both"/>
              <w:rPr>
                <w:rFonts w:ascii="Arial" w:eastAsia="Open Sans" w:hAnsi="Arial" w:cs="Arial"/>
                <w:sz w:val="24"/>
                <w:szCs w:val="24"/>
                <w:lang w:val="en-GB" w:eastAsia="en-GB"/>
              </w:rPr>
            </w:pPr>
            <w:r w:rsidRPr="003D7EF2">
              <w:rPr>
                <w:rFonts w:ascii="Arial" w:eastAsia="Open Sans" w:hAnsi="Arial" w:cs="Arial"/>
                <w:sz w:val="24"/>
                <w:szCs w:val="24"/>
                <w:lang w:val="en-GB" w:eastAsia="en-GB"/>
              </w:rPr>
              <w:t xml:space="preserve">3) Over time, increase portfolio weighted average ESG score </w:t>
            </w:r>
          </w:p>
          <w:p w14:paraId="08EFED6A" w14:textId="77777777" w:rsidR="003D7EF2" w:rsidRPr="00F012F1" w:rsidRDefault="003D7EF2" w:rsidP="003D7EF2">
            <w:pPr>
              <w:jc w:val="both"/>
              <w:rPr>
                <w:rFonts w:ascii="Arial" w:eastAsia="Open Sans" w:hAnsi="Arial" w:cs="Arial"/>
                <w:sz w:val="24"/>
                <w:szCs w:val="24"/>
                <w:lang w:val="en-US" w:eastAsia="en-GB"/>
              </w:rPr>
            </w:pPr>
          </w:p>
        </w:tc>
      </w:tr>
      <w:tr w:rsidR="003D7EF2" w:rsidRPr="00F012F1" w14:paraId="507499F9" w14:textId="77777777" w:rsidTr="0065264E">
        <w:tc>
          <w:tcPr>
            <w:tcW w:w="562" w:type="dxa"/>
          </w:tcPr>
          <w:p w14:paraId="73FBDC24" w14:textId="7DB509F0" w:rsidR="003D7EF2" w:rsidRPr="00F012F1" w:rsidRDefault="003D7EF2" w:rsidP="003D7EF2">
            <w:pPr>
              <w:rPr>
                <w:rFonts w:ascii="Arial" w:hAnsi="Arial" w:cs="Arial"/>
                <w:sz w:val="24"/>
                <w:szCs w:val="24"/>
                <w:lang w:val="en-US"/>
              </w:rPr>
            </w:pPr>
            <w:r w:rsidRPr="00F012F1">
              <w:rPr>
                <w:rFonts w:ascii="Arial" w:hAnsi="Arial" w:cs="Arial"/>
                <w:sz w:val="24"/>
                <w:szCs w:val="24"/>
                <w:lang w:val="en-US"/>
              </w:rPr>
              <w:t>E</w:t>
            </w:r>
          </w:p>
        </w:tc>
        <w:tc>
          <w:tcPr>
            <w:tcW w:w="10354" w:type="dxa"/>
          </w:tcPr>
          <w:p w14:paraId="20394764" w14:textId="46D159C8" w:rsidR="003D7EF2" w:rsidRPr="00F012F1" w:rsidRDefault="003D7EF2" w:rsidP="003D7EF2">
            <w:pPr>
              <w:rPr>
                <w:rFonts w:ascii="Arial" w:hAnsi="Arial" w:cs="Arial"/>
                <w:sz w:val="24"/>
                <w:szCs w:val="24"/>
                <w:u w:val="single"/>
                <w:lang w:val="en-US"/>
              </w:rPr>
            </w:pPr>
            <w:r w:rsidRPr="00F012F1">
              <w:rPr>
                <w:rFonts w:ascii="Arial" w:hAnsi="Arial" w:cs="Arial"/>
                <w:sz w:val="24"/>
                <w:szCs w:val="24"/>
                <w:u w:val="single"/>
                <w:lang w:val="en-US"/>
              </w:rPr>
              <w:t>PROPORTION OF INVESTMENTS</w:t>
            </w:r>
          </w:p>
        </w:tc>
      </w:tr>
      <w:tr w:rsidR="003D7EF2" w:rsidRPr="00CC1042" w14:paraId="2430E5FA" w14:textId="77777777" w:rsidTr="0065264E">
        <w:tc>
          <w:tcPr>
            <w:tcW w:w="562" w:type="dxa"/>
          </w:tcPr>
          <w:p w14:paraId="2443CCB6" w14:textId="77777777" w:rsidR="003D7EF2" w:rsidRPr="00F012F1" w:rsidRDefault="003D7EF2" w:rsidP="003D7EF2">
            <w:pPr>
              <w:rPr>
                <w:rFonts w:ascii="Arial" w:hAnsi="Arial" w:cs="Arial"/>
                <w:sz w:val="24"/>
                <w:szCs w:val="24"/>
                <w:lang w:val="en-US"/>
              </w:rPr>
            </w:pPr>
          </w:p>
        </w:tc>
        <w:tc>
          <w:tcPr>
            <w:tcW w:w="10354" w:type="dxa"/>
          </w:tcPr>
          <w:p w14:paraId="5C4EA113" w14:textId="0710F64A" w:rsidR="00B11D53" w:rsidRPr="00B11D53" w:rsidRDefault="00B11D53" w:rsidP="00B11D53">
            <w:pPr>
              <w:rPr>
                <w:rFonts w:ascii="Arial" w:hAnsi="Arial" w:cs="Arial"/>
                <w:sz w:val="24"/>
                <w:szCs w:val="24"/>
                <w:lang w:val="en-GB"/>
              </w:rPr>
            </w:pPr>
            <w:r w:rsidRPr="00B11D53">
              <w:rPr>
                <w:rFonts w:ascii="Arial" w:hAnsi="Arial" w:cs="Arial"/>
                <w:sz w:val="24"/>
                <w:szCs w:val="24"/>
                <w:lang w:val="en-GB"/>
              </w:rPr>
              <w:t xml:space="preserve">The Fund expects that a minimum of 80% of its investments will promote the E/S characteristics described above. The Fund is anticipated to make investments in accordance with the following approximate asset allocation targets (subject to change based on the availability of investment opportunities): </w:t>
            </w:r>
          </w:p>
          <w:p w14:paraId="665274C5" w14:textId="30C53B18" w:rsidR="003D7EF2" w:rsidRPr="00B11D53" w:rsidRDefault="00B11D53" w:rsidP="003D7EF2">
            <w:pPr>
              <w:rPr>
                <w:rFonts w:ascii="Arial" w:hAnsi="Arial" w:cs="Arial"/>
                <w:sz w:val="24"/>
                <w:szCs w:val="24"/>
                <w:lang w:val="en-GB"/>
              </w:rPr>
            </w:pPr>
            <w:r w:rsidRPr="00B11D53">
              <w:rPr>
                <w:rFonts w:ascii="Arial" w:hAnsi="Arial" w:cs="Arial"/>
                <w:noProof/>
                <w:sz w:val="24"/>
                <w:szCs w:val="24"/>
                <w:lang w:val="en-GB"/>
              </w:rPr>
              <w:lastRenderedPageBreak/>
              <mc:AlternateContent>
                <mc:Choice Requires="wps">
                  <w:drawing>
                    <wp:anchor distT="0" distB="0" distL="114300" distR="114300" simplePos="0" relativeHeight="251659264" behindDoc="0" locked="0" layoutInCell="1" allowOverlap="1" wp14:anchorId="4793BC67" wp14:editId="351673D0">
                      <wp:simplePos x="0" y="0"/>
                      <wp:positionH relativeFrom="margin">
                        <wp:posOffset>658495</wp:posOffset>
                      </wp:positionH>
                      <wp:positionV relativeFrom="bottomMargin">
                        <wp:posOffset>847725</wp:posOffset>
                      </wp:positionV>
                      <wp:extent cx="5117465" cy="2457450"/>
                      <wp:effectExtent l="0" t="0" r="6985" b="0"/>
                      <wp:wrapSquare wrapText="bothSides"/>
                      <wp:docPr id="728293698" name="Rectangle 4"/>
                      <wp:cNvGraphicFramePr/>
                      <a:graphic xmlns:a="http://schemas.openxmlformats.org/drawingml/2006/main">
                        <a:graphicData uri="http://schemas.microsoft.com/office/word/2010/wordprocessingShape">
                          <wps:wsp>
                            <wps:cNvSpPr/>
                            <wps:spPr>
                              <a:xfrm>
                                <a:off x="0" y="0"/>
                                <a:ext cx="5117465" cy="2457450"/>
                              </a:xfrm>
                              <a:prstGeom prst="rect">
                                <a:avLst/>
                              </a:prstGeom>
                              <a:solidFill>
                                <a:srgbClr val="EA933B">
                                  <a:lumMod val="20000"/>
                                  <a:lumOff val="80000"/>
                                </a:srgbClr>
                              </a:solidFill>
                              <a:ln w="12700" cap="flat" cmpd="sng" algn="ctr">
                                <a:noFill/>
                                <a:prstDash val="solid"/>
                                <a:miter lim="800000"/>
                              </a:ln>
                              <a:effectLst/>
                            </wps:spPr>
                            <wps:txbx>
                              <w:txbxContent>
                                <w:p w14:paraId="3014D59D" w14:textId="5E0EC7C0" w:rsidR="00B11D53" w:rsidRDefault="00B11D53" w:rsidP="00B11D53">
                                  <w:pPr>
                                    <w:jc w:val="center"/>
                                  </w:pPr>
                                  <w:r>
                                    <w:rPr>
                                      <w:noProof/>
                                      <w:sz w:val="20"/>
                                    </w:rPr>
                                    <w:drawing>
                                      <wp:inline distT="0" distB="0" distL="0" distR="0" wp14:anchorId="09AF95DC" wp14:editId="5CB670B5">
                                        <wp:extent cx="4518660" cy="1188720"/>
                                        <wp:effectExtent l="0" t="0" r="0" b="30480"/>
                                        <wp:docPr id="136428238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53C6D2" w14:textId="77777777" w:rsidR="00B11D53" w:rsidRPr="00B11D53" w:rsidRDefault="00B11D53" w:rsidP="00B11D53">
                                  <w:pPr>
                                    <w:spacing w:after="0"/>
                                    <w:rPr>
                                      <w:rFonts w:cstheme="minorHAnsi"/>
                                      <w:color w:val="000000"/>
                                      <w:sz w:val="18"/>
                                      <w:lang w:val="en-GB"/>
                                    </w:rPr>
                                  </w:pPr>
                                  <w:r w:rsidRPr="00B11D53">
                                    <w:rPr>
                                      <w:rFonts w:cstheme="minorHAnsi"/>
                                      <w:b/>
                                      <w:bCs/>
                                      <w:color w:val="000000"/>
                                      <w:sz w:val="20"/>
                                      <w:lang w:val="en-GB"/>
                                    </w:rPr>
                                    <w:t>#</w:t>
                                  </w:r>
                                  <w:r w:rsidRPr="00B11D53">
                                    <w:rPr>
                                      <w:rFonts w:cstheme="minorHAnsi"/>
                                      <w:b/>
                                      <w:bCs/>
                                      <w:color w:val="000000"/>
                                      <w:sz w:val="18"/>
                                      <w:lang w:val="en-GB"/>
                                    </w:rPr>
                                    <w:t>1 Aligned with E/S</w:t>
                                  </w:r>
                                  <w:r w:rsidRPr="00B11D53">
                                    <w:rPr>
                                      <w:rFonts w:cstheme="minorHAnsi"/>
                                      <w:color w:val="000000"/>
                                      <w:sz w:val="18"/>
                                      <w:lang w:val="en-GB"/>
                                    </w:rPr>
                                    <w:t xml:space="preserve"> </w:t>
                                  </w:r>
                                  <w:r w:rsidRPr="00B11D53">
                                    <w:rPr>
                                      <w:rFonts w:cstheme="minorHAnsi"/>
                                      <w:b/>
                                      <w:bCs/>
                                      <w:color w:val="000000"/>
                                      <w:sz w:val="18"/>
                                      <w:lang w:val="en-GB"/>
                                    </w:rPr>
                                    <w:t>characteristics</w:t>
                                  </w:r>
                                  <w:r w:rsidRPr="00B11D53">
                                    <w:rPr>
                                      <w:rFonts w:cstheme="minorHAnsi"/>
                                      <w:color w:val="000000"/>
                                      <w:sz w:val="18"/>
                                      <w:lang w:val="en-GB"/>
                                    </w:rPr>
                                    <w:t xml:space="preserve"> includes the investments of the financial product used to attain the environmental or social characteristics promoted by the financial product.</w:t>
                                  </w:r>
                                </w:p>
                                <w:p w14:paraId="6AFF3782" w14:textId="77777777" w:rsidR="00B11D53" w:rsidRPr="00B11D53" w:rsidRDefault="00B11D53" w:rsidP="00B11D53">
                                  <w:pPr>
                                    <w:spacing w:after="0"/>
                                    <w:rPr>
                                      <w:rFonts w:cstheme="minorHAnsi"/>
                                      <w:color w:val="000000"/>
                                      <w:sz w:val="8"/>
                                      <w:szCs w:val="8"/>
                                      <w:lang w:val="en-GB"/>
                                    </w:rPr>
                                  </w:pPr>
                                </w:p>
                                <w:p w14:paraId="5C017288" w14:textId="77777777" w:rsidR="00B11D53" w:rsidRPr="00B11D53" w:rsidRDefault="00B11D53" w:rsidP="00B11D53">
                                  <w:pPr>
                                    <w:spacing w:after="0"/>
                                    <w:rPr>
                                      <w:rFonts w:cstheme="minorHAnsi"/>
                                      <w:bCs/>
                                      <w:color w:val="000000"/>
                                      <w:sz w:val="18"/>
                                      <w:szCs w:val="20"/>
                                      <w:lang w:val="en-GB"/>
                                    </w:rPr>
                                  </w:pPr>
                                  <w:r w:rsidRPr="00B11D53">
                                    <w:rPr>
                                      <w:rFonts w:cstheme="minorHAnsi"/>
                                      <w:b/>
                                      <w:bCs/>
                                      <w:color w:val="000000"/>
                                      <w:sz w:val="18"/>
                                      <w:lang w:val="en-GB"/>
                                    </w:rPr>
                                    <w:t xml:space="preserve">#2Other </w:t>
                                  </w:r>
                                  <w:r w:rsidRPr="00B11D53">
                                    <w:rPr>
                                      <w:rFonts w:cstheme="minorHAnsi"/>
                                      <w:bCs/>
                                      <w:color w:val="000000"/>
                                      <w:sz w:val="18"/>
                                      <w:lang w:val="en-GB"/>
                                    </w:rPr>
                                    <w:t>includes the remaining investments of the financial product which are neither aligned with the environmental or social characteristics, nor are qualified as sustainable investments.</w:t>
                                  </w:r>
                                </w:p>
                                <w:p w14:paraId="3E93B26F" w14:textId="77777777" w:rsidR="00B11D53" w:rsidRPr="00B11D53" w:rsidRDefault="00B11D53" w:rsidP="00B11D53">
                                  <w:pPr>
                                    <w:spacing w:after="0"/>
                                    <w:rPr>
                                      <w:rFonts w:cstheme="minorHAnsi"/>
                                      <w:bCs/>
                                      <w:color w:val="000000"/>
                                      <w:sz w:val="8"/>
                                      <w:szCs w:val="8"/>
                                      <w:lang w:val="en-GB"/>
                                    </w:rPr>
                                  </w:pPr>
                                </w:p>
                                <w:p w14:paraId="43311CCC" w14:textId="77777777" w:rsidR="00B11D53" w:rsidRPr="00B11D53" w:rsidRDefault="00B11D53" w:rsidP="00B11D53">
                                  <w:pPr>
                                    <w:jc w:val="center"/>
                                    <w:rPr>
                                      <w:rFonts w:ascii="Arial" w:hAnsi="Arial" w:cs="Times New Roman"/>
                                      <w:szCs w:val="20"/>
                                      <w:lang w:val="en-GB"/>
                                    </w:rPr>
                                  </w:pPr>
                                </w:p>
                                <w:p w14:paraId="4E2A9B18" w14:textId="77777777" w:rsidR="00B11D53" w:rsidRPr="00B11D53" w:rsidRDefault="00B11D53" w:rsidP="00B11D53">
                                  <w:pPr>
                                    <w:jc w:val="center"/>
                                    <w:rPr>
                                      <w:lang w:val="en-GB"/>
                                    </w:rPr>
                                  </w:pPr>
                                </w:p>
                                <w:p w14:paraId="538CD184" w14:textId="77777777" w:rsidR="00B11D53" w:rsidRPr="00B11D53" w:rsidRDefault="00B11D53" w:rsidP="00B11D53">
                                  <w:pPr>
                                    <w:jc w:val="center"/>
                                    <w:rPr>
                                      <w:lang w:val="en-GB"/>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3BC67" id="Rectangle 4" o:spid="_x0000_s1026" style="position:absolute;margin-left:51.85pt;margin-top:66.75pt;width:402.95pt;height:19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" fillcolor="#fbe9d8" stroked="f" strokeweight="1pt">
                      <v:textbox>
                        <w:txbxContent>
                          <w:p w14:paraId="3014D59D" w14:textId="5E0EC7C0" w:rsidR="00B11D53" w:rsidRDefault="00B11D53" w:rsidP="00B11D53">
                            <w:pPr>
                              <w:jc w:val="center"/>
                            </w:pPr>
                            <w:r>
                              <w:rPr>
                                <w:noProof/>
                                <w:sz w:val="20"/>
                              </w:rPr>
                              <w:drawing>
                                <wp:inline distT="0" distB="0" distL="0" distR="0" wp14:anchorId="09AF95DC" wp14:editId="5CB670B5">
                                  <wp:extent cx="4518660" cy="1188720"/>
                                  <wp:effectExtent l="0" t="0" r="0" b="30480"/>
                                  <wp:docPr id="1364282387"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A53C6D2" w14:textId="77777777" w:rsidR="00B11D53" w:rsidRPr="00B11D53" w:rsidRDefault="00B11D53" w:rsidP="00B11D53">
                            <w:pPr>
                              <w:spacing w:after="0"/>
                              <w:rPr>
                                <w:rFonts w:cstheme="minorHAnsi"/>
                                <w:color w:val="000000"/>
                                <w:sz w:val="18"/>
                                <w:lang w:val="en-GB"/>
                              </w:rPr>
                            </w:pPr>
                            <w:r w:rsidRPr="00B11D53">
                              <w:rPr>
                                <w:rFonts w:cstheme="minorHAnsi"/>
                                <w:b/>
                                <w:bCs/>
                                <w:color w:val="000000"/>
                                <w:sz w:val="20"/>
                                <w:lang w:val="en-GB"/>
                              </w:rPr>
                              <w:t>#</w:t>
                            </w:r>
                            <w:r w:rsidRPr="00B11D53">
                              <w:rPr>
                                <w:rFonts w:cstheme="minorHAnsi"/>
                                <w:b/>
                                <w:bCs/>
                                <w:color w:val="000000"/>
                                <w:sz w:val="18"/>
                                <w:lang w:val="en-GB"/>
                              </w:rPr>
                              <w:t>1 Aligned with E/S</w:t>
                            </w:r>
                            <w:r w:rsidRPr="00B11D53">
                              <w:rPr>
                                <w:rFonts w:cstheme="minorHAnsi"/>
                                <w:color w:val="000000"/>
                                <w:sz w:val="18"/>
                                <w:lang w:val="en-GB"/>
                              </w:rPr>
                              <w:t xml:space="preserve"> </w:t>
                            </w:r>
                            <w:r w:rsidRPr="00B11D53">
                              <w:rPr>
                                <w:rFonts w:cstheme="minorHAnsi"/>
                                <w:b/>
                                <w:bCs/>
                                <w:color w:val="000000"/>
                                <w:sz w:val="18"/>
                                <w:lang w:val="en-GB"/>
                              </w:rPr>
                              <w:t>characteristics</w:t>
                            </w:r>
                            <w:r w:rsidRPr="00B11D53">
                              <w:rPr>
                                <w:rFonts w:cstheme="minorHAnsi"/>
                                <w:color w:val="000000"/>
                                <w:sz w:val="18"/>
                                <w:lang w:val="en-GB"/>
                              </w:rPr>
                              <w:t xml:space="preserve"> includes the investments of the financial product used to attain the environmental or social characteristics promoted by the financial product.</w:t>
                            </w:r>
                          </w:p>
                          <w:p w14:paraId="6AFF3782" w14:textId="77777777" w:rsidR="00B11D53" w:rsidRPr="00B11D53" w:rsidRDefault="00B11D53" w:rsidP="00B11D53">
                            <w:pPr>
                              <w:spacing w:after="0"/>
                              <w:rPr>
                                <w:rFonts w:cstheme="minorHAnsi"/>
                                <w:color w:val="000000"/>
                                <w:sz w:val="8"/>
                                <w:szCs w:val="8"/>
                                <w:lang w:val="en-GB"/>
                              </w:rPr>
                            </w:pPr>
                          </w:p>
                          <w:p w14:paraId="5C017288" w14:textId="77777777" w:rsidR="00B11D53" w:rsidRPr="00B11D53" w:rsidRDefault="00B11D53" w:rsidP="00B11D53">
                            <w:pPr>
                              <w:spacing w:after="0"/>
                              <w:rPr>
                                <w:rFonts w:cstheme="minorHAnsi"/>
                                <w:bCs/>
                                <w:color w:val="000000"/>
                                <w:sz w:val="18"/>
                                <w:szCs w:val="20"/>
                                <w:lang w:val="en-GB"/>
                              </w:rPr>
                            </w:pPr>
                            <w:r w:rsidRPr="00B11D53">
                              <w:rPr>
                                <w:rFonts w:cstheme="minorHAnsi"/>
                                <w:b/>
                                <w:bCs/>
                                <w:color w:val="000000"/>
                                <w:sz w:val="18"/>
                                <w:lang w:val="en-GB"/>
                              </w:rPr>
                              <w:t xml:space="preserve">#2Other </w:t>
                            </w:r>
                            <w:r w:rsidRPr="00B11D53">
                              <w:rPr>
                                <w:rFonts w:cstheme="minorHAnsi"/>
                                <w:bCs/>
                                <w:color w:val="000000"/>
                                <w:sz w:val="18"/>
                                <w:lang w:val="en-GB"/>
                              </w:rPr>
                              <w:t>includes the remaining investments of the financial product which are neither aligned with the environmental or social characteristics, nor are qualified as sustainable investments.</w:t>
                            </w:r>
                          </w:p>
                          <w:p w14:paraId="3E93B26F" w14:textId="77777777" w:rsidR="00B11D53" w:rsidRPr="00B11D53" w:rsidRDefault="00B11D53" w:rsidP="00B11D53">
                            <w:pPr>
                              <w:spacing w:after="0"/>
                              <w:rPr>
                                <w:rFonts w:cstheme="minorHAnsi"/>
                                <w:bCs/>
                                <w:color w:val="000000"/>
                                <w:sz w:val="8"/>
                                <w:szCs w:val="8"/>
                                <w:lang w:val="en-GB"/>
                              </w:rPr>
                            </w:pPr>
                          </w:p>
                          <w:p w14:paraId="43311CCC" w14:textId="77777777" w:rsidR="00B11D53" w:rsidRPr="00B11D53" w:rsidRDefault="00B11D53" w:rsidP="00B11D53">
                            <w:pPr>
                              <w:jc w:val="center"/>
                              <w:rPr>
                                <w:rFonts w:ascii="Arial" w:hAnsi="Arial" w:cs="Times New Roman"/>
                                <w:szCs w:val="20"/>
                                <w:lang w:val="en-GB"/>
                              </w:rPr>
                            </w:pPr>
                          </w:p>
                          <w:p w14:paraId="4E2A9B18" w14:textId="77777777" w:rsidR="00B11D53" w:rsidRPr="00B11D53" w:rsidRDefault="00B11D53" w:rsidP="00B11D53">
                            <w:pPr>
                              <w:jc w:val="center"/>
                              <w:rPr>
                                <w:lang w:val="en-GB"/>
                              </w:rPr>
                            </w:pPr>
                          </w:p>
                          <w:p w14:paraId="538CD184" w14:textId="77777777" w:rsidR="00B11D53" w:rsidRPr="00B11D53" w:rsidRDefault="00B11D53" w:rsidP="00B11D53">
                            <w:pPr>
                              <w:jc w:val="center"/>
                              <w:rPr>
                                <w:lang w:val="en-GB"/>
                              </w:rPr>
                            </w:pPr>
                          </w:p>
                        </w:txbxContent>
                      </v:textbox>
                      <w10:wrap type="square" anchorx="margin" anchory="margin"/>
                    </v:rect>
                  </w:pict>
                </mc:Fallback>
              </mc:AlternateContent>
            </w:r>
          </w:p>
          <w:p w14:paraId="6B810600" w14:textId="2592C679" w:rsidR="003D7EF2" w:rsidRPr="00F012F1" w:rsidRDefault="003D7EF2" w:rsidP="003D7EF2">
            <w:pPr>
              <w:rPr>
                <w:rFonts w:ascii="Arial" w:hAnsi="Arial" w:cs="Arial"/>
                <w:sz w:val="24"/>
                <w:szCs w:val="24"/>
                <w:lang w:val="en-US"/>
              </w:rPr>
            </w:pPr>
          </w:p>
          <w:p w14:paraId="48D491C6" w14:textId="77777777" w:rsidR="003D7EF2" w:rsidRDefault="003D7EF2" w:rsidP="003D7EF2">
            <w:pPr>
              <w:rPr>
                <w:rFonts w:ascii="Arial" w:hAnsi="Arial" w:cs="Arial"/>
                <w:sz w:val="24"/>
                <w:szCs w:val="24"/>
                <w:u w:val="single"/>
                <w:lang w:val="en-US"/>
              </w:rPr>
            </w:pPr>
          </w:p>
          <w:p w14:paraId="1719980F" w14:textId="77777777" w:rsidR="00B11D53" w:rsidRDefault="00B11D53" w:rsidP="003D7EF2">
            <w:pPr>
              <w:rPr>
                <w:rFonts w:ascii="Arial" w:hAnsi="Arial" w:cs="Arial"/>
                <w:sz w:val="24"/>
                <w:szCs w:val="24"/>
                <w:u w:val="single"/>
                <w:lang w:val="en-US"/>
              </w:rPr>
            </w:pPr>
          </w:p>
          <w:p w14:paraId="19EE5FD9" w14:textId="77777777" w:rsidR="00B11D53" w:rsidRDefault="00B11D53" w:rsidP="003D7EF2">
            <w:pPr>
              <w:rPr>
                <w:rFonts w:ascii="Arial" w:hAnsi="Arial" w:cs="Arial"/>
                <w:sz w:val="24"/>
                <w:szCs w:val="24"/>
                <w:u w:val="single"/>
                <w:lang w:val="en-US"/>
              </w:rPr>
            </w:pPr>
          </w:p>
          <w:p w14:paraId="6ACB2FBD" w14:textId="77777777" w:rsidR="00B11D53" w:rsidRDefault="00B11D53" w:rsidP="003D7EF2">
            <w:pPr>
              <w:rPr>
                <w:rFonts w:ascii="Arial" w:hAnsi="Arial" w:cs="Arial"/>
                <w:sz w:val="24"/>
                <w:szCs w:val="24"/>
                <w:u w:val="single"/>
                <w:lang w:val="en-US"/>
              </w:rPr>
            </w:pPr>
          </w:p>
          <w:p w14:paraId="0595181C" w14:textId="77777777" w:rsidR="00B11D53" w:rsidRDefault="00B11D53" w:rsidP="003D7EF2">
            <w:pPr>
              <w:rPr>
                <w:rFonts w:ascii="Arial" w:hAnsi="Arial" w:cs="Arial"/>
                <w:sz w:val="24"/>
                <w:szCs w:val="24"/>
                <w:u w:val="single"/>
                <w:lang w:val="en-US"/>
              </w:rPr>
            </w:pPr>
          </w:p>
          <w:p w14:paraId="504DCC9F" w14:textId="77777777" w:rsidR="00B11D53" w:rsidRDefault="00B11D53" w:rsidP="003D7EF2">
            <w:pPr>
              <w:rPr>
                <w:rFonts w:ascii="Arial" w:hAnsi="Arial" w:cs="Arial"/>
                <w:sz w:val="24"/>
                <w:szCs w:val="24"/>
                <w:u w:val="single"/>
                <w:lang w:val="en-US"/>
              </w:rPr>
            </w:pPr>
          </w:p>
          <w:p w14:paraId="1A34C65A" w14:textId="77777777" w:rsidR="00B11D53" w:rsidRDefault="00B11D53" w:rsidP="003D7EF2">
            <w:pPr>
              <w:rPr>
                <w:rFonts w:ascii="Arial" w:hAnsi="Arial" w:cs="Arial"/>
                <w:sz w:val="24"/>
                <w:szCs w:val="24"/>
                <w:u w:val="single"/>
                <w:lang w:val="en-US"/>
              </w:rPr>
            </w:pPr>
          </w:p>
          <w:p w14:paraId="1CE0D24D" w14:textId="77777777" w:rsidR="00B11D53" w:rsidRDefault="00B11D53" w:rsidP="003D7EF2">
            <w:pPr>
              <w:rPr>
                <w:rFonts w:ascii="Arial" w:hAnsi="Arial" w:cs="Arial"/>
                <w:sz w:val="24"/>
                <w:szCs w:val="24"/>
                <w:u w:val="single"/>
                <w:lang w:val="en-US"/>
              </w:rPr>
            </w:pPr>
          </w:p>
          <w:p w14:paraId="6504305B" w14:textId="77777777" w:rsidR="00B11D53" w:rsidRDefault="00B11D53" w:rsidP="003D7EF2">
            <w:pPr>
              <w:rPr>
                <w:rFonts w:ascii="Arial" w:hAnsi="Arial" w:cs="Arial"/>
                <w:sz w:val="24"/>
                <w:szCs w:val="24"/>
                <w:u w:val="single"/>
                <w:lang w:val="en-US"/>
              </w:rPr>
            </w:pPr>
          </w:p>
          <w:p w14:paraId="1DE3D7B5" w14:textId="77777777" w:rsidR="00B11D53" w:rsidRDefault="00B11D53" w:rsidP="003D7EF2">
            <w:pPr>
              <w:rPr>
                <w:rFonts w:ascii="Arial" w:hAnsi="Arial" w:cs="Arial"/>
                <w:sz w:val="24"/>
                <w:szCs w:val="24"/>
                <w:u w:val="single"/>
                <w:lang w:val="en-US"/>
              </w:rPr>
            </w:pPr>
          </w:p>
          <w:p w14:paraId="79869334" w14:textId="77777777" w:rsidR="00B11D53" w:rsidRDefault="00B11D53" w:rsidP="003D7EF2">
            <w:pPr>
              <w:rPr>
                <w:rFonts w:ascii="Arial" w:hAnsi="Arial" w:cs="Arial"/>
                <w:sz w:val="24"/>
                <w:szCs w:val="24"/>
                <w:u w:val="single"/>
                <w:lang w:val="en-US"/>
              </w:rPr>
            </w:pPr>
          </w:p>
          <w:p w14:paraId="7A8BCD7B" w14:textId="77777777" w:rsidR="00B11D53" w:rsidRDefault="00B11D53" w:rsidP="003D7EF2">
            <w:pPr>
              <w:rPr>
                <w:rFonts w:ascii="Arial" w:hAnsi="Arial" w:cs="Arial"/>
                <w:sz w:val="24"/>
                <w:szCs w:val="24"/>
                <w:u w:val="single"/>
                <w:lang w:val="en-US"/>
              </w:rPr>
            </w:pPr>
          </w:p>
          <w:p w14:paraId="7D6A4AE8" w14:textId="77777777" w:rsidR="00B11D53" w:rsidRDefault="00B11D53" w:rsidP="003D7EF2">
            <w:pPr>
              <w:rPr>
                <w:rFonts w:ascii="Arial" w:hAnsi="Arial" w:cs="Arial"/>
                <w:sz w:val="24"/>
                <w:szCs w:val="24"/>
                <w:u w:val="single"/>
                <w:lang w:val="en-US"/>
              </w:rPr>
            </w:pPr>
          </w:p>
          <w:p w14:paraId="58112121" w14:textId="60FDACD9" w:rsidR="00B11D53" w:rsidRPr="00F012F1" w:rsidRDefault="00B11D53" w:rsidP="003D7EF2">
            <w:pPr>
              <w:rPr>
                <w:rFonts w:ascii="Arial" w:hAnsi="Arial" w:cs="Arial"/>
                <w:sz w:val="24"/>
                <w:szCs w:val="24"/>
                <w:u w:val="single"/>
                <w:lang w:val="en-US"/>
              </w:rPr>
            </w:pPr>
          </w:p>
        </w:tc>
      </w:tr>
      <w:tr w:rsidR="003D7EF2" w:rsidRPr="00CC1042" w14:paraId="0B3A6238" w14:textId="77777777" w:rsidTr="0065264E">
        <w:tc>
          <w:tcPr>
            <w:tcW w:w="562" w:type="dxa"/>
          </w:tcPr>
          <w:p w14:paraId="2C0CCB38" w14:textId="254B43F6" w:rsidR="003D7EF2" w:rsidRPr="00F012F1" w:rsidRDefault="003D7EF2" w:rsidP="003D7EF2">
            <w:pPr>
              <w:rPr>
                <w:rFonts w:ascii="Arial" w:hAnsi="Arial" w:cs="Arial"/>
                <w:sz w:val="24"/>
                <w:szCs w:val="24"/>
                <w:lang w:val="en-US"/>
              </w:rPr>
            </w:pPr>
            <w:r w:rsidRPr="00F012F1">
              <w:rPr>
                <w:rFonts w:ascii="Arial" w:hAnsi="Arial" w:cs="Arial"/>
                <w:sz w:val="24"/>
                <w:szCs w:val="24"/>
                <w:lang w:val="en-US"/>
              </w:rPr>
              <w:lastRenderedPageBreak/>
              <w:t>F</w:t>
            </w:r>
          </w:p>
        </w:tc>
        <w:tc>
          <w:tcPr>
            <w:tcW w:w="10354" w:type="dxa"/>
          </w:tcPr>
          <w:p w14:paraId="01DCFCE3" w14:textId="77777777" w:rsidR="003D7EF2" w:rsidRPr="00F012F1" w:rsidRDefault="003D7EF2" w:rsidP="003D7EF2">
            <w:pPr>
              <w:rPr>
                <w:rFonts w:ascii="Arial" w:hAnsi="Arial" w:cs="Arial"/>
                <w:sz w:val="24"/>
                <w:szCs w:val="24"/>
                <w:u w:val="single"/>
                <w:lang w:val="en-US"/>
              </w:rPr>
            </w:pPr>
            <w:r w:rsidRPr="00F012F1">
              <w:rPr>
                <w:rFonts w:ascii="Arial" w:hAnsi="Arial" w:cs="Arial"/>
                <w:sz w:val="24"/>
                <w:szCs w:val="24"/>
                <w:u w:val="single"/>
                <w:lang w:val="en-US"/>
              </w:rPr>
              <w:t>MONITORING OF ENVIRONMENTAL OR SOCIAL CHARACTERISTICS</w:t>
            </w:r>
          </w:p>
          <w:p w14:paraId="15DE4644" w14:textId="77777777" w:rsidR="003D7EF2" w:rsidRPr="00F012F1" w:rsidRDefault="003D7EF2" w:rsidP="003D7EF2">
            <w:pPr>
              <w:rPr>
                <w:rFonts w:ascii="Arial" w:hAnsi="Arial" w:cs="Arial"/>
                <w:sz w:val="24"/>
                <w:szCs w:val="24"/>
                <w:u w:val="single"/>
                <w:lang w:val="en-US"/>
              </w:rPr>
            </w:pPr>
          </w:p>
        </w:tc>
      </w:tr>
      <w:tr w:rsidR="00B11D53" w:rsidRPr="00CC1042" w14:paraId="35E6AD23" w14:textId="77777777" w:rsidTr="0065264E">
        <w:tc>
          <w:tcPr>
            <w:tcW w:w="562" w:type="dxa"/>
          </w:tcPr>
          <w:p w14:paraId="59D6BBB5" w14:textId="77777777" w:rsidR="00B11D53" w:rsidRPr="00F012F1" w:rsidRDefault="00B11D53" w:rsidP="00B11D53">
            <w:pPr>
              <w:rPr>
                <w:rFonts w:ascii="Arial" w:hAnsi="Arial" w:cs="Arial"/>
                <w:sz w:val="24"/>
                <w:szCs w:val="24"/>
                <w:lang w:val="en-US"/>
              </w:rPr>
            </w:pPr>
          </w:p>
        </w:tc>
        <w:tc>
          <w:tcPr>
            <w:tcW w:w="10354" w:type="dxa"/>
          </w:tcPr>
          <w:p w14:paraId="38B632C9" w14:textId="77777777" w:rsidR="00B11D53" w:rsidRPr="00B11D53" w:rsidRDefault="00B11D53" w:rsidP="00B11D53">
            <w:pPr>
              <w:rPr>
                <w:rFonts w:ascii="Arial" w:hAnsi="Arial" w:cs="Arial"/>
                <w:bCs/>
                <w:sz w:val="24"/>
                <w:szCs w:val="24"/>
                <w:lang w:val="en-GB"/>
              </w:rPr>
            </w:pPr>
            <w:r w:rsidRPr="00B11D53">
              <w:rPr>
                <w:rFonts w:ascii="Arial" w:hAnsi="Arial" w:cs="Arial"/>
                <w:bCs/>
                <w:sz w:val="24"/>
                <w:szCs w:val="24"/>
                <w:lang w:val="en-GB"/>
              </w:rPr>
              <w:t xml:space="preserve">The Fund aims to achieve a score of 60% on an average across the whole of the investment portfolio (not just the 80% of the investment portfolio that is targeted to be aligned with E/S characteristics, see below) by the 31 December 2031. This score is not expected at entry, and it is hoped that as each individual portfolio company transitions to a more mature company that they are an able, by the </w:t>
            </w:r>
            <w:proofErr w:type="gramStart"/>
            <w:r w:rsidRPr="00B11D53">
              <w:rPr>
                <w:rFonts w:ascii="Arial" w:hAnsi="Arial" w:cs="Arial"/>
                <w:bCs/>
                <w:sz w:val="24"/>
                <w:szCs w:val="24"/>
                <w:lang w:val="en-GB"/>
              </w:rPr>
              <w:t>aforementioned date</w:t>
            </w:r>
            <w:proofErr w:type="gramEnd"/>
            <w:r w:rsidRPr="00B11D53">
              <w:rPr>
                <w:rFonts w:ascii="Arial" w:hAnsi="Arial" w:cs="Arial"/>
                <w:bCs/>
                <w:sz w:val="24"/>
                <w:szCs w:val="24"/>
                <w:lang w:val="en-GB"/>
              </w:rPr>
              <w:t xml:space="preserve">, to reach this score across the portfolio. </w:t>
            </w:r>
          </w:p>
          <w:p w14:paraId="40C7154C" w14:textId="77777777" w:rsidR="00B11D53" w:rsidRPr="00B11D53" w:rsidRDefault="00B11D53" w:rsidP="00B11D53">
            <w:pPr>
              <w:rPr>
                <w:rFonts w:ascii="Arial" w:hAnsi="Arial" w:cs="Arial"/>
                <w:bCs/>
                <w:sz w:val="24"/>
                <w:szCs w:val="24"/>
                <w:lang w:val="en-GB"/>
              </w:rPr>
            </w:pPr>
          </w:p>
          <w:p w14:paraId="3088DB01" w14:textId="77777777" w:rsidR="00B11D53" w:rsidRPr="00B11D53" w:rsidRDefault="00B11D53" w:rsidP="00B11D53">
            <w:pPr>
              <w:rPr>
                <w:rFonts w:ascii="Arial" w:hAnsi="Arial" w:cs="Arial"/>
                <w:bCs/>
                <w:sz w:val="24"/>
                <w:szCs w:val="24"/>
                <w:lang w:val="en-GB"/>
              </w:rPr>
            </w:pPr>
            <w:r w:rsidRPr="00B11D53">
              <w:rPr>
                <w:rFonts w:ascii="Arial" w:hAnsi="Arial" w:cs="Arial"/>
                <w:bCs/>
                <w:sz w:val="24"/>
                <w:szCs w:val="24"/>
                <w:lang w:val="en-GB"/>
              </w:rPr>
              <w:t xml:space="preserve">Portfolio companies will strive towards the targeted score as their growth allowing further time and resource to be allocated to such matters, and separately through the continued support of both Bootstrap and any relevant other stakeholders where necessary. </w:t>
            </w:r>
          </w:p>
          <w:p w14:paraId="0D467967" w14:textId="77777777" w:rsidR="00B11D53" w:rsidRPr="00B11D53" w:rsidRDefault="00B11D53" w:rsidP="00B11D53">
            <w:pPr>
              <w:rPr>
                <w:rFonts w:ascii="Arial" w:hAnsi="Arial" w:cs="Arial"/>
                <w:bCs/>
                <w:sz w:val="24"/>
                <w:szCs w:val="24"/>
                <w:lang w:val="en-GB"/>
              </w:rPr>
            </w:pPr>
          </w:p>
          <w:p w14:paraId="5BB60285" w14:textId="2BFEF495" w:rsidR="00B11D53" w:rsidRPr="00CA614B" w:rsidRDefault="00B11D53" w:rsidP="00B11D53">
            <w:pPr>
              <w:rPr>
                <w:rFonts w:ascii="Arial" w:hAnsi="Arial" w:cs="Arial"/>
                <w:bCs/>
                <w:sz w:val="24"/>
                <w:szCs w:val="24"/>
                <w:lang w:val="en-GB"/>
              </w:rPr>
            </w:pPr>
            <w:r w:rsidRPr="00B11D53">
              <w:rPr>
                <w:rFonts w:ascii="Arial" w:hAnsi="Arial" w:cs="Arial"/>
                <w:bCs/>
                <w:sz w:val="24"/>
                <w:szCs w:val="24"/>
                <w:lang w:val="en-GB"/>
              </w:rPr>
              <w:t>The score of 60% is calculated</w:t>
            </w:r>
            <w:r>
              <w:rPr>
                <w:rFonts w:ascii="Arial" w:hAnsi="Arial" w:cs="Arial"/>
                <w:bCs/>
                <w:sz w:val="24"/>
                <w:szCs w:val="24"/>
                <w:lang w:val="en-GB"/>
              </w:rPr>
              <w:t xml:space="preserve"> through a proprietary scoring method</w:t>
            </w:r>
            <w:r w:rsidRPr="00B11D53">
              <w:rPr>
                <w:rFonts w:ascii="Arial" w:hAnsi="Arial" w:cs="Arial"/>
                <w:bCs/>
                <w:sz w:val="24"/>
                <w:szCs w:val="24"/>
                <w:lang w:val="en-GB"/>
              </w:rPr>
              <w:t xml:space="preserve"> based upon the tracking and weighting of various metrics (as disclosed in the previous question) through an annual questionnaire to borrowers.</w:t>
            </w:r>
          </w:p>
          <w:p w14:paraId="06DBB620" w14:textId="53C01339" w:rsidR="00B11D53" w:rsidRPr="00F012F1" w:rsidRDefault="00B11D53" w:rsidP="00B11D53">
            <w:pPr>
              <w:rPr>
                <w:rFonts w:ascii="Arial" w:hAnsi="Arial" w:cs="Arial"/>
                <w:sz w:val="24"/>
                <w:szCs w:val="24"/>
                <w:lang w:val="en-US"/>
              </w:rPr>
            </w:pPr>
          </w:p>
        </w:tc>
      </w:tr>
      <w:tr w:rsidR="00B11D53" w:rsidRPr="00F012F1" w14:paraId="1586EFC3" w14:textId="77777777" w:rsidTr="0065264E">
        <w:tc>
          <w:tcPr>
            <w:tcW w:w="562" w:type="dxa"/>
          </w:tcPr>
          <w:p w14:paraId="6D8CE470" w14:textId="537AECF0" w:rsidR="00B11D53" w:rsidRPr="00F012F1" w:rsidRDefault="00B11D53" w:rsidP="00B11D53">
            <w:pPr>
              <w:rPr>
                <w:rFonts w:ascii="Arial" w:hAnsi="Arial" w:cs="Arial"/>
                <w:sz w:val="24"/>
                <w:szCs w:val="24"/>
                <w:lang w:val="en-US"/>
              </w:rPr>
            </w:pPr>
            <w:r w:rsidRPr="00F012F1">
              <w:rPr>
                <w:rFonts w:ascii="Arial" w:hAnsi="Arial" w:cs="Arial"/>
                <w:sz w:val="24"/>
                <w:szCs w:val="24"/>
                <w:lang w:val="en-US"/>
              </w:rPr>
              <w:t>G</w:t>
            </w:r>
          </w:p>
        </w:tc>
        <w:tc>
          <w:tcPr>
            <w:tcW w:w="10354" w:type="dxa"/>
          </w:tcPr>
          <w:p w14:paraId="51249CE4" w14:textId="77777777"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 xml:space="preserve">METHODOLOGIES </w:t>
            </w:r>
          </w:p>
          <w:p w14:paraId="04A3A894" w14:textId="77777777" w:rsidR="00B11D53" w:rsidRPr="00F012F1" w:rsidRDefault="00B11D53" w:rsidP="00B11D53">
            <w:pPr>
              <w:rPr>
                <w:rFonts w:ascii="Arial" w:hAnsi="Arial" w:cs="Arial"/>
                <w:sz w:val="24"/>
                <w:szCs w:val="24"/>
                <w:u w:val="single"/>
                <w:lang w:val="en-US"/>
              </w:rPr>
            </w:pPr>
          </w:p>
        </w:tc>
      </w:tr>
      <w:tr w:rsidR="00B11D53" w:rsidRPr="00CC1042" w14:paraId="52B9DD6B" w14:textId="77777777" w:rsidTr="0065264E">
        <w:tc>
          <w:tcPr>
            <w:tcW w:w="562" w:type="dxa"/>
          </w:tcPr>
          <w:p w14:paraId="74A8D5F1" w14:textId="77777777" w:rsidR="00B11D53" w:rsidRPr="00F012F1" w:rsidRDefault="00B11D53" w:rsidP="00B11D53">
            <w:pPr>
              <w:rPr>
                <w:rFonts w:ascii="Arial" w:hAnsi="Arial" w:cs="Arial"/>
                <w:sz w:val="24"/>
                <w:szCs w:val="24"/>
                <w:lang w:val="en-US"/>
              </w:rPr>
            </w:pPr>
          </w:p>
        </w:tc>
        <w:tc>
          <w:tcPr>
            <w:tcW w:w="10354" w:type="dxa"/>
          </w:tcPr>
          <w:p w14:paraId="7220DA7D" w14:textId="77777777" w:rsidR="00B11D53" w:rsidRPr="00B11D53" w:rsidRDefault="00B11D53" w:rsidP="00B11D53">
            <w:pPr>
              <w:rPr>
                <w:rFonts w:ascii="Arial" w:hAnsi="Arial" w:cs="Arial"/>
                <w:bCs/>
                <w:sz w:val="24"/>
                <w:szCs w:val="24"/>
                <w:lang w:val="en-GB"/>
              </w:rPr>
            </w:pPr>
            <w:r w:rsidRPr="00B11D53">
              <w:rPr>
                <w:rFonts w:ascii="Arial" w:hAnsi="Arial" w:cs="Arial"/>
                <w:bCs/>
                <w:sz w:val="24"/>
                <w:szCs w:val="24"/>
                <w:lang w:val="en-GB"/>
              </w:rPr>
              <w:t xml:space="preserve">The Fund aims to achieve a score of 60% on an average across the whole of the investment portfolio (not just the 80% of the investment portfolio that is targeted to be aligned with E/S characteristics, see below) by the 31 December 2031. This score is not expected at entry, and it is hoped that as each individual portfolio company transitions to a more mature company that they are an able, by the </w:t>
            </w:r>
            <w:proofErr w:type="gramStart"/>
            <w:r w:rsidRPr="00B11D53">
              <w:rPr>
                <w:rFonts w:ascii="Arial" w:hAnsi="Arial" w:cs="Arial"/>
                <w:bCs/>
                <w:sz w:val="24"/>
                <w:szCs w:val="24"/>
                <w:lang w:val="en-GB"/>
              </w:rPr>
              <w:t>aforementioned date</w:t>
            </w:r>
            <w:proofErr w:type="gramEnd"/>
            <w:r w:rsidRPr="00B11D53">
              <w:rPr>
                <w:rFonts w:ascii="Arial" w:hAnsi="Arial" w:cs="Arial"/>
                <w:bCs/>
                <w:sz w:val="24"/>
                <w:szCs w:val="24"/>
                <w:lang w:val="en-GB"/>
              </w:rPr>
              <w:t xml:space="preserve">, to reach this score across the portfolio. </w:t>
            </w:r>
          </w:p>
          <w:p w14:paraId="716AE990" w14:textId="77777777" w:rsidR="00B11D53" w:rsidRPr="00B11D53" w:rsidRDefault="00B11D53" w:rsidP="00B11D53">
            <w:pPr>
              <w:rPr>
                <w:rFonts w:ascii="Arial" w:hAnsi="Arial" w:cs="Arial"/>
                <w:bCs/>
                <w:sz w:val="24"/>
                <w:szCs w:val="24"/>
                <w:lang w:val="en-GB"/>
              </w:rPr>
            </w:pPr>
          </w:p>
          <w:p w14:paraId="2D8F38C4" w14:textId="77777777" w:rsidR="00B11D53" w:rsidRPr="00B11D53" w:rsidRDefault="00B11D53" w:rsidP="00B11D53">
            <w:pPr>
              <w:rPr>
                <w:rFonts w:ascii="Arial" w:hAnsi="Arial" w:cs="Arial"/>
                <w:bCs/>
                <w:sz w:val="24"/>
                <w:szCs w:val="24"/>
                <w:lang w:val="en-GB"/>
              </w:rPr>
            </w:pPr>
            <w:r w:rsidRPr="00B11D53">
              <w:rPr>
                <w:rFonts w:ascii="Arial" w:hAnsi="Arial" w:cs="Arial"/>
                <w:bCs/>
                <w:sz w:val="24"/>
                <w:szCs w:val="24"/>
                <w:lang w:val="en-GB"/>
              </w:rPr>
              <w:t xml:space="preserve">Portfolio companies will strive towards the targeted score as their growth allowing further time and resource to be allocated to such matters, and separately through the continued support of both Bootstrap and any relevant other stakeholders where necessary. </w:t>
            </w:r>
          </w:p>
          <w:p w14:paraId="6A818FFE" w14:textId="77777777" w:rsidR="00B11D53" w:rsidRPr="00B11D53" w:rsidRDefault="00B11D53" w:rsidP="00B11D53">
            <w:pPr>
              <w:rPr>
                <w:rFonts w:ascii="Arial" w:hAnsi="Arial" w:cs="Arial"/>
                <w:bCs/>
                <w:sz w:val="24"/>
                <w:szCs w:val="24"/>
                <w:lang w:val="en-GB"/>
              </w:rPr>
            </w:pPr>
          </w:p>
          <w:p w14:paraId="0C24710B" w14:textId="4066F57D" w:rsidR="00B11D53" w:rsidRPr="00F012F1" w:rsidRDefault="00B11D53" w:rsidP="00B11D53">
            <w:pPr>
              <w:rPr>
                <w:rFonts w:ascii="Arial" w:hAnsi="Arial" w:cs="Arial"/>
                <w:sz w:val="24"/>
                <w:szCs w:val="24"/>
                <w:lang w:val="en-US"/>
              </w:rPr>
            </w:pPr>
            <w:r w:rsidRPr="00B11D53">
              <w:rPr>
                <w:rFonts w:ascii="Arial" w:hAnsi="Arial" w:cs="Arial"/>
                <w:bCs/>
                <w:sz w:val="24"/>
                <w:szCs w:val="24"/>
                <w:lang w:val="en-GB"/>
              </w:rPr>
              <w:t>The score of 60% is calculated</w:t>
            </w:r>
            <w:r>
              <w:rPr>
                <w:rFonts w:ascii="Arial" w:hAnsi="Arial" w:cs="Arial"/>
                <w:bCs/>
                <w:sz w:val="24"/>
                <w:szCs w:val="24"/>
                <w:lang w:val="en-GB"/>
              </w:rPr>
              <w:t xml:space="preserve"> through a proprietary scoring method</w:t>
            </w:r>
            <w:r w:rsidRPr="00B11D53">
              <w:rPr>
                <w:rFonts w:ascii="Arial" w:hAnsi="Arial" w:cs="Arial"/>
                <w:bCs/>
                <w:sz w:val="24"/>
                <w:szCs w:val="24"/>
                <w:lang w:val="en-GB"/>
              </w:rPr>
              <w:t xml:space="preserve"> based upon the tracking and weighting of various metrics (as disclosed in the previous question) through an annual questionnaire to borrowers.</w:t>
            </w:r>
          </w:p>
          <w:p w14:paraId="760BC4E9" w14:textId="77777777" w:rsidR="00B11D53" w:rsidRPr="00F012F1" w:rsidRDefault="00B11D53" w:rsidP="00B11D53">
            <w:pPr>
              <w:rPr>
                <w:rFonts w:ascii="Arial" w:hAnsi="Arial" w:cs="Arial"/>
                <w:sz w:val="24"/>
                <w:szCs w:val="24"/>
                <w:lang w:val="en-US"/>
              </w:rPr>
            </w:pPr>
          </w:p>
          <w:p w14:paraId="6D117B73" w14:textId="55D9FD6B" w:rsidR="00B11D53" w:rsidRPr="00F012F1" w:rsidRDefault="00201797" w:rsidP="00B11D53">
            <w:pPr>
              <w:rPr>
                <w:rFonts w:ascii="Arial" w:hAnsi="Arial" w:cs="Arial"/>
                <w:sz w:val="24"/>
                <w:szCs w:val="24"/>
                <w:lang w:val="en-US"/>
              </w:rPr>
            </w:pPr>
            <w:r>
              <w:rPr>
                <w:rFonts w:ascii="Arial" w:hAnsi="Arial" w:cs="Arial"/>
                <w:sz w:val="24"/>
                <w:szCs w:val="24"/>
                <w:lang w:val="en-US"/>
              </w:rPr>
              <w:t>Environmental and social characteristics are defined as part of the Partnership’s ESG policy, and are reviewed internally on an ongoing basis, and specifically during each reporting cycle.</w:t>
            </w:r>
          </w:p>
        </w:tc>
      </w:tr>
      <w:tr w:rsidR="00B11D53" w:rsidRPr="00F012F1" w14:paraId="33687D3C" w14:textId="77777777" w:rsidTr="0065264E">
        <w:tc>
          <w:tcPr>
            <w:tcW w:w="562" w:type="dxa"/>
          </w:tcPr>
          <w:p w14:paraId="3F70286A" w14:textId="2DE09259" w:rsidR="00B11D53" w:rsidRPr="00F012F1" w:rsidRDefault="00B11D53" w:rsidP="00B11D53">
            <w:pPr>
              <w:rPr>
                <w:rFonts w:ascii="Arial" w:hAnsi="Arial" w:cs="Arial"/>
                <w:sz w:val="24"/>
                <w:szCs w:val="24"/>
                <w:lang w:val="en-US"/>
              </w:rPr>
            </w:pPr>
            <w:r w:rsidRPr="00F012F1">
              <w:rPr>
                <w:rFonts w:ascii="Arial" w:hAnsi="Arial" w:cs="Arial"/>
                <w:sz w:val="24"/>
                <w:szCs w:val="24"/>
                <w:lang w:val="en-US"/>
              </w:rPr>
              <w:lastRenderedPageBreak/>
              <w:t>H</w:t>
            </w:r>
          </w:p>
        </w:tc>
        <w:tc>
          <w:tcPr>
            <w:tcW w:w="10354" w:type="dxa"/>
          </w:tcPr>
          <w:p w14:paraId="4CCB3C7B" w14:textId="77777777"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DATA SOURCES AND PROCESSING</w:t>
            </w:r>
          </w:p>
          <w:p w14:paraId="2BDC0996" w14:textId="77777777" w:rsidR="00B11D53" w:rsidRPr="00F012F1" w:rsidRDefault="00B11D53" w:rsidP="00B11D53">
            <w:pPr>
              <w:rPr>
                <w:rFonts w:ascii="Arial" w:hAnsi="Arial" w:cs="Arial"/>
                <w:sz w:val="24"/>
                <w:szCs w:val="24"/>
                <w:lang w:val="en-US"/>
              </w:rPr>
            </w:pPr>
          </w:p>
        </w:tc>
      </w:tr>
      <w:tr w:rsidR="00B11D53" w:rsidRPr="00CC1042" w14:paraId="186B3C8E" w14:textId="77777777" w:rsidTr="0065264E">
        <w:tc>
          <w:tcPr>
            <w:tcW w:w="562" w:type="dxa"/>
          </w:tcPr>
          <w:p w14:paraId="4A99340C" w14:textId="77777777" w:rsidR="00B11D53" w:rsidRPr="00F012F1" w:rsidRDefault="00B11D53" w:rsidP="00B11D53">
            <w:pPr>
              <w:rPr>
                <w:rFonts w:ascii="Arial" w:hAnsi="Arial" w:cs="Arial"/>
                <w:sz w:val="24"/>
                <w:szCs w:val="24"/>
                <w:lang w:val="en-US"/>
              </w:rPr>
            </w:pPr>
          </w:p>
        </w:tc>
        <w:tc>
          <w:tcPr>
            <w:tcW w:w="10354" w:type="dxa"/>
          </w:tcPr>
          <w:p w14:paraId="21040EE3" w14:textId="77777777" w:rsidR="00B11D53" w:rsidRPr="00B11D53" w:rsidRDefault="00B11D53" w:rsidP="00B11D53">
            <w:pPr>
              <w:jc w:val="both"/>
              <w:rPr>
                <w:rFonts w:ascii="Arial" w:hAnsi="Arial" w:cs="Arial"/>
                <w:sz w:val="24"/>
                <w:szCs w:val="24"/>
                <w:lang w:val="en-GB"/>
              </w:rPr>
            </w:pPr>
            <w:r w:rsidRPr="00B11D53">
              <w:rPr>
                <w:rFonts w:ascii="Arial" w:hAnsi="Arial" w:cs="Arial"/>
                <w:sz w:val="24"/>
                <w:szCs w:val="24"/>
                <w:lang w:val="en-GB"/>
              </w:rPr>
              <w:t>Data sources</w:t>
            </w:r>
          </w:p>
          <w:p w14:paraId="33BBEA31" w14:textId="77777777" w:rsidR="00B11D53" w:rsidRPr="00B11D53" w:rsidRDefault="00B11D53" w:rsidP="00B11D53">
            <w:pPr>
              <w:numPr>
                <w:ilvl w:val="0"/>
                <w:numId w:val="36"/>
              </w:numPr>
              <w:jc w:val="both"/>
              <w:rPr>
                <w:rFonts w:ascii="Arial" w:hAnsi="Arial" w:cs="Arial"/>
                <w:sz w:val="24"/>
                <w:szCs w:val="24"/>
                <w:lang w:val="en-GB"/>
              </w:rPr>
            </w:pPr>
            <w:r w:rsidRPr="00B11D53">
              <w:rPr>
                <w:rFonts w:ascii="Arial" w:hAnsi="Arial" w:cs="Arial"/>
                <w:sz w:val="24"/>
                <w:szCs w:val="24"/>
                <w:lang w:val="en-GB"/>
              </w:rPr>
              <w:t>Due diligence when screening an investment</w:t>
            </w:r>
          </w:p>
          <w:p w14:paraId="4B141777" w14:textId="77777777" w:rsidR="00B11D53" w:rsidRPr="00B11D53" w:rsidRDefault="00B11D53" w:rsidP="00B11D53">
            <w:pPr>
              <w:numPr>
                <w:ilvl w:val="0"/>
                <w:numId w:val="36"/>
              </w:numPr>
              <w:jc w:val="both"/>
              <w:rPr>
                <w:rFonts w:ascii="Arial" w:hAnsi="Arial" w:cs="Arial"/>
                <w:sz w:val="24"/>
                <w:szCs w:val="24"/>
                <w:lang w:val="en-GB"/>
              </w:rPr>
            </w:pPr>
            <w:r w:rsidRPr="00B11D53">
              <w:rPr>
                <w:rFonts w:ascii="Arial" w:hAnsi="Arial" w:cs="Arial"/>
                <w:sz w:val="24"/>
                <w:szCs w:val="24"/>
                <w:lang w:val="en-GB"/>
              </w:rPr>
              <w:t>Further due diligence on onboarding of an asset</w:t>
            </w:r>
          </w:p>
          <w:p w14:paraId="5CD51CE0" w14:textId="77777777" w:rsidR="00B11D53" w:rsidRPr="00B11D53" w:rsidRDefault="00B11D53" w:rsidP="00B11D53">
            <w:pPr>
              <w:numPr>
                <w:ilvl w:val="0"/>
                <w:numId w:val="36"/>
              </w:numPr>
              <w:jc w:val="both"/>
              <w:rPr>
                <w:rFonts w:ascii="Arial" w:hAnsi="Arial" w:cs="Arial"/>
                <w:sz w:val="24"/>
                <w:szCs w:val="24"/>
                <w:lang w:val="en-GB"/>
              </w:rPr>
            </w:pPr>
            <w:r w:rsidRPr="00B11D53">
              <w:rPr>
                <w:rFonts w:ascii="Arial" w:hAnsi="Arial" w:cs="Arial"/>
                <w:sz w:val="24"/>
                <w:szCs w:val="24"/>
                <w:lang w:val="en-GB"/>
              </w:rPr>
              <w:t>Annual questionnaire</w:t>
            </w:r>
          </w:p>
          <w:p w14:paraId="76C1A5BF" w14:textId="77777777" w:rsidR="00B11D53" w:rsidRPr="00B11D53" w:rsidRDefault="00B11D53" w:rsidP="00B11D53">
            <w:pPr>
              <w:numPr>
                <w:ilvl w:val="0"/>
                <w:numId w:val="36"/>
              </w:numPr>
              <w:jc w:val="both"/>
              <w:rPr>
                <w:rFonts w:ascii="Arial" w:hAnsi="Arial" w:cs="Arial"/>
                <w:sz w:val="24"/>
                <w:szCs w:val="24"/>
                <w:lang w:val="en-GB"/>
              </w:rPr>
            </w:pPr>
            <w:r w:rsidRPr="00B11D53">
              <w:rPr>
                <w:rFonts w:ascii="Arial" w:hAnsi="Arial" w:cs="Arial"/>
                <w:sz w:val="24"/>
                <w:szCs w:val="24"/>
                <w:lang w:val="en-GB"/>
              </w:rPr>
              <w:t>General, ongoing and ad-hoc data gathering</w:t>
            </w:r>
          </w:p>
          <w:p w14:paraId="517FADA4" w14:textId="77777777" w:rsidR="00B11D53" w:rsidRPr="00B11D53" w:rsidRDefault="00B11D53" w:rsidP="00B11D53">
            <w:pPr>
              <w:jc w:val="both"/>
              <w:rPr>
                <w:rFonts w:ascii="Arial" w:hAnsi="Arial" w:cs="Arial"/>
                <w:sz w:val="24"/>
                <w:szCs w:val="24"/>
                <w:lang w:val="en-GB"/>
              </w:rPr>
            </w:pPr>
          </w:p>
          <w:p w14:paraId="5AC49E3B" w14:textId="3368AB48" w:rsidR="00B11D53" w:rsidRPr="00B11D53" w:rsidRDefault="00B11D53" w:rsidP="00B11D53">
            <w:pPr>
              <w:jc w:val="both"/>
              <w:rPr>
                <w:rFonts w:ascii="Arial" w:hAnsi="Arial" w:cs="Arial"/>
                <w:sz w:val="24"/>
                <w:szCs w:val="24"/>
                <w:lang w:val="en-GB"/>
              </w:rPr>
            </w:pPr>
            <w:r w:rsidRPr="00B11D53">
              <w:rPr>
                <w:rFonts w:ascii="Arial" w:hAnsi="Arial" w:cs="Arial"/>
                <w:sz w:val="24"/>
                <w:szCs w:val="24"/>
                <w:lang w:val="en-GB"/>
              </w:rPr>
              <w:t>Quality of data</w:t>
            </w:r>
          </w:p>
          <w:p w14:paraId="43F71D44" w14:textId="77777777" w:rsidR="00B11D53" w:rsidRPr="00B11D53" w:rsidRDefault="00B11D53" w:rsidP="00B11D53">
            <w:pPr>
              <w:numPr>
                <w:ilvl w:val="0"/>
                <w:numId w:val="35"/>
              </w:numPr>
              <w:jc w:val="both"/>
              <w:rPr>
                <w:rFonts w:ascii="Arial" w:hAnsi="Arial" w:cs="Arial"/>
                <w:sz w:val="24"/>
                <w:szCs w:val="24"/>
                <w:lang w:val="en-GB"/>
              </w:rPr>
            </w:pPr>
            <w:r w:rsidRPr="00B11D53">
              <w:rPr>
                <w:rFonts w:ascii="Arial" w:hAnsi="Arial" w:cs="Arial"/>
                <w:sz w:val="24"/>
                <w:szCs w:val="24"/>
                <w:lang w:val="en-GB"/>
              </w:rPr>
              <w:t>Quality of data is ensured through collaboration with the underlying investee company and ensuring enshrined as a legal obligation as part of the underlying legal agreements</w:t>
            </w:r>
          </w:p>
          <w:p w14:paraId="7A2A9FC1" w14:textId="77777777" w:rsidR="00B11D53" w:rsidRPr="00B11D53" w:rsidRDefault="00B11D53" w:rsidP="00B11D53">
            <w:pPr>
              <w:numPr>
                <w:ilvl w:val="0"/>
                <w:numId w:val="35"/>
              </w:numPr>
              <w:jc w:val="both"/>
              <w:rPr>
                <w:rFonts w:ascii="Arial" w:hAnsi="Arial" w:cs="Arial"/>
                <w:sz w:val="24"/>
                <w:szCs w:val="24"/>
                <w:lang w:val="en-GB"/>
              </w:rPr>
            </w:pPr>
            <w:r w:rsidRPr="00B11D53">
              <w:rPr>
                <w:rFonts w:ascii="Arial" w:hAnsi="Arial" w:cs="Arial"/>
                <w:sz w:val="24"/>
                <w:szCs w:val="24"/>
                <w:lang w:val="en-GB"/>
              </w:rPr>
              <w:t>A deminimus amount of data is estimated, however it must be viewed in line with the limitations outlined in I below</w:t>
            </w:r>
          </w:p>
          <w:p w14:paraId="281067CF" w14:textId="58DDCC8E" w:rsidR="00B11D53" w:rsidRPr="00F012F1" w:rsidRDefault="00B11D53" w:rsidP="00B11D53">
            <w:pPr>
              <w:jc w:val="both"/>
              <w:rPr>
                <w:rFonts w:ascii="Arial" w:hAnsi="Arial" w:cs="Arial"/>
                <w:sz w:val="24"/>
                <w:szCs w:val="24"/>
                <w:lang w:val="en-US"/>
              </w:rPr>
            </w:pPr>
          </w:p>
        </w:tc>
      </w:tr>
      <w:tr w:rsidR="00B11D53" w:rsidRPr="00CC1042" w14:paraId="73EE36D7" w14:textId="77777777" w:rsidTr="0065264E">
        <w:tc>
          <w:tcPr>
            <w:tcW w:w="562" w:type="dxa"/>
          </w:tcPr>
          <w:p w14:paraId="24ACB323" w14:textId="3E020ED9" w:rsidR="00B11D53" w:rsidRPr="00F012F1" w:rsidRDefault="00B11D53" w:rsidP="00B11D53">
            <w:pPr>
              <w:rPr>
                <w:rFonts w:ascii="Arial" w:hAnsi="Arial" w:cs="Arial"/>
                <w:sz w:val="24"/>
                <w:szCs w:val="24"/>
                <w:lang w:val="en-US"/>
              </w:rPr>
            </w:pPr>
            <w:r w:rsidRPr="00F012F1">
              <w:rPr>
                <w:rFonts w:ascii="Arial" w:hAnsi="Arial" w:cs="Arial"/>
                <w:sz w:val="24"/>
                <w:szCs w:val="24"/>
                <w:lang w:val="en-US"/>
              </w:rPr>
              <w:t>I</w:t>
            </w:r>
          </w:p>
        </w:tc>
        <w:tc>
          <w:tcPr>
            <w:tcW w:w="10354" w:type="dxa"/>
          </w:tcPr>
          <w:p w14:paraId="1060FD9D" w14:textId="42C3FB7A"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LIMITATIONS TO METHODOLOGIES AND DATA</w:t>
            </w:r>
          </w:p>
        </w:tc>
      </w:tr>
      <w:tr w:rsidR="00B11D53" w:rsidRPr="003D7EF2" w14:paraId="61741979" w14:textId="77777777" w:rsidTr="0065264E">
        <w:tc>
          <w:tcPr>
            <w:tcW w:w="562" w:type="dxa"/>
          </w:tcPr>
          <w:p w14:paraId="14BAC8E6" w14:textId="77777777" w:rsidR="00B11D53" w:rsidRPr="00F012F1" w:rsidRDefault="00B11D53" w:rsidP="00B11D53">
            <w:pPr>
              <w:rPr>
                <w:rFonts w:ascii="Arial" w:hAnsi="Arial" w:cs="Arial"/>
                <w:sz w:val="24"/>
                <w:szCs w:val="24"/>
                <w:lang w:val="en-US"/>
              </w:rPr>
            </w:pPr>
          </w:p>
        </w:tc>
        <w:tc>
          <w:tcPr>
            <w:tcW w:w="10354" w:type="dxa"/>
          </w:tcPr>
          <w:p w14:paraId="03E4A908" w14:textId="77777777" w:rsidR="00B11D53" w:rsidRPr="00B11D53" w:rsidRDefault="00B11D53" w:rsidP="00B11D53">
            <w:pPr>
              <w:jc w:val="both"/>
              <w:rPr>
                <w:rFonts w:ascii="Arial" w:hAnsi="Arial" w:cs="Arial"/>
                <w:sz w:val="24"/>
                <w:szCs w:val="24"/>
                <w:lang w:val="en-US"/>
              </w:rPr>
            </w:pPr>
            <w:r w:rsidRPr="00B11D53">
              <w:rPr>
                <w:rFonts w:ascii="Arial" w:hAnsi="Arial" w:cs="Arial"/>
                <w:sz w:val="24"/>
                <w:szCs w:val="24"/>
                <w:lang w:val="en-US"/>
              </w:rPr>
              <w:t>Underlying portfolio company:</w:t>
            </w:r>
          </w:p>
          <w:p w14:paraId="763543F6" w14:textId="77777777" w:rsidR="00B11D53" w:rsidRPr="00B11D53" w:rsidRDefault="00B11D53" w:rsidP="00B11D53">
            <w:pPr>
              <w:jc w:val="both"/>
              <w:rPr>
                <w:rFonts w:ascii="Arial" w:hAnsi="Arial" w:cs="Arial"/>
                <w:sz w:val="24"/>
                <w:szCs w:val="24"/>
                <w:lang w:val="en-US"/>
              </w:rPr>
            </w:pPr>
            <w:r w:rsidRPr="00B11D53">
              <w:rPr>
                <w:rFonts w:ascii="Arial" w:hAnsi="Arial" w:cs="Arial"/>
                <w:sz w:val="24"/>
                <w:szCs w:val="24"/>
                <w:lang w:val="en-US"/>
              </w:rPr>
              <w:t xml:space="preserve">Methodology and data are limited by the asset class within which we sit. No board seat or direct involvement with management undertaken. </w:t>
            </w:r>
          </w:p>
          <w:p w14:paraId="747D2D13" w14:textId="77777777" w:rsidR="00B11D53" w:rsidRPr="00B11D53" w:rsidRDefault="00B11D53" w:rsidP="00B11D53">
            <w:pPr>
              <w:jc w:val="both"/>
              <w:rPr>
                <w:rFonts w:ascii="Arial" w:hAnsi="Arial" w:cs="Arial"/>
                <w:sz w:val="24"/>
                <w:szCs w:val="24"/>
                <w:lang w:val="en-US"/>
              </w:rPr>
            </w:pPr>
          </w:p>
          <w:p w14:paraId="741EB8C0" w14:textId="013723B9" w:rsidR="00B11D53" w:rsidRPr="00F012F1" w:rsidRDefault="00B11D53" w:rsidP="00B11D53">
            <w:pPr>
              <w:jc w:val="both"/>
              <w:rPr>
                <w:rFonts w:ascii="Arial" w:hAnsi="Arial" w:cs="Arial"/>
                <w:sz w:val="24"/>
                <w:szCs w:val="24"/>
                <w:lang w:val="en-US"/>
              </w:rPr>
            </w:pPr>
            <w:r w:rsidRPr="00B11D53">
              <w:rPr>
                <w:rFonts w:ascii="Arial" w:hAnsi="Arial" w:cs="Arial"/>
                <w:sz w:val="24"/>
                <w:szCs w:val="24"/>
                <w:lang w:val="en-US"/>
              </w:rPr>
              <w:t>This doesn’t impact how the Partnership promotes environmental/social characteristics, as the outlined limitations are built into how we promote the product. This is a limitation that is industry wide</w:t>
            </w:r>
          </w:p>
          <w:p w14:paraId="7F28E16A" w14:textId="77777777" w:rsidR="00B11D53" w:rsidRPr="00F012F1" w:rsidRDefault="00B11D53" w:rsidP="00B11D53">
            <w:pPr>
              <w:jc w:val="both"/>
              <w:rPr>
                <w:rFonts w:ascii="Arial" w:hAnsi="Arial" w:cs="Arial"/>
                <w:sz w:val="24"/>
                <w:szCs w:val="24"/>
                <w:lang w:val="en-US"/>
              </w:rPr>
            </w:pPr>
          </w:p>
          <w:p w14:paraId="5CB9DD85" w14:textId="7393472F" w:rsidR="00B11D53" w:rsidRPr="00F012F1" w:rsidRDefault="00B11D53" w:rsidP="00B11D53">
            <w:pPr>
              <w:rPr>
                <w:rFonts w:ascii="Arial" w:hAnsi="Arial" w:cs="Arial"/>
                <w:sz w:val="24"/>
                <w:szCs w:val="24"/>
                <w:u w:val="single"/>
                <w:lang w:val="en-US"/>
              </w:rPr>
            </w:pPr>
          </w:p>
        </w:tc>
      </w:tr>
      <w:tr w:rsidR="00B11D53" w:rsidRPr="00F012F1" w14:paraId="51ACD40B" w14:textId="77777777" w:rsidTr="0065264E">
        <w:tc>
          <w:tcPr>
            <w:tcW w:w="562" w:type="dxa"/>
          </w:tcPr>
          <w:p w14:paraId="15078D36" w14:textId="65A88E5C" w:rsidR="00B11D53" w:rsidRPr="00F012F1" w:rsidRDefault="00B11D53" w:rsidP="00B11D53">
            <w:pPr>
              <w:rPr>
                <w:rFonts w:ascii="Arial" w:hAnsi="Arial" w:cs="Arial"/>
                <w:sz w:val="24"/>
                <w:szCs w:val="24"/>
                <w:lang w:val="en-US"/>
              </w:rPr>
            </w:pPr>
            <w:r>
              <w:rPr>
                <w:rFonts w:ascii="Arial" w:hAnsi="Arial" w:cs="Arial"/>
                <w:sz w:val="24"/>
                <w:szCs w:val="24"/>
                <w:lang w:val="en-US"/>
              </w:rPr>
              <w:t>J</w:t>
            </w:r>
          </w:p>
        </w:tc>
        <w:tc>
          <w:tcPr>
            <w:tcW w:w="10354" w:type="dxa"/>
          </w:tcPr>
          <w:p w14:paraId="5DC10A16" w14:textId="5686EE35"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DUE DILIGENCE</w:t>
            </w:r>
          </w:p>
        </w:tc>
      </w:tr>
      <w:tr w:rsidR="00B11D53" w:rsidRPr="00CC1042" w14:paraId="34D19BD0" w14:textId="77777777" w:rsidTr="0065264E">
        <w:tc>
          <w:tcPr>
            <w:tcW w:w="562" w:type="dxa"/>
          </w:tcPr>
          <w:p w14:paraId="6E4F92F8" w14:textId="77777777" w:rsidR="00B11D53" w:rsidRPr="00F012F1" w:rsidRDefault="00B11D53" w:rsidP="00B11D53">
            <w:pPr>
              <w:rPr>
                <w:rFonts w:ascii="Arial" w:hAnsi="Arial" w:cs="Arial"/>
                <w:sz w:val="24"/>
                <w:szCs w:val="24"/>
                <w:lang w:val="en-US"/>
              </w:rPr>
            </w:pPr>
          </w:p>
        </w:tc>
        <w:tc>
          <w:tcPr>
            <w:tcW w:w="10354" w:type="dxa"/>
          </w:tcPr>
          <w:p w14:paraId="325433EF" w14:textId="0597BE70" w:rsidR="00B11D53" w:rsidRPr="00CE2C4B" w:rsidRDefault="00B11D53" w:rsidP="00B11D53">
            <w:pPr>
              <w:rPr>
                <w:rFonts w:ascii="Arial" w:hAnsi="Arial" w:cs="Arial"/>
                <w:sz w:val="24"/>
                <w:szCs w:val="24"/>
                <w:lang w:val="en-GB"/>
              </w:rPr>
            </w:pPr>
            <w:r w:rsidRPr="00CE2C4B">
              <w:rPr>
                <w:rFonts w:ascii="Arial" w:hAnsi="Arial" w:cs="Arial"/>
                <w:sz w:val="24"/>
                <w:szCs w:val="24"/>
                <w:lang w:val="en-GB"/>
              </w:rPr>
              <w:t>Due diligence is determined by compliance with the negative screening criteria; of which there are two major parts:</w:t>
            </w:r>
          </w:p>
          <w:p w14:paraId="043F040D" w14:textId="410D3F6F" w:rsidR="00B11D53" w:rsidRPr="00CE2C4B" w:rsidRDefault="00B11D53" w:rsidP="00B11D53">
            <w:pPr>
              <w:pStyle w:val="ListParagraph"/>
              <w:numPr>
                <w:ilvl w:val="0"/>
                <w:numId w:val="38"/>
              </w:numPr>
              <w:rPr>
                <w:rFonts w:ascii="Arial" w:hAnsi="Arial" w:cs="Arial"/>
                <w:sz w:val="24"/>
                <w:szCs w:val="24"/>
                <w:lang w:val="en-GB"/>
              </w:rPr>
            </w:pPr>
            <w:r w:rsidRPr="00CE2C4B">
              <w:rPr>
                <w:rFonts w:ascii="Arial" w:hAnsi="Arial" w:cs="Arial"/>
                <w:sz w:val="24"/>
                <w:szCs w:val="24"/>
                <w:lang w:val="en-GB"/>
              </w:rPr>
              <w:t>Adherence to the various exclusion lists that apply (LP, InvestEU, etc)</w:t>
            </w:r>
          </w:p>
          <w:p w14:paraId="7DC62049" w14:textId="57C9927F" w:rsidR="00B11D53" w:rsidRPr="00B11D53" w:rsidRDefault="00B11D53" w:rsidP="00B11D53">
            <w:pPr>
              <w:pStyle w:val="ListParagraph"/>
              <w:numPr>
                <w:ilvl w:val="0"/>
                <w:numId w:val="37"/>
              </w:numPr>
              <w:rPr>
                <w:rFonts w:ascii="Arial" w:hAnsi="Arial" w:cs="Arial"/>
                <w:sz w:val="24"/>
                <w:szCs w:val="24"/>
                <w:u w:val="single"/>
                <w:lang w:val="en-GB"/>
              </w:rPr>
            </w:pPr>
            <w:r w:rsidRPr="00CE2C4B">
              <w:rPr>
                <w:rFonts w:ascii="Arial" w:hAnsi="Arial" w:cs="Arial"/>
                <w:sz w:val="24"/>
                <w:szCs w:val="24"/>
                <w:lang w:val="en-GB"/>
              </w:rPr>
              <w:t xml:space="preserve">Through reference to the principal adverse sustainability </w:t>
            </w:r>
            <w:r w:rsidR="005E0A15" w:rsidRPr="00CE2C4B">
              <w:rPr>
                <w:rFonts w:ascii="Arial" w:hAnsi="Arial" w:cs="Arial"/>
                <w:sz w:val="24"/>
                <w:szCs w:val="24"/>
                <w:lang w:val="en-GB"/>
              </w:rPr>
              <w:t>indicators</w:t>
            </w:r>
            <w:r w:rsidRPr="00CE2C4B">
              <w:rPr>
                <w:rFonts w:ascii="Arial" w:hAnsi="Arial" w:cs="Arial"/>
                <w:sz w:val="24"/>
                <w:szCs w:val="24"/>
                <w:lang w:val="en-GB"/>
              </w:rPr>
              <w:t xml:space="preserve"> to ensure that there are no red flags raise</w:t>
            </w:r>
            <w:r w:rsidR="005E0A15" w:rsidRPr="00CE2C4B">
              <w:rPr>
                <w:rFonts w:ascii="Arial" w:hAnsi="Arial" w:cs="Arial"/>
                <w:sz w:val="24"/>
                <w:szCs w:val="24"/>
                <w:lang w:val="en-GB"/>
              </w:rPr>
              <w:t>d. Any potential risks are identified at this point and investigated further to see where they can be mitigated or whether the investment falls outside of the financial product’s mandate to promote the relevant environmental and sustainability indicators</w:t>
            </w:r>
          </w:p>
        </w:tc>
      </w:tr>
      <w:tr w:rsidR="00B11D53" w:rsidRPr="00F012F1" w14:paraId="7B752811" w14:textId="77777777" w:rsidTr="0065264E">
        <w:tc>
          <w:tcPr>
            <w:tcW w:w="562" w:type="dxa"/>
          </w:tcPr>
          <w:p w14:paraId="61564FF7" w14:textId="0E6A4075" w:rsidR="00B11D53" w:rsidRPr="00F012F1" w:rsidRDefault="00B11D53" w:rsidP="00B11D53">
            <w:pPr>
              <w:rPr>
                <w:rFonts w:ascii="Arial" w:hAnsi="Arial" w:cs="Arial"/>
                <w:sz w:val="24"/>
                <w:szCs w:val="24"/>
                <w:lang w:val="en-US"/>
              </w:rPr>
            </w:pPr>
            <w:r>
              <w:rPr>
                <w:rFonts w:ascii="Arial" w:hAnsi="Arial" w:cs="Arial"/>
                <w:sz w:val="24"/>
                <w:szCs w:val="24"/>
                <w:lang w:val="en-US"/>
              </w:rPr>
              <w:t>K</w:t>
            </w:r>
          </w:p>
        </w:tc>
        <w:tc>
          <w:tcPr>
            <w:tcW w:w="10354" w:type="dxa"/>
          </w:tcPr>
          <w:p w14:paraId="4746A001" w14:textId="5CC69CE6"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ENGAGEMENT POLICIES</w:t>
            </w:r>
          </w:p>
        </w:tc>
      </w:tr>
      <w:tr w:rsidR="00B11D53" w:rsidRPr="00CC1042" w14:paraId="15CB41C8" w14:textId="77777777" w:rsidTr="0065264E">
        <w:tc>
          <w:tcPr>
            <w:tcW w:w="562" w:type="dxa"/>
          </w:tcPr>
          <w:p w14:paraId="588F0EFB" w14:textId="77777777" w:rsidR="00B11D53" w:rsidRPr="00F012F1" w:rsidRDefault="00B11D53" w:rsidP="00B11D53">
            <w:pPr>
              <w:rPr>
                <w:rFonts w:ascii="Arial" w:hAnsi="Arial" w:cs="Arial"/>
                <w:sz w:val="24"/>
                <w:szCs w:val="24"/>
                <w:lang w:val="en-US"/>
              </w:rPr>
            </w:pPr>
          </w:p>
        </w:tc>
        <w:tc>
          <w:tcPr>
            <w:tcW w:w="10354" w:type="dxa"/>
          </w:tcPr>
          <w:p w14:paraId="427CCE53" w14:textId="77777777" w:rsidR="00CE2C4B" w:rsidRDefault="00CE2C4B" w:rsidP="00B11D53">
            <w:pPr>
              <w:rPr>
                <w:rFonts w:ascii="Arial" w:hAnsi="Arial" w:cs="Arial"/>
                <w:sz w:val="24"/>
                <w:szCs w:val="24"/>
                <w:lang w:val="en-US"/>
              </w:rPr>
            </w:pPr>
            <w:r>
              <w:rPr>
                <w:rFonts w:ascii="Arial" w:hAnsi="Arial" w:cs="Arial"/>
                <w:sz w:val="24"/>
                <w:szCs w:val="24"/>
                <w:lang w:val="en-US"/>
              </w:rPr>
              <w:t xml:space="preserve">There are various engagement policies that are undertaken by the Partnership in </w:t>
            </w:r>
            <w:proofErr w:type="gramStart"/>
            <w:r>
              <w:rPr>
                <w:rFonts w:ascii="Arial" w:hAnsi="Arial" w:cs="Arial"/>
                <w:sz w:val="24"/>
                <w:szCs w:val="24"/>
                <w:lang w:val="en-US"/>
              </w:rPr>
              <w:t>pursuit of the</w:t>
            </w:r>
            <w:proofErr w:type="gramEnd"/>
            <w:r>
              <w:rPr>
                <w:rFonts w:ascii="Arial" w:hAnsi="Arial" w:cs="Arial"/>
                <w:sz w:val="24"/>
                <w:szCs w:val="24"/>
                <w:lang w:val="en-US"/>
              </w:rPr>
              <w:t xml:space="preserve"> of the </w:t>
            </w:r>
            <w:proofErr w:type="gramStart"/>
            <w:r>
              <w:rPr>
                <w:rFonts w:ascii="Arial" w:hAnsi="Arial" w:cs="Arial"/>
                <w:sz w:val="24"/>
                <w:szCs w:val="24"/>
                <w:lang w:val="en-US"/>
              </w:rPr>
              <w:t>aforementioned environmental</w:t>
            </w:r>
            <w:proofErr w:type="gramEnd"/>
            <w:r>
              <w:rPr>
                <w:rFonts w:ascii="Arial" w:hAnsi="Arial" w:cs="Arial"/>
                <w:sz w:val="24"/>
                <w:szCs w:val="24"/>
                <w:lang w:val="en-US"/>
              </w:rPr>
              <w:t xml:space="preserve"> and social characteristics. At the screening stage there is engagement with management and invested VCs, which continues throughout the lifetime of the investment. On an annual basis more specific engagement and collaboration is completed through the annual questionnaire and ESG report. </w:t>
            </w:r>
          </w:p>
          <w:p w14:paraId="3B60C692" w14:textId="77777777" w:rsidR="00CE2C4B" w:rsidRDefault="00CE2C4B" w:rsidP="00B11D53">
            <w:pPr>
              <w:rPr>
                <w:rFonts w:ascii="Arial" w:hAnsi="Arial" w:cs="Arial"/>
                <w:sz w:val="24"/>
                <w:szCs w:val="24"/>
                <w:lang w:val="en-US"/>
              </w:rPr>
            </w:pPr>
          </w:p>
          <w:p w14:paraId="35091990" w14:textId="77777777" w:rsidR="0028533C" w:rsidRDefault="00CE2C4B" w:rsidP="00B11D53">
            <w:pPr>
              <w:rPr>
                <w:rFonts w:ascii="Arial" w:hAnsi="Arial" w:cs="Arial"/>
                <w:sz w:val="24"/>
                <w:szCs w:val="24"/>
                <w:lang w:val="en-US"/>
              </w:rPr>
            </w:pPr>
            <w:r>
              <w:rPr>
                <w:rFonts w:ascii="Arial" w:hAnsi="Arial" w:cs="Arial"/>
                <w:sz w:val="24"/>
                <w:szCs w:val="24"/>
                <w:lang w:val="en-US"/>
              </w:rPr>
              <w:t xml:space="preserve">Engagement on such topics is enshrined within the </w:t>
            </w:r>
            <w:r w:rsidR="0028533C">
              <w:rPr>
                <w:rFonts w:ascii="Arial" w:hAnsi="Arial" w:cs="Arial"/>
                <w:sz w:val="24"/>
                <w:szCs w:val="24"/>
                <w:lang w:val="en-US"/>
              </w:rPr>
              <w:t xml:space="preserve">legal </w:t>
            </w:r>
            <w:proofErr w:type="gramStart"/>
            <w:r w:rsidR="0028533C">
              <w:rPr>
                <w:rFonts w:ascii="Arial" w:hAnsi="Arial" w:cs="Arial"/>
                <w:sz w:val="24"/>
                <w:szCs w:val="24"/>
                <w:lang w:val="en-US"/>
              </w:rPr>
              <w:t>documentation, and</w:t>
            </w:r>
            <w:proofErr w:type="gramEnd"/>
            <w:r w:rsidR="0028533C">
              <w:rPr>
                <w:rFonts w:ascii="Arial" w:hAnsi="Arial" w:cs="Arial"/>
                <w:sz w:val="24"/>
                <w:szCs w:val="24"/>
                <w:lang w:val="en-US"/>
              </w:rPr>
              <w:t xml:space="preserve"> escalated in reference to this should there be a lack of collaboration on this topic. Other investors would also be involved in relation to this topic, and escalated to, if need be</w:t>
            </w:r>
          </w:p>
          <w:p w14:paraId="13B65589" w14:textId="77777777" w:rsidR="0028533C" w:rsidRDefault="0028533C" w:rsidP="00B11D53">
            <w:pPr>
              <w:rPr>
                <w:rFonts w:ascii="Arial" w:hAnsi="Arial" w:cs="Arial"/>
                <w:sz w:val="24"/>
                <w:szCs w:val="24"/>
                <w:lang w:val="en-US"/>
              </w:rPr>
            </w:pPr>
          </w:p>
          <w:p w14:paraId="1E0FDA09" w14:textId="77777777" w:rsidR="0028533C" w:rsidRDefault="0028533C" w:rsidP="00B11D53">
            <w:pPr>
              <w:rPr>
                <w:rFonts w:ascii="Arial" w:hAnsi="Arial" w:cs="Arial"/>
                <w:sz w:val="24"/>
                <w:szCs w:val="24"/>
                <w:lang w:val="en-US"/>
              </w:rPr>
            </w:pPr>
            <w:r>
              <w:rPr>
                <w:rFonts w:ascii="Arial" w:hAnsi="Arial" w:cs="Arial"/>
                <w:sz w:val="24"/>
                <w:szCs w:val="24"/>
                <w:lang w:val="en-US"/>
              </w:rPr>
              <w:t xml:space="preserve">This engagement allows for any controversies or areas for improvement to be identified, alongside general news searches and discussions in the industry. Once identified, a plan can be put in place to rectify where necessary, involving </w:t>
            </w:r>
            <w:proofErr w:type="gramStart"/>
            <w:r>
              <w:rPr>
                <w:rFonts w:ascii="Arial" w:hAnsi="Arial" w:cs="Arial"/>
                <w:sz w:val="24"/>
                <w:szCs w:val="24"/>
                <w:lang w:val="en-US"/>
              </w:rPr>
              <w:t>all of</w:t>
            </w:r>
            <w:proofErr w:type="gramEnd"/>
            <w:r>
              <w:rPr>
                <w:rFonts w:ascii="Arial" w:hAnsi="Arial" w:cs="Arial"/>
                <w:sz w:val="24"/>
                <w:szCs w:val="24"/>
                <w:lang w:val="en-US"/>
              </w:rPr>
              <w:t xml:space="preserve"> the relevant parties</w:t>
            </w:r>
          </w:p>
          <w:p w14:paraId="7CBD1109" w14:textId="77777777" w:rsidR="0028533C" w:rsidRDefault="0028533C" w:rsidP="00B11D53">
            <w:pPr>
              <w:rPr>
                <w:rFonts w:ascii="Arial" w:hAnsi="Arial" w:cs="Arial"/>
                <w:sz w:val="24"/>
                <w:szCs w:val="24"/>
                <w:lang w:val="en-US"/>
              </w:rPr>
            </w:pPr>
          </w:p>
          <w:p w14:paraId="5FBF2E3B" w14:textId="612C54C6" w:rsidR="00B11D53" w:rsidRPr="00F012F1" w:rsidRDefault="0028533C" w:rsidP="00B11D53">
            <w:pPr>
              <w:rPr>
                <w:rFonts w:ascii="Arial" w:hAnsi="Arial" w:cs="Arial"/>
                <w:sz w:val="24"/>
                <w:szCs w:val="24"/>
                <w:lang w:val="en-US"/>
              </w:rPr>
            </w:pPr>
            <w:r>
              <w:rPr>
                <w:rFonts w:ascii="Arial" w:hAnsi="Arial" w:cs="Arial"/>
                <w:sz w:val="24"/>
                <w:szCs w:val="24"/>
                <w:lang w:val="en-US"/>
              </w:rPr>
              <w:t xml:space="preserve"> </w:t>
            </w:r>
            <w:r w:rsidR="00CE2C4B">
              <w:rPr>
                <w:rFonts w:ascii="Arial" w:hAnsi="Arial" w:cs="Arial"/>
                <w:sz w:val="24"/>
                <w:szCs w:val="24"/>
                <w:lang w:val="en-US"/>
              </w:rPr>
              <w:t xml:space="preserve">  </w:t>
            </w:r>
          </w:p>
          <w:p w14:paraId="75C53BC0" w14:textId="77777777" w:rsidR="00B11D53" w:rsidRPr="00F012F1" w:rsidRDefault="00B11D53" w:rsidP="00B11D53">
            <w:pPr>
              <w:rPr>
                <w:rFonts w:ascii="Arial" w:hAnsi="Arial" w:cs="Arial"/>
                <w:sz w:val="24"/>
                <w:szCs w:val="24"/>
                <w:lang w:val="en-US"/>
              </w:rPr>
            </w:pPr>
          </w:p>
          <w:p w14:paraId="033EA84D" w14:textId="17392119" w:rsidR="00B11D53" w:rsidRPr="00F012F1" w:rsidRDefault="00B11D53" w:rsidP="00B11D53">
            <w:pPr>
              <w:rPr>
                <w:rFonts w:ascii="Arial" w:hAnsi="Arial" w:cs="Arial"/>
                <w:sz w:val="24"/>
                <w:szCs w:val="24"/>
                <w:u w:val="single"/>
                <w:lang w:val="en-US"/>
              </w:rPr>
            </w:pPr>
          </w:p>
        </w:tc>
      </w:tr>
      <w:tr w:rsidR="00B11D53" w:rsidRPr="00F012F1" w14:paraId="47DE5871" w14:textId="77777777" w:rsidTr="0065264E">
        <w:tc>
          <w:tcPr>
            <w:tcW w:w="562" w:type="dxa"/>
          </w:tcPr>
          <w:p w14:paraId="64FECA95" w14:textId="1D378499" w:rsidR="00B11D53" w:rsidRPr="00F012F1" w:rsidRDefault="00B11D53" w:rsidP="00B11D53">
            <w:pPr>
              <w:rPr>
                <w:rFonts w:ascii="Arial" w:hAnsi="Arial" w:cs="Arial"/>
                <w:sz w:val="24"/>
                <w:szCs w:val="24"/>
                <w:lang w:val="en-US"/>
              </w:rPr>
            </w:pPr>
            <w:r>
              <w:rPr>
                <w:rFonts w:ascii="Arial" w:hAnsi="Arial" w:cs="Arial"/>
                <w:sz w:val="24"/>
                <w:szCs w:val="24"/>
                <w:lang w:val="en-US"/>
              </w:rPr>
              <w:lastRenderedPageBreak/>
              <w:t>L</w:t>
            </w:r>
          </w:p>
        </w:tc>
        <w:tc>
          <w:tcPr>
            <w:tcW w:w="10354" w:type="dxa"/>
          </w:tcPr>
          <w:p w14:paraId="1DAE9C69" w14:textId="77777777" w:rsidR="00B11D53" w:rsidRPr="00F012F1" w:rsidRDefault="00B11D53" w:rsidP="00B11D53">
            <w:pPr>
              <w:rPr>
                <w:rFonts w:ascii="Arial" w:hAnsi="Arial" w:cs="Arial"/>
                <w:sz w:val="24"/>
                <w:szCs w:val="24"/>
                <w:u w:val="single"/>
                <w:lang w:val="en-US"/>
              </w:rPr>
            </w:pPr>
            <w:r w:rsidRPr="00F012F1">
              <w:rPr>
                <w:rFonts w:ascii="Arial" w:hAnsi="Arial" w:cs="Arial"/>
                <w:sz w:val="24"/>
                <w:szCs w:val="24"/>
                <w:u w:val="single"/>
                <w:lang w:val="en-US"/>
              </w:rPr>
              <w:t>DESIGNATED REFERENCE BENCHMARK</w:t>
            </w:r>
          </w:p>
          <w:p w14:paraId="4EB3194C" w14:textId="77777777" w:rsidR="00B11D53" w:rsidRPr="00F012F1" w:rsidRDefault="00B11D53" w:rsidP="00B11D53">
            <w:pPr>
              <w:rPr>
                <w:rFonts w:ascii="Arial" w:hAnsi="Arial" w:cs="Arial"/>
                <w:sz w:val="24"/>
                <w:szCs w:val="24"/>
                <w:lang w:val="en-US"/>
              </w:rPr>
            </w:pPr>
          </w:p>
        </w:tc>
      </w:tr>
      <w:tr w:rsidR="00B11D53" w:rsidRPr="00F012F1" w14:paraId="2225311B" w14:textId="77777777" w:rsidTr="0065264E">
        <w:tc>
          <w:tcPr>
            <w:tcW w:w="562" w:type="dxa"/>
          </w:tcPr>
          <w:p w14:paraId="37F3CD1B" w14:textId="77777777" w:rsidR="00B11D53" w:rsidRPr="00F012F1" w:rsidRDefault="00B11D53" w:rsidP="00B11D53">
            <w:pPr>
              <w:rPr>
                <w:rFonts w:ascii="Arial" w:hAnsi="Arial" w:cs="Arial"/>
                <w:sz w:val="24"/>
                <w:szCs w:val="24"/>
                <w:lang w:val="en-US"/>
              </w:rPr>
            </w:pPr>
          </w:p>
        </w:tc>
        <w:tc>
          <w:tcPr>
            <w:tcW w:w="10354" w:type="dxa"/>
          </w:tcPr>
          <w:p w14:paraId="1D22F155" w14:textId="2A922CDD" w:rsidR="00B11D53" w:rsidRPr="00F012F1" w:rsidRDefault="00B11D53" w:rsidP="00B11D53">
            <w:pPr>
              <w:jc w:val="both"/>
              <w:rPr>
                <w:rFonts w:ascii="Arial" w:eastAsia="Open Sans" w:hAnsi="Arial" w:cs="Arial"/>
                <w:sz w:val="24"/>
                <w:szCs w:val="24"/>
                <w:lang w:val="en-US" w:eastAsia="en-GB"/>
              </w:rPr>
            </w:pPr>
          </w:p>
          <w:p w14:paraId="44CFD45B" w14:textId="01B67AE9" w:rsidR="00B11D53" w:rsidRPr="00F012F1" w:rsidRDefault="005E0A15" w:rsidP="00B11D53">
            <w:pPr>
              <w:jc w:val="both"/>
              <w:rPr>
                <w:rFonts w:ascii="Arial" w:eastAsia="Open Sans" w:hAnsi="Arial" w:cs="Arial"/>
                <w:sz w:val="24"/>
                <w:szCs w:val="24"/>
                <w:lang w:val="en-US" w:eastAsia="en-GB"/>
              </w:rPr>
            </w:pPr>
            <w:r>
              <w:rPr>
                <w:rFonts w:ascii="Arial" w:eastAsia="Open Sans" w:hAnsi="Arial" w:cs="Arial"/>
                <w:sz w:val="24"/>
                <w:szCs w:val="24"/>
                <w:lang w:val="en-US" w:eastAsia="en-GB"/>
              </w:rPr>
              <w:t>N/A</w:t>
            </w:r>
          </w:p>
          <w:p w14:paraId="4E90C011" w14:textId="4113514E" w:rsidR="00B11D53" w:rsidRPr="00F012F1" w:rsidRDefault="00B11D53" w:rsidP="00B11D53">
            <w:pPr>
              <w:jc w:val="both"/>
              <w:rPr>
                <w:rFonts w:ascii="Arial" w:eastAsia="Open Sans" w:hAnsi="Arial" w:cs="Arial"/>
                <w:sz w:val="24"/>
                <w:szCs w:val="24"/>
                <w:lang w:val="en-US" w:eastAsia="en-GB"/>
              </w:rPr>
            </w:pPr>
          </w:p>
        </w:tc>
      </w:tr>
      <w:tr w:rsidR="003A3005" w:rsidRPr="00F012F1" w14:paraId="217F7032" w14:textId="77777777" w:rsidTr="0065264E">
        <w:tc>
          <w:tcPr>
            <w:tcW w:w="562" w:type="dxa"/>
          </w:tcPr>
          <w:p w14:paraId="1B70325F" w14:textId="30FFFB31" w:rsidR="003A3005" w:rsidRPr="00F012F1" w:rsidRDefault="003A3005" w:rsidP="00B11D53">
            <w:pPr>
              <w:rPr>
                <w:rFonts w:ascii="Arial" w:hAnsi="Arial" w:cs="Arial"/>
                <w:sz w:val="24"/>
                <w:szCs w:val="24"/>
                <w:lang w:val="en-US"/>
              </w:rPr>
            </w:pPr>
            <w:r>
              <w:rPr>
                <w:rFonts w:ascii="Arial" w:hAnsi="Arial" w:cs="Arial"/>
                <w:sz w:val="24"/>
                <w:szCs w:val="24"/>
                <w:lang w:val="en-US"/>
              </w:rPr>
              <w:t>M</w:t>
            </w:r>
          </w:p>
        </w:tc>
        <w:tc>
          <w:tcPr>
            <w:tcW w:w="10354" w:type="dxa"/>
          </w:tcPr>
          <w:p w14:paraId="3A491A37" w14:textId="3F111C55" w:rsidR="003A3005" w:rsidRPr="00F012F1" w:rsidRDefault="003A3005" w:rsidP="00B11D53">
            <w:pPr>
              <w:jc w:val="both"/>
              <w:rPr>
                <w:rFonts w:ascii="Arial" w:eastAsia="Open Sans" w:hAnsi="Arial" w:cs="Arial"/>
                <w:sz w:val="24"/>
                <w:szCs w:val="24"/>
                <w:lang w:val="en-US" w:eastAsia="en-GB"/>
              </w:rPr>
            </w:pPr>
            <w:r>
              <w:rPr>
                <w:rFonts w:ascii="Arial" w:eastAsia="Open Sans" w:hAnsi="Arial" w:cs="Arial"/>
                <w:sz w:val="24"/>
                <w:szCs w:val="24"/>
                <w:lang w:val="en-US" w:eastAsia="en-GB"/>
              </w:rPr>
              <w:t>SUMMARY (FRENCH)</w:t>
            </w:r>
          </w:p>
        </w:tc>
      </w:tr>
      <w:tr w:rsidR="003A3005" w:rsidRPr="00F012F1" w14:paraId="6D4E768F" w14:textId="77777777" w:rsidTr="0065264E">
        <w:tc>
          <w:tcPr>
            <w:tcW w:w="562" w:type="dxa"/>
          </w:tcPr>
          <w:p w14:paraId="3E18A101" w14:textId="77777777" w:rsidR="003A3005" w:rsidRDefault="003A3005" w:rsidP="00B11D53">
            <w:pPr>
              <w:rPr>
                <w:rFonts w:ascii="Arial" w:hAnsi="Arial" w:cs="Arial"/>
                <w:sz w:val="24"/>
                <w:szCs w:val="24"/>
                <w:lang w:val="en-US"/>
              </w:rPr>
            </w:pPr>
          </w:p>
        </w:tc>
        <w:tc>
          <w:tcPr>
            <w:tcW w:w="10354" w:type="dxa"/>
          </w:tcPr>
          <w:p w14:paraId="4BCCB526" w14:textId="77777777"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Le Partenariat réalisera ses investissements en finançant, par le biais de la souscription, de l’acquisition ou de toute autre forme d’investissement en Titres de Créance, des sociétés innovantes ayant une base opérationnelle ou un ancrage en Europe, ou soutenues par des investisseurs européens en capital</w:t>
            </w:r>
            <w:r w:rsidRPr="003A3005">
              <w:rPr>
                <w:rFonts w:ascii="Arial" w:eastAsia="Open Sans" w:hAnsi="Arial" w:cs="Arial"/>
                <w:sz w:val="24"/>
                <w:szCs w:val="24"/>
                <w:lang w:eastAsia="en-GB"/>
              </w:rPr>
              <w:noBreakHyphen/>
              <w:t>risque.</w:t>
            </w:r>
          </w:p>
          <w:p w14:paraId="565137D6" w14:textId="77777777" w:rsidR="003A3005" w:rsidRPr="003A3005" w:rsidRDefault="003A3005" w:rsidP="003A3005">
            <w:pPr>
              <w:jc w:val="both"/>
              <w:rPr>
                <w:rFonts w:ascii="Arial" w:eastAsia="Open Sans" w:hAnsi="Arial" w:cs="Arial"/>
                <w:sz w:val="24"/>
                <w:szCs w:val="24"/>
                <w:lang w:eastAsia="en-GB"/>
              </w:rPr>
            </w:pPr>
          </w:p>
          <w:p w14:paraId="6A4E0CF2" w14:textId="30ED22EA"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L’objectif du Partenariat n’est pas uniquement de protéger le risque de baisse, mais également de constituer un portefeuille de bons de souscription (warrants) portant sur les sociétés technologiques et d’innovation les plus performantes, établies en Europe ou soutenues par des investisseurs</w:t>
            </w:r>
            <w:r w:rsidR="00CC1042">
              <w:rPr>
                <w:rFonts w:ascii="Arial" w:eastAsia="Open Sans" w:hAnsi="Arial" w:cs="Arial"/>
                <w:sz w:val="24"/>
                <w:szCs w:val="24"/>
                <w:lang w:eastAsia="en-GB"/>
              </w:rPr>
              <w:t xml:space="preserve"> </w:t>
            </w:r>
            <w:r w:rsidRPr="003A3005">
              <w:rPr>
                <w:rFonts w:ascii="Arial" w:eastAsia="Open Sans" w:hAnsi="Arial" w:cs="Arial"/>
                <w:sz w:val="24"/>
                <w:szCs w:val="24"/>
                <w:lang w:eastAsia="en-GB"/>
              </w:rPr>
              <w:t>européens.</w:t>
            </w:r>
          </w:p>
          <w:p w14:paraId="074E3D5D" w14:textId="04D7EA8E"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br/>
              <w:t>Le Partenariat cible des sociétés innovantes et/ou soutenues par des investisseurs en capital</w:t>
            </w:r>
            <w:r w:rsidRPr="003A3005">
              <w:rPr>
                <w:rFonts w:ascii="Arial" w:eastAsia="Open Sans" w:hAnsi="Arial" w:cs="Arial"/>
                <w:sz w:val="24"/>
                <w:szCs w:val="24"/>
                <w:lang w:eastAsia="en-GB"/>
              </w:rPr>
              <w:noBreakHyphen/>
              <w:t>risque ou par des investisseurs bénéficiant d’une incitation au rendement. Les investissements européens en capital</w:t>
            </w:r>
            <w:r w:rsidRPr="003A3005">
              <w:rPr>
                <w:rFonts w:ascii="Arial" w:eastAsia="Open Sans" w:hAnsi="Arial" w:cs="Arial"/>
                <w:sz w:val="24"/>
                <w:szCs w:val="24"/>
                <w:lang w:eastAsia="en-GB"/>
              </w:rPr>
              <w:noBreakHyphen/>
              <w:t>risque par secteur montrent que les secteurs de la santé, des technologies de l’information et des télécommunications représentent environ 83 % du total des investissements en valeur des transactions et environ 61 % en nombre de transactions. Ces données sont utilisées par l’Associé Commandité et les Conseillers en Investissement à titre indicatif dans le cadre de la sélection et de l’identification des Investissements.</w:t>
            </w:r>
          </w:p>
          <w:p w14:paraId="1B201C8F" w14:textId="77777777" w:rsidR="003A3005" w:rsidRPr="003A3005" w:rsidRDefault="003A3005" w:rsidP="003A3005">
            <w:pPr>
              <w:jc w:val="both"/>
              <w:rPr>
                <w:rFonts w:ascii="Arial" w:eastAsia="Open Sans" w:hAnsi="Arial" w:cs="Arial"/>
                <w:sz w:val="24"/>
                <w:szCs w:val="24"/>
                <w:lang w:eastAsia="en-GB"/>
              </w:rPr>
            </w:pPr>
          </w:p>
          <w:p w14:paraId="5F94C1FE" w14:textId="77777777"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Les juridictions cibles sont le Royaume</w:t>
            </w:r>
            <w:r w:rsidRPr="003A3005">
              <w:rPr>
                <w:rFonts w:ascii="Arial" w:eastAsia="Open Sans" w:hAnsi="Arial" w:cs="Arial"/>
                <w:sz w:val="24"/>
                <w:szCs w:val="24"/>
                <w:lang w:eastAsia="en-GB"/>
              </w:rPr>
              <w:noBreakHyphen/>
              <w:t>Uni, la France, l’Allemagne, la Suisse, l’Autriche, le Danemark, la Suède, la Norvège, la Finlande, la Belgique, les Pays</w:t>
            </w:r>
            <w:r w:rsidRPr="003A3005">
              <w:rPr>
                <w:rFonts w:ascii="Arial" w:eastAsia="Open Sans" w:hAnsi="Arial" w:cs="Arial"/>
                <w:sz w:val="24"/>
                <w:szCs w:val="24"/>
                <w:lang w:eastAsia="en-GB"/>
              </w:rPr>
              <w:noBreakHyphen/>
              <w:t>Bas, le Luxembourg et l’Espagne. D’autres juridictions peuvent être ajoutées selon décision ultérieure.</w:t>
            </w:r>
          </w:p>
          <w:p w14:paraId="6D3C9567" w14:textId="77777777" w:rsidR="003A3005" w:rsidRPr="003A3005" w:rsidRDefault="003A3005" w:rsidP="003A3005">
            <w:pPr>
              <w:jc w:val="both"/>
              <w:rPr>
                <w:rFonts w:ascii="Arial" w:eastAsia="Open Sans" w:hAnsi="Arial" w:cs="Arial"/>
                <w:sz w:val="24"/>
                <w:szCs w:val="24"/>
                <w:lang w:eastAsia="en-GB"/>
              </w:rPr>
            </w:pPr>
          </w:p>
          <w:p w14:paraId="68E329BA" w14:textId="77777777"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Le Partenariat peut accorder des prêts à des sociétés constituées ou exerçant leurs activités en dehors de l’Europe, à condition qu’elles présentent des liens solides avec l’Europe en raison de leurs investisseurs, de leur historique ou de leur orientation opérationnelle, sous réserve que l’Associé Commandité dispose d’un niveau de confort suffisant quant à l’environnement réglementaire applicable.</w:t>
            </w:r>
          </w:p>
          <w:p w14:paraId="64A1E400" w14:textId="77777777" w:rsidR="003A3005" w:rsidRPr="003A3005" w:rsidRDefault="003A3005" w:rsidP="003A3005">
            <w:pPr>
              <w:jc w:val="both"/>
              <w:rPr>
                <w:rFonts w:ascii="Arial" w:eastAsia="Open Sans" w:hAnsi="Arial" w:cs="Arial"/>
                <w:sz w:val="24"/>
                <w:szCs w:val="24"/>
                <w:lang w:eastAsia="en-GB"/>
              </w:rPr>
            </w:pPr>
          </w:p>
          <w:p w14:paraId="6DC4B975" w14:textId="77777777"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L’Associé Commandité prendra toutes les mesures nécessaires afin de s’assurer que les émetteurs des Investissements et les emprunteurs du Partenariat ne sont pas de mauvaise réputation et n’exercent pas, au moment de l’investissement initial du Partenariat, une activité ou dans un secteur pouvant raisonnablement être considéré comme contraire aux lois applicables ou aux normes généralement admises de comportement moral ou éthique, ni qu’ils soient affiliés à de telles activités.</w:t>
            </w:r>
          </w:p>
          <w:p w14:paraId="0077497D" w14:textId="77777777" w:rsidR="003A3005" w:rsidRPr="003A3005" w:rsidRDefault="003A3005" w:rsidP="003A3005">
            <w:pPr>
              <w:jc w:val="both"/>
              <w:rPr>
                <w:rFonts w:ascii="Arial" w:eastAsia="Open Sans" w:hAnsi="Arial" w:cs="Arial"/>
                <w:sz w:val="24"/>
                <w:szCs w:val="24"/>
                <w:lang w:eastAsia="en-GB"/>
              </w:rPr>
            </w:pPr>
          </w:p>
          <w:p w14:paraId="2F0BA522" w14:textId="77777777" w:rsidR="003A3005" w:rsidRP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Bootstrap Europe soutient des secteurs dynamiques à travers le monde, allant des énergies vertes et des tests génétiques aux solutions SaaS, fintech et aux technologies de villes intelligentes. L’expérience collective de l’équipe a permis de constituer un portefeuille comprenant certaines des entreprises européennes en forte croissance les plus engagées socialement. Qu’il s’agisse de deep</w:t>
            </w:r>
            <w:r w:rsidRPr="003A3005">
              <w:rPr>
                <w:rFonts w:ascii="Arial" w:eastAsia="Open Sans" w:hAnsi="Arial" w:cs="Arial"/>
                <w:sz w:val="24"/>
                <w:szCs w:val="24"/>
                <w:lang w:eastAsia="en-GB"/>
              </w:rPr>
              <w:noBreakHyphen/>
              <w:t xml:space="preserve">tech, de solutions de fabrication durable ou d’outils éthiques </w:t>
            </w:r>
            <w:r w:rsidRPr="003A3005">
              <w:rPr>
                <w:rFonts w:ascii="Arial" w:eastAsia="Open Sans" w:hAnsi="Arial" w:cs="Arial"/>
                <w:sz w:val="24"/>
                <w:szCs w:val="24"/>
                <w:lang w:eastAsia="en-GB"/>
              </w:rPr>
              <w:lastRenderedPageBreak/>
              <w:t>de transfert de fonds, chacun de nos partenaires travaille avec nous car nous maîtrisons les enjeux liés à la création d’entreprises durables ayant un impact positif aujourd’hui et pour l’avenir.</w:t>
            </w:r>
          </w:p>
          <w:p w14:paraId="6CCAC4EB" w14:textId="77777777" w:rsidR="003A3005" w:rsidRDefault="003A3005" w:rsidP="003A3005">
            <w:pPr>
              <w:jc w:val="both"/>
              <w:rPr>
                <w:rFonts w:ascii="Arial" w:eastAsia="Open Sans" w:hAnsi="Arial" w:cs="Arial"/>
                <w:sz w:val="24"/>
                <w:szCs w:val="24"/>
                <w:lang w:eastAsia="en-GB"/>
              </w:rPr>
            </w:pPr>
            <w:r w:rsidRPr="003A3005">
              <w:rPr>
                <w:rFonts w:ascii="Arial" w:eastAsia="Open Sans" w:hAnsi="Arial" w:cs="Arial"/>
                <w:sz w:val="24"/>
                <w:szCs w:val="24"/>
                <w:lang w:eastAsia="en-GB"/>
              </w:rPr>
              <w:t>Le Fonds cherchera à atteindre son objectif d’investissement au moyen d’investissements dans, et d’une exposition à, un portefeuille diversifié de prêts et de Titres de Créance.</w:t>
            </w:r>
            <w:r w:rsidRPr="003A3005">
              <w:rPr>
                <w:rFonts w:ascii="Arial" w:eastAsia="Open Sans" w:hAnsi="Arial" w:cs="Arial"/>
                <w:sz w:val="24"/>
                <w:szCs w:val="24"/>
                <w:lang w:eastAsia="en-GB"/>
              </w:rPr>
              <w:br/>
              <w:t>La stratégie d’investissement du Fonds ne prévoit pas, comme objectif, la réalisation d’investissements durables au sens du Règlement (UE) 2019/2088 relatif à la publication d’informations en matière de durabilité dans le secteur des services financiers (« SFDR »).</w:t>
            </w:r>
            <w:r w:rsidRPr="003A3005">
              <w:rPr>
                <w:rFonts w:ascii="Arial" w:eastAsia="Open Sans" w:hAnsi="Arial" w:cs="Arial"/>
                <w:sz w:val="24"/>
                <w:szCs w:val="24"/>
                <w:lang w:eastAsia="en-GB"/>
              </w:rPr>
              <w:br/>
              <w:t>La politique d’exclusion du Fonds est appliquée dès le début du processus d’investissement et demeure en vigueur pendant toute la durée de vie du Fonds. Le produit financier est aligné sur des critères d’exclusion stricts fondés sur les listes d’exclusion du Fonds Européen d’Investissement (FEI) et de la Société Financière Internationale (IFC).</w:t>
            </w:r>
          </w:p>
          <w:p w14:paraId="7D2C2050" w14:textId="77777777" w:rsidR="003A3005" w:rsidRPr="003A3005" w:rsidRDefault="003A3005" w:rsidP="003A3005">
            <w:pPr>
              <w:jc w:val="both"/>
              <w:rPr>
                <w:rFonts w:ascii="Arial" w:eastAsia="Open Sans" w:hAnsi="Arial" w:cs="Arial"/>
                <w:sz w:val="24"/>
                <w:szCs w:val="24"/>
                <w:lang w:eastAsia="en-GB"/>
              </w:rPr>
            </w:pPr>
          </w:p>
          <w:p w14:paraId="39F154B9" w14:textId="77777777" w:rsidR="003A3005" w:rsidRPr="003A3005" w:rsidRDefault="003A3005" w:rsidP="003A3005">
            <w:pPr>
              <w:rPr>
                <w:rFonts w:ascii="Arial" w:eastAsia="Open Sans" w:hAnsi="Arial" w:cs="Arial"/>
                <w:sz w:val="24"/>
                <w:szCs w:val="24"/>
                <w:lang w:eastAsia="en-GB"/>
              </w:rPr>
            </w:pPr>
            <w:r w:rsidRPr="003A3005">
              <w:rPr>
                <w:rFonts w:ascii="Arial" w:eastAsia="Open Sans" w:hAnsi="Arial" w:cs="Arial"/>
                <w:sz w:val="24"/>
                <w:szCs w:val="24"/>
                <w:lang w:eastAsia="en-GB"/>
              </w:rPr>
              <w:t>Le cadre permettant d’atteindre ces objectifs est présenté dans les sections suivantes :</w:t>
            </w:r>
            <w:r w:rsidRPr="003A3005">
              <w:rPr>
                <w:rFonts w:ascii="Arial" w:eastAsia="Open Sans" w:hAnsi="Arial" w:cs="Arial"/>
                <w:sz w:val="24"/>
                <w:szCs w:val="24"/>
                <w:lang w:eastAsia="en-GB"/>
              </w:rPr>
              <w:br/>
              <w:t>a. Résumé</w:t>
            </w:r>
            <w:r w:rsidRPr="003A3005">
              <w:rPr>
                <w:rFonts w:ascii="Arial" w:eastAsia="Open Sans" w:hAnsi="Arial" w:cs="Arial"/>
                <w:sz w:val="24"/>
                <w:szCs w:val="24"/>
                <w:lang w:eastAsia="en-GB"/>
              </w:rPr>
              <w:br/>
              <w:t>b. Objectif d’investissement durable</w:t>
            </w:r>
            <w:r w:rsidRPr="003A3005">
              <w:rPr>
                <w:rFonts w:ascii="Arial" w:eastAsia="Open Sans" w:hAnsi="Arial" w:cs="Arial"/>
                <w:sz w:val="24"/>
                <w:szCs w:val="24"/>
                <w:lang w:eastAsia="en-GB"/>
              </w:rPr>
              <w:br/>
              <w:t>c. Caractéristiques environnementales et/ou sociales</w:t>
            </w:r>
            <w:r w:rsidRPr="003A3005">
              <w:rPr>
                <w:rFonts w:ascii="Arial" w:eastAsia="Open Sans" w:hAnsi="Arial" w:cs="Arial"/>
                <w:sz w:val="24"/>
                <w:szCs w:val="24"/>
                <w:lang w:eastAsia="en-GB"/>
              </w:rPr>
              <w:br/>
              <w:t>d. Stratégie d’investissement</w:t>
            </w:r>
            <w:r w:rsidRPr="003A3005">
              <w:rPr>
                <w:rFonts w:ascii="Arial" w:eastAsia="Open Sans" w:hAnsi="Arial" w:cs="Arial"/>
                <w:sz w:val="24"/>
                <w:szCs w:val="24"/>
                <w:lang w:eastAsia="en-GB"/>
              </w:rPr>
              <w:br/>
              <w:t>e. Proportion des investissements</w:t>
            </w:r>
            <w:r w:rsidRPr="003A3005">
              <w:rPr>
                <w:rFonts w:ascii="Arial" w:eastAsia="Open Sans" w:hAnsi="Arial" w:cs="Arial"/>
                <w:sz w:val="24"/>
                <w:szCs w:val="24"/>
                <w:lang w:eastAsia="en-GB"/>
              </w:rPr>
              <w:br/>
              <w:t>f. Suivi des caractéristiques environnementales et/ou sociales</w:t>
            </w:r>
            <w:r w:rsidRPr="003A3005">
              <w:rPr>
                <w:rFonts w:ascii="Arial" w:eastAsia="Open Sans" w:hAnsi="Arial" w:cs="Arial"/>
                <w:sz w:val="24"/>
                <w:szCs w:val="24"/>
                <w:lang w:eastAsia="en-GB"/>
              </w:rPr>
              <w:br/>
              <w:t>g. Méthodologies</w:t>
            </w:r>
            <w:r w:rsidRPr="003A3005">
              <w:rPr>
                <w:rFonts w:ascii="Arial" w:eastAsia="Open Sans" w:hAnsi="Arial" w:cs="Arial"/>
                <w:sz w:val="24"/>
                <w:szCs w:val="24"/>
                <w:lang w:eastAsia="en-GB"/>
              </w:rPr>
              <w:br/>
              <w:t>h. Sources de données et traitement des données</w:t>
            </w:r>
            <w:r w:rsidRPr="003A3005">
              <w:rPr>
                <w:rFonts w:ascii="Arial" w:eastAsia="Open Sans" w:hAnsi="Arial" w:cs="Arial"/>
                <w:sz w:val="24"/>
                <w:szCs w:val="24"/>
                <w:lang w:eastAsia="en-GB"/>
              </w:rPr>
              <w:br/>
              <w:t>i. Limites des méthodologies et des données</w:t>
            </w:r>
            <w:r w:rsidRPr="003A3005">
              <w:rPr>
                <w:rFonts w:ascii="Arial" w:eastAsia="Open Sans" w:hAnsi="Arial" w:cs="Arial"/>
                <w:sz w:val="24"/>
                <w:szCs w:val="24"/>
                <w:lang w:eastAsia="en-GB"/>
              </w:rPr>
              <w:br/>
              <w:t>j. Devoir de diligence</w:t>
            </w:r>
            <w:r w:rsidRPr="003A3005">
              <w:rPr>
                <w:rFonts w:ascii="Arial" w:eastAsia="Open Sans" w:hAnsi="Arial" w:cs="Arial"/>
                <w:sz w:val="24"/>
                <w:szCs w:val="24"/>
                <w:lang w:eastAsia="en-GB"/>
              </w:rPr>
              <w:br/>
              <w:t>k. Politiques d’engagement</w:t>
            </w:r>
          </w:p>
          <w:p w14:paraId="51E585E5" w14:textId="77777777" w:rsidR="003A3005" w:rsidRPr="003A3005" w:rsidRDefault="003A3005" w:rsidP="00B11D53">
            <w:pPr>
              <w:jc w:val="both"/>
              <w:rPr>
                <w:rFonts w:ascii="Arial" w:eastAsia="Open Sans" w:hAnsi="Arial" w:cs="Arial"/>
                <w:sz w:val="24"/>
                <w:szCs w:val="24"/>
                <w:lang w:eastAsia="en-GB"/>
              </w:rPr>
            </w:pPr>
          </w:p>
        </w:tc>
      </w:tr>
    </w:tbl>
    <w:p w14:paraId="653B4722" w14:textId="1346C387" w:rsidR="00F70522" w:rsidRPr="003A3005" w:rsidRDefault="00F70522" w:rsidP="00D70F89">
      <w:pPr>
        <w:rPr>
          <w:rFonts w:ascii="Arial" w:hAnsi="Arial" w:cs="Arial"/>
          <w:sz w:val="24"/>
          <w:szCs w:val="24"/>
        </w:rPr>
      </w:pPr>
    </w:p>
    <w:p w14:paraId="0A579DCB" w14:textId="1FCA2F47" w:rsidR="00F70522" w:rsidRPr="003A3005" w:rsidRDefault="00F70522">
      <w:pPr>
        <w:rPr>
          <w:rFonts w:ascii="Arial" w:hAnsi="Arial" w:cs="Arial"/>
          <w:sz w:val="24"/>
          <w:szCs w:val="24"/>
        </w:rPr>
      </w:pPr>
      <w:r w:rsidRPr="003A3005">
        <w:rPr>
          <w:rFonts w:ascii="Arial" w:hAnsi="Arial" w:cs="Arial"/>
          <w:sz w:val="24"/>
          <w:szCs w:val="24"/>
        </w:rPr>
        <w:br w:type="page"/>
      </w:r>
    </w:p>
    <w:p w14:paraId="29F25A59" w14:textId="77777777" w:rsidR="00072605" w:rsidRPr="00052BAC" w:rsidRDefault="00072605" w:rsidP="00072605">
      <w:pPr>
        <w:rPr>
          <w:rFonts w:ascii="Arial" w:hAnsi="Arial" w:cs="Arial"/>
          <w:sz w:val="48"/>
          <w:szCs w:val="48"/>
          <w:lang w:val="en-US"/>
        </w:rPr>
      </w:pPr>
      <w:r w:rsidRPr="00052BAC">
        <w:rPr>
          <w:rFonts w:ascii="Arial" w:hAnsi="Arial" w:cs="Arial"/>
          <w:sz w:val="48"/>
          <w:szCs w:val="48"/>
          <w:lang w:val="en-US"/>
        </w:rPr>
        <w:lastRenderedPageBreak/>
        <w:t>References &amp; Guiding notes</w:t>
      </w:r>
    </w:p>
    <w:p w14:paraId="18F6E892" w14:textId="5344EAAD" w:rsidR="00F70522" w:rsidRPr="00F012F1" w:rsidRDefault="00F70522">
      <w:pPr>
        <w:rPr>
          <w:rFonts w:ascii="Arial" w:hAnsi="Arial" w:cs="Arial"/>
          <w:sz w:val="24"/>
          <w:szCs w:val="24"/>
          <w:lang w:val="en-US"/>
        </w:rPr>
      </w:pPr>
    </w:p>
    <w:p w14:paraId="15EBCD2F" w14:textId="2616A3B4" w:rsidR="00F70522" w:rsidRPr="00F012F1" w:rsidRDefault="00F70522">
      <w:pPr>
        <w:rPr>
          <w:rFonts w:ascii="Arial" w:hAnsi="Arial" w:cs="Arial"/>
          <w:sz w:val="24"/>
          <w:szCs w:val="24"/>
          <w:lang w:val="en-US"/>
        </w:rPr>
      </w:pPr>
      <w:r w:rsidRPr="00F012F1">
        <w:rPr>
          <w:rFonts w:ascii="Arial" w:hAnsi="Arial" w:cs="Arial"/>
          <w:sz w:val="24"/>
          <w:szCs w:val="24"/>
          <w:lang w:val="en-US"/>
        </w:rPr>
        <w:t xml:space="preserve">SFDR Delegated Regulation : </w:t>
      </w:r>
      <w:hyperlink r:id="rId13" w:history="1">
        <w:r w:rsidRPr="00F012F1">
          <w:rPr>
            <w:rStyle w:val="Hyperlink"/>
            <w:rFonts w:ascii="Arial" w:hAnsi="Arial" w:cs="Arial"/>
            <w:color w:val="auto"/>
            <w:sz w:val="24"/>
            <w:szCs w:val="24"/>
            <w:lang w:val="en-US"/>
          </w:rPr>
          <w:t>C_2022_1931_1_EN_ACT_part1_v6 (1).pdf (europa.eu)</w:t>
        </w:r>
      </w:hyperlink>
    </w:p>
    <w:p w14:paraId="0502A682"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24</w:t>
      </w:r>
    </w:p>
    <w:p w14:paraId="51BA74D6"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Sections of website product disclosure for financial products that promote environmental or social characteristics</w:t>
      </w:r>
    </w:p>
    <w:p w14:paraId="792104A3"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For financial products that promote environmental or social characteristics, financial market participants shall publish the information referred to in Article 10(1) of Regulation (EU) 2019/2088 and Articles 25 to 36 of this Regulation in the following order and made up of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following sections titled:</w:t>
      </w:r>
    </w:p>
    <w:tbl>
      <w:tblPr>
        <w:tblW w:w="5000" w:type="pct"/>
        <w:tblCellMar>
          <w:left w:w="0" w:type="dxa"/>
          <w:right w:w="0" w:type="dxa"/>
        </w:tblCellMar>
        <w:tblLook w:val="04A0" w:firstRow="1" w:lastRow="0" w:firstColumn="1" w:lastColumn="0" w:noHBand="0" w:noVBand="1"/>
      </w:tblPr>
      <w:tblGrid>
        <w:gridCol w:w="1784"/>
        <w:gridCol w:w="7288"/>
      </w:tblGrid>
      <w:tr w:rsidR="00F012F1" w:rsidRPr="005B3DB7" w14:paraId="7A4833E8" w14:textId="77777777" w:rsidTr="005B3DB7">
        <w:tc>
          <w:tcPr>
            <w:tcW w:w="0" w:type="auto"/>
            <w:hideMark/>
          </w:tcPr>
          <w:p w14:paraId="02BBEBB0"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w:t>
            </w:r>
          </w:p>
        </w:tc>
        <w:tc>
          <w:tcPr>
            <w:tcW w:w="0" w:type="auto"/>
            <w:hideMark/>
          </w:tcPr>
          <w:p w14:paraId="7E4D65D2"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‘Summary’;</w:t>
            </w:r>
          </w:p>
        </w:tc>
      </w:tr>
    </w:tbl>
    <w:p w14:paraId="3EFC3D8C"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621"/>
        <w:gridCol w:w="8451"/>
      </w:tblGrid>
      <w:tr w:rsidR="00F012F1" w:rsidRPr="005B3DB7" w14:paraId="3C1BB933" w14:textId="77777777" w:rsidTr="005B3DB7">
        <w:tc>
          <w:tcPr>
            <w:tcW w:w="0" w:type="auto"/>
            <w:hideMark/>
          </w:tcPr>
          <w:p w14:paraId="6DD1FDD9"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(b)</w:t>
            </w:r>
          </w:p>
        </w:tc>
        <w:tc>
          <w:tcPr>
            <w:tcW w:w="0" w:type="auto"/>
            <w:hideMark/>
          </w:tcPr>
          <w:p w14:paraId="2C044D71"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‘No sustainable investment objective’;</w:t>
            </w:r>
          </w:p>
        </w:tc>
      </w:tr>
    </w:tbl>
    <w:p w14:paraId="0E9CA881"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361"/>
        <w:gridCol w:w="8711"/>
      </w:tblGrid>
      <w:tr w:rsidR="00F012F1" w:rsidRPr="00CC1042" w14:paraId="6B9EBF08" w14:textId="77777777" w:rsidTr="005B3DB7">
        <w:tc>
          <w:tcPr>
            <w:tcW w:w="0" w:type="auto"/>
            <w:hideMark/>
          </w:tcPr>
          <w:p w14:paraId="2AF92193"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(c)</w:t>
            </w:r>
          </w:p>
        </w:tc>
        <w:tc>
          <w:tcPr>
            <w:tcW w:w="0" w:type="auto"/>
            <w:hideMark/>
          </w:tcPr>
          <w:p w14:paraId="3289CD89"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‘Environmental or social characteristics of the financial product’;</w:t>
            </w:r>
          </w:p>
        </w:tc>
      </w:tr>
    </w:tbl>
    <w:p w14:paraId="441393F0"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1041"/>
        <w:gridCol w:w="8031"/>
      </w:tblGrid>
      <w:tr w:rsidR="00F012F1" w:rsidRPr="005B3DB7" w14:paraId="7DD0C80B" w14:textId="77777777" w:rsidTr="005B3DB7">
        <w:tc>
          <w:tcPr>
            <w:tcW w:w="0" w:type="auto"/>
            <w:hideMark/>
          </w:tcPr>
          <w:p w14:paraId="3E1F25BF"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(d)</w:t>
            </w:r>
          </w:p>
        </w:tc>
        <w:tc>
          <w:tcPr>
            <w:tcW w:w="0" w:type="auto"/>
            <w:hideMark/>
          </w:tcPr>
          <w:p w14:paraId="4BF7D5C5"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‘Investment strategy’;</w:t>
            </w:r>
          </w:p>
        </w:tc>
      </w:tr>
    </w:tbl>
    <w:p w14:paraId="4D975A43"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836"/>
        <w:gridCol w:w="8236"/>
      </w:tblGrid>
      <w:tr w:rsidR="00F012F1" w:rsidRPr="005B3DB7" w14:paraId="7A410B3D" w14:textId="77777777" w:rsidTr="005B3DB7">
        <w:tc>
          <w:tcPr>
            <w:tcW w:w="0" w:type="auto"/>
            <w:hideMark/>
          </w:tcPr>
          <w:p w14:paraId="426E9761"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(e)</w:t>
            </w:r>
          </w:p>
        </w:tc>
        <w:tc>
          <w:tcPr>
            <w:tcW w:w="0" w:type="auto"/>
            <w:hideMark/>
          </w:tcPr>
          <w:p w14:paraId="27B23251"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‘Proportion of investments’;</w:t>
            </w:r>
          </w:p>
        </w:tc>
      </w:tr>
    </w:tbl>
    <w:p w14:paraId="2C591DBF"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348"/>
        <w:gridCol w:w="8724"/>
      </w:tblGrid>
      <w:tr w:rsidR="00F012F1" w:rsidRPr="00CC1042" w14:paraId="61D7155B" w14:textId="77777777" w:rsidTr="005B3DB7">
        <w:tc>
          <w:tcPr>
            <w:tcW w:w="0" w:type="auto"/>
            <w:hideMark/>
          </w:tcPr>
          <w:p w14:paraId="71D6E227"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(f)</w:t>
            </w:r>
          </w:p>
        </w:tc>
        <w:tc>
          <w:tcPr>
            <w:tcW w:w="0" w:type="auto"/>
            <w:hideMark/>
          </w:tcPr>
          <w:p w14:paraId="5BAEF418"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‘Monitoring of environmental or social characteristics’;</w:t>
            </w:r>
          </w:p>
        </w:tc>
      </w:tr>
    </w:tbl>
    <w:p w14:paraId="135B3FB1"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1315"/>
        <w:gridCol w:w="7757"/>
      </w:tblGrid>
      <w:tr w:rsidR="00F012F1" w:rsidRPr="005B3DB7" w14:paraId="2253CC8B" w14:textId="77777777" w:rsidTr="005B3DB7">
        <w:tc>
          <w:tcPr>
            <w:tcW w:w="0" w:type="auto"/>
            <w:hideMark/>
          </w:tcPr>
          <w:p w14:paraId="2EA737E7"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(g)</w:t>
            </w:r>
          </w:p>
        </w:tc>
        <w:tc>
          <w:tcPr>
            <w:tcW w:w="0" w:type="auto"/>
            <w:hideMark/>
          </w:tcPr>
          <w:p w14:paraId="60186126"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‘Methodologies’;</w:t>
            </w:r>
          </w:p>
        </w:tc>
      </w:tr>
    </w:tbl>
    <w:p w14:paraId="03DAACE4"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746"/>
        <w:gridCol w:w="8326"/>
      </w:tblGrid>
      <w:tr w:rsidR="00F012F1" w:rsidRPr="005B3DB7" w14:paraId="14413F98" w14:textId="77777777" w:rsidTr="005B3DB7">
        <w:tc>
          <w:tcPr>
            <w:tcW w:w="0" w:type="auto"/>
            <w:hideMark/>
          </w:tcPr>
          <w:p w14:paraId="772769BC"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(h)</w:t>
            </w:r>
          </w:p>
        </w:tc>
        <w:tc>
          <w:tcPr>
            <w:tcW w:w="0" w:type="auto"/>
            <w:hideMark/>
          </w:tcPr>
          <w:p w14:paraId="3E10595E"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‘Data sources and processing’;</w:t>
            </w:r>
          </w:p>
        </w:tc>
      </w:tr>
    </w:tbl>
    <w:p w14:paraId="263178E5"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438"/>
        <w:gridCol w:w="8634"/>
      </w:tblGrid>
      <w:tr w:rsidR="00F012F1" w:rsidRPr="00CC1042" w14:paraId="6542D9AE" w14:textId="77777777" w:rsidTr="005B3DB7">
        <w:tc>
          <w:tcPr>
            <w:tcW w:w="0" w:type="auto"/>
            <w:hideMark/>
          </w:tcPr>
          <w:p w14:paraId="52F7B864"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w:t>
            </w:r>
          </w:p>
        </w:tc>
        <w:tc>
          <w:tcPr>
            <w:tcW w:w="0" w:type="auto"/>
            <w:hideMark/>
          </w:tcPr>
          <w:p w14:paraId="0469ADF2"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‘Limitations to methodologies and data’;</w:t>
            </w:r>
          </w:p>
        </w:tc>
      </w:tr>
    </w:tbl>
    <w:p w14:paraId="50A5CDF6"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1054"/>
        <w:gridCol w:w="8018"/>
      </w:tblGrid>
      <w:tr w:rsidR="00F012F1" w:rsidRPr="005B3DB7" w14:paraId="0220FE19" w14:textId="77777777" w:rsidTr="005B3DB7">
        <w:tc>
          <w:tcPr>
            <w:tcW w:w="0" w:type="auto"/>
            <w:hideMark/>
          </w:tcPr>
          <w:p w14:paraId="03DB49D6"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(j)</w:t>
            </w:r>
          </w:p>
        </w:tc>
        <w:tc>
          <w:tcPr>
            <w:tcW w:w="0" w:type="auto"/>
            <w:hideMark/>
          </w:tcPr>
          <w:p w14:paraId="0EAC46B3"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‘Due diligence’;</w:t>
            </w:r>
          </w:p>
        </w:tc>
      </w:tr>
    </w:tbl>
    <w:p w14:paraId="46C0B9FB"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947"/>
        <w:gridCol w:w="8125"/>
      </w:tblGrid>
      <w:tr w:rsidR="00F012F1" w:rsidRPr="005B3DB7" w14:paraId="5C19FA8B" w14:textId="77777777" w:rsidTr="005B3DB7">
        <w:tc>
          <w:tcPr>
            <w:tcW w:w="0" w:type="auto"/>
            <w:hideMark/>
          </w:tcPr>
          <w:p w14:paraId="6AABB52A"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(k)</w:t>
            </w:r>
          </w:p>
        </w:tc>
        <w:tc>
          <w:tcPr>
            <w:tcW w:w="0" w:type="auto"/>
            <w:hideMark/>
          </w:tcPr>
          <w:p w14:paraId="5851FB13"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‘Engagement policies’;</w:t>
            </w:r>
          </w:p>
        </w:tc>
      </w:tr>
    </w:tbl>
    <w:p w14:paraId="6BAD7CE3"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214"/>
        <w:gridCol w:w="8858"/>
      </w:tblGrid>
      <w:tr w:rsidR="00F012F1" w:rsidRPr="00CC1042" w14:paraId="33FF8407" w14:textId="77777777" w:rsidTr="005B3DB7">
        <w:tc>
          <w:tcPr>
            <w:tcW w:w="0" w:type="auto"/>
            <w:hideMark/>
          </w:tcPr>
          <w:p w14:paraId="799CFADC"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(l)</w:t>
            </w:r>
          </w:p>
        </w:tc>
        <w:tc>
          <w:tcPr>
            <w:tcW w:w="0" w:type="auto"/>
            <w:hideMark/>
          </w:tcPr>
          <w:p w14:paraId="1650C76E"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where an index is designated as a reference benchmark to attain the environmental or social characteristics promoted by the financial product, ‘Designated reference benchmark’.</w:t>
            </w:r>
          </w:p>
        </w:tc>
      </w:tr>
    </w:tbl>
    <w:p w14:paraId="6C78DBCE"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25</w:t>
      </w:r>
    </w:p>
    <w:p w14:paraId="739550D0"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‘Summary’ for financial products that promote environmental or social characteristics</w:t>
      </w:r>
    </w:p>
    <w:p w14:paraId="424A39D1"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1.   In the website section ‘Summary’ referred to in Article 24, point (a), financial market participants shall summarise all the information contained in the different sections referred to in that Article about the financial products that promote environmental or social characteristics. The summary section shall have a maximum length of two sides of A4-sized paper when printed.</w:t>
      </w:r>
    </w:p>
    <w:p w14:paraId="3498E350"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2.   The website section ‘Summary’ referred to in Article 24, point (a), shall be provided in at least the following languages:</w:t>
      </w: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2E716653" w14:textId="77777777" w:rsidTr="005B3DB7">
        <w:tc>
          <w:tcPr>
            <w:tcW w:w="0" w:type="auto"/>
            <w:hideMark/>
          </w:tcPr>
          <w:p w14:paraId="68554C7A"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lastRenderedPageBreak/>
              <w:t>(a)</w:t>
            </w:r>
          </w:p>
        </w:tc>
        <w:tc>
          <w:tcPr>
            <w:tcW w:w="0" w:type="auto"/>
            <w:hideMark/>
          </w:tcPr>
          <w:p w14:paraId="2B63CB0C"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one of the official languages of the home Member State and, where different and where the financial product is made available in more than one Member State, in an additional language customary in the sphere of international </w:t>
            </w:r>
            <w:proofErr w:type="gramStart"/>
            <w:r w:rsidRPr="005B3DB7">
              <w:rPr>
                <w:rFonts w:ascii="Arial" w:eastAsia="Times New Roman" w:hAnsi="Arial" w:cs="Arial"/>
                <w:sz w:val="24"/>
                <w:szCs w:val="24"/>
                <w:lang w:val="en-US"/>
              </w:rPr>
              <w:t>finance;</w:t>
            </w:r>
            <w:proofErr w:type="gramEnd"/>
          </w:p>
        </w:tc>
      </w:tr>
    </w:tbl>
    <w:p w14:paraId="4F6F4542"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15EC10F3" w14:textId="77777777" w:rsidTr="005B3DB7">
        <w:tc>
          <w:tcPr>
            <w:tcW w:w="0" w:type="auto"/>
            <w:hideMark/>
          </w:tcPr>
          <w:p w14:paraId="7AC0DD46"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(b)</w:t>
            </w:r>
          </w:p>
        </w:tc>
        <w:tc>
          <w:tcPr>
            <w:tcW w:w="0" w:type="auto"/>
            <w:hideMark/>
          </w:tcPr>
          <w:p w14:paraId="53F5C0A3"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where the financial product is made available in a host Member State, one of the official languages of that host Member State.</w:t>
            </w:r>
          </w:p>
        </w:tc>
      </w:tr>
    </w:tbl>
    <w:p w14:paraId="1C52E4B0"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26</w:t>
      </w:r>
    </w:p>
    <w:p w14:paraId="331C066F"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‘No sustainable investment objective’ for financial products that promote environmental or social characteristics</w:t>
      </w:r>
    </w:p>
    <w:p w14:paraId="552FA9A3"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1.   In the website section ‘No sustainable investment objective’ referred to in Article 24, point (b), financial market participants shall insert the following statement: “This financial product promotes environmental or social </w:t>
      </w:r>
      <w:proofErr w:type="gramStart"/>
      <w:r w:rsidRPr="005B3DB7">
        <w:rPr>
          <w:rFonts w:ascii="Arial" w:eastAsia="Times New Roman" w:hAnsi="Arial" w:cs="Arial"/>
          <w:sz w:val="24"/>
          <w:szCs w:val="24"/>
          <w:lang w:val="en-US"/>
        </w:rPr>
        <w:t>characteristics, but</w:t>
      </w:r>
      <w:proofErr w:type="gramEnd"/>
      <w:r w:rsidRPr="005B3DB7">
        <w:rPr>
          <w:rFonts w:ascii="Arial" w:eastAsia="Times New Roman" w:hAnsi="Arial" w:cs="Arial"/>
          <w:sz w:val="24"/>
          <w:szCs w:val="24"/>
          <w:lang w:val="en-US"/>
        </w:rPr>
        <w:t xml:space="preserve"> does not have as its objective sustainable investment.”</w:t>
      </w:r>
    </w:p>
    <w:p w14:paraId="208BBFD6"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2.   Where the financial product commits to making one or more sustainable investments, financial market participants shall in the website section ‘No sustainable investment objective’ referred to in Article 24, point (b), explain how </w:t>
      </w:r>
      <w:proofErr w:type="gramStart"/>
      <w:r w:rsidRPr="005B3DB7">
        <w:rPr>
          <w:rFonts w:ascii="Arial" w:eastAsia="Times New Roman" w:hAnsi="Arial" w:cs="Arial"/>
          <w:sz w:val="24"/>
          <w:szCs w:val="24"/>
          <w:lang w:val="en-US"/>
        </w:rPr>
        <w:t>the sustainable</w:t>
      </w:r>
      <w:proofErr w:type="gramEnd"/>
      <w:r w:rsidRPr="005B3DB7">
        <w:rPr>
          <w:rFonts w:ascii="Arial" w:eastAsia="Times New Roman" w:hAnsi="Arial" w:cs="Arial"/>
          <w:sz w:val="24"/>
          <w:szCs w:val="24"/>
          <w:lang w:val="en-US"/>
        </w:rPr>
        <w:t xml:space="preserve"> investment does not significantly harm any of the sustainable investment objectives, including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following:</w:t>
      </w: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758F3D67" w14:textId="77777777" w:rsidTr="005B3DB7">
        <w:tc>
          <w:tcPr>
            <w:tcW w:w="0" w:type="auto"/>
            <w:hideMark/>
          </w:tcPr>
          <w:p w14:paraId="2C4B449E"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w:t>
            </w:r>
          </w:p>
        </w:tc>
        <w:tc>
          <w:tcPr>
            <w:tcW w:w="0" w:type="auto"/>
            <w:hideMark/>
          </w:tcPr>
          <w:p w14:paraId="5E942D00"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how the indicators for adverse impacts in Table 1 of Annex I, and any relevant indicators in Tables 2 and 3 of that Annex I, are </w:t>
            </w:r>
            <w:proofErr w:type="gramStart"/>
            <w:r w:rsidRPr="005B3DB7">
              <w:rPr>
                <w:rFonts w:ascii="Arial" w:eastAsia="Times New Roman" w:hAnsi="Arial" w:cs="Arial"/>
                <w:sz w:val="24"/>
                <w:szCs w:val="24"/>
                <w:lang w:val="en-US"/>
              </w:rPr>
              <w:t>taken into account</w:t>
            </w:r>
            <w:proofErr w:type="gramEnd"/>
            <w:r w:rsidRPr="005B3DB7">
              <w:rPr>
                <w:rFonts w:ascii="Arial" w:eastAsia="Times New Roman" w:hAnsi="Arial" w:cs="Arial"/>
                <w:sz w:val="24"/>
                <w:szCs w:val="24"/>
                <w:lang w:val="en-US"/>
              </w:rPr>
              <w:t>;</w:t>
            </w:r>
          </w:p>
        </w:tc>
      </w:tr>
    </w:tbl>
    <w:p w14:paraId="1333818C"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3AEE5A25" w14:textId="77777777" w:rsidTr="005B3DB7">
        <w:tc>
          <w:tcPr>
            <w:tcW w:w="0" w:type="auto"/>
            <w:hideMark/>
          </w:tcPr>
          <w:p w14:paraId="39FD8557"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(b)</w:t>
            </w:r>
          </w:p>
        </w:tc>
        <w:tc>
          <w:tcPr>
            <w:tcW w:w="0" w:type="auto"/>
            <w:hideMark/>
          </w:tcPr>
          <w:p w14:paraId="4DF13E42"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whether </w:t>
            </w:r>
            <w:proofErr w:type="gramStart"/>
            <w:r w:rsidRPr="005B3DB7">
              <w:rPr>
                <w:rFonts w:ascii="Arial" w:eastAsia="Times New Roman" w:hAnsi="Arial" w:cs="Arial"/>
                <w:sz w:val="24"/>
                <w:szCs w:val="24"/>
                <w:lang w:val="en-US"/>
              </w:rPr>
              <w:t>the sustainable</w:t>
            </w:r>
            <w:proofErr w:type="gramEnd"/>
            <w:r w:rsidRPr="005B3DB7">
              <w:rPr>
                <w:rFonts w:ascii="Arial" w:eastAsia="Times New Roman" w:hAnsi="Arial" w:cs="Arial"/>
                <w:sz w:val="24"/>
                <w:szCs w:val="24"/>
                <w:lang w:val="en-US"/>
              </w:rPr>
              <w:t xml:space="preserve"> investment is aligned with the OECD Guidelines for Multinational Enterprises and the UN Guiding Principles on Business and Human Rights, including the principles and rights set out in the eight fundamental conventions identified in the Declaration of the International Labour Organisation on Fundamental Principles and Rights at Work and the International Bill of Human Rights.</w:t>
            </w:r>
          </w:p>
        </w:tc>
      </w:tr>
    </w:tbl>
    <w:p w14:paraId="6505140E"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27</w:t>
      </w:r>
    </w:p>
    <w:p w14:paraId="0EDF5C64"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‘Environmental or social characteristics of the financial product’ for financial products that promote environmental or social characteristics</w:t>
      </w:r>
    </w:p>
    <w:p w14:paraId="29E8331C"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In the website section ‘Environmental or social characteristics of the financial product’ referred to in Article 24, point (c), financial market participants shall describe the environmental or social characteristics that the financial products </w:t>
      </w:r>
      <w:proofErr w:type="gramStart"/>
      <w:r w:rsidRPr="005B3DB7">
        <w:rPr>
          <w:rFonts w:ascii="Arial" w:eastAsia="Times New Roman" w:hAnsi="Arial" w:cs="Arial"/>
          <w:sz w:val="24"/>
          <w:szCs w:val="24"/>
          <w:lang w:val="en-US"/>
        </w:rPr>
        <w:t>promotes</w:t>
      </w:r>
      <w:proofErr w:type="gramEnd"/>
      <w:r w:rsidRPr="005B3DB7">
        <w:rPr>
          <w:rFonts w:ascii="Arial" w:eastAsia="Times New Roman" w:hAnsi="Arial" w:cs="Arial"/>
          <w:sz w:val="24"/>
          <w:szCs w:val="24"/>
          <w:lang w:val="en-US"/>
        </w:rPr>
        <w:t>.</w:t>
      </w:r>
    </w:p>
    <w:p w14:paraId="4BFD7749"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28</w:t>
      </w:r>
    </w:p>
    <w:p w14:paraId="55D61B9C"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‘Investment strategy’ for financial products that promote environmental or social characteristics</w:t>
      </w:r>
    </w:p>
    <w:p w14:paraId="11EE25B0"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In the website section ‘Investment strategy’ referred to in Article 24, point (d), financial market participants shall describe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following:</w:t>
      </w: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7A508F78" w14:textId="77777777" w:rsidTr="005B3DB7">
        <w:tc>
          <w:tcPr>
            <w:tcW w:w="0" w:type="auto"/>
            <w:hideMark/>
          </w:tcPr>
          <w:p w14:paraId="782887A2"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w:t>
            </w:r>
          </w:p>
        </w:tc>
        <w:tc>
          <w:tcPr>
            <w:tcW w:w="0" w:type="auto"/>
            <w:hideMark/>
          </w:tcPr>
          <w:p w14:paraId="45E8429E"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the investment strategy used to meet the environmental or social characteristics promoted by the financial product;</w:t>
            </w:r>
          </w:p>
        </w:tc>
      </w:tr>
    </w:tbl>
    <w:p w14:paraId="7F9CFA42"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4990147A" w14:textId="77777777" w:rsidTr="005B3DB7">
        <w:tc>
          <w:tcPr>
            <w:tcW w:w="0" w:type="auto"/>
            <w:hideMark/>
          </w:tcPr>
          <w:p w14:paraId="4439A5FF"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lastRenderedPageBreak/>
              <w:t>(b)</w:t>
            </w:r>
          </w:p>
        </w:tc>
        <w:tc>
          <w:tcPr>
            <w:tcW w:w="0" w:type="auto"/>
            <w:hideMark/>
          </w:tcPr>
          <w:p w14:paraId="72A1F064"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the policy to assess good governance practices of the investee companies, including with respect to sound management structures, employee relations, remuneration of staff and tax compliance.</w:t>
            </w:r>
          </w:p>
        </w:tc>
      </w:tr>
    </w:tbl>
    <w:p w14:paraId="376E78BE"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29</w:t>
      </w:r>
    </w:p>
    <w:p w14:paraId="241AE47F"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 xml:space="preserve">Website section ‘Proportion of </w:t>
      </w:r>
      <w:proofErr w:type="gramStart"/>
      <w:r w:rsidRPr="005B3DB7">
        <w:rPr>
          <w:rFonts w:ascii="Arial" w:eastAsia="Times New Roman" w:hAnsi="Arial" w:cs="Arial"/>
          <w:b/>
          <w:bCs/>
          <w:sz w:val="24"/>
          <w:szCs w:val="24"/>
          <w:lang w:val="en-US"/>
        </w:rPr>
        <w:t>investments’</w:t>
      </w:r>
      <w:proofErr w:type="gramEnd"/>
      <w:r w:rsidRPr="005B3DB7">
        <w:rPr>
          <w:rFonts w:ascii="Arial" w:eastAsia="Times New Roman" w:hAnsi="Arial" w:cs="Arial"/>
          <w:b/>
          <w:bCs/>
          <w:sz w:val="24"/>
          <w:szCs w:val="24"/>
          <w:lang w:val="en-US"/>
        </w:rPr>
        <w:t xml:space="preserve"> for financial products that promote environmental or social characteristics</w:t>
      </w:r>
    </w:p>
    <w:p w14:paraId="36BC9CF3"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 the website section ‘Proportion of investments’ referred to in Article 24, point (e), financial market participants shall insert the information referred to in Article 14 and shall distinguish between direct exposures in investee entities and all other types of exposures to those entities.</w:t>
      </w:r>
    </w:p>
    <w:p w14:paraId="7CDDF4AF"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30</w:t>
      </w:r>
    </w:p>
    <w:p w14:paraId="6A00D8AE"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 xml:space="preserve">Website section ‘Monitoring of environmental or social </w:t>
      </w:r>
      <w:proofErr w:type="gramStart"/>
      <w:r w:rsidRPr="005B3DB7">
        <w:rPr>
          <w:rFonts w:ascii="Arial" w:eastAsia="Times New Roman" w:hAnsi="Arial" w:cs="Arial"/>
          <w:b/>
          <w:bCs/>
          <w:sz w:val="24"/>
          <w:szCs w:val="24"/>
          <w:lang w:val="en-US"/>
        </w:rPr>
        <w:t>characteristics’</w:t>
      </w:r>
      <w:proofErr w:type="gramEnd"/>
      <w:r w:rsidRPr="005B3DB7">
        <w:rPr>
          <w:rFonts w:ascii="Arial" w:eastAsia="Times New Roman" w:hAnsi="Arial" w:cs="Arial"/>
          <w:b/>
          <w:bCs/>
          <w:sz w:val="24"/>
          <w:szCs w:val="24"/>
          <w:lang w:val="en-US"/>
        </w:rPr>
        <w:t xml:space="preserve"> for financial products that promote environmental or social characteristics</w:t>
      </w:r>
    </w:p>
    <w:p w14:paraId="3D8575D6"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 the website section ‘Monitoring of environmental or social characteristics’ referred to in Article 24, point (f), financial market participants shall describe how the environmental or social characteristics promoted by the financial product and the sustainability indicators used to measure the attainment of each of those environmental or social characteristics promoted by the financial product are monitored throughout the lifecycle of the financial product and the related internal or external control mechanisms.</w:t>
      </w:r>
    </w:p>
    <w:p w14:paraId="4406586D"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31</w:t>
      </w:r>
    </w:p>
    <w:p w14:paraId="427B2497"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 xml:space="preserve">Website section ‘Methodologies for environmental or social </w:t>
      </w:r>
      <w:proofErr w:type="gramStart"/>
      <w:r w:rsidRPr="005B3DB7">
        <w:rPr>
          <w:rFonts w:ascii="Arial" w:eastAsia="Times New Roman" w:hAnsi="Arial" w:cs="Arial"/>
          <w:b/>
          <w:bCs/>
          <w:sz w:val="24"/>
          <w:szCs w:val="24"/>
          <w:lang w:val="en-US"/>
        </w:rPr>
        <w:t>characteristics’</w:t>
      </w:r>
      <w:proofErr w:type="gramEnd"/>
      <w:r w:rsidRPr="005B3DB7">
        <w:rPr>
          <w:rFonts w:ascii="Arial" w:eastAsia="Times New Roman" w:hAnsi="Arial" w:cs="Arial"/>
          <w:b/>
          <w:bCs/>
          <w:sz w:val="24"/>
          <w:szCs w:val="24"/>
          <w:lang w:val="en-US"/>
        </w:rPr>
        <w:t xml:space="preserve"> for financial products that promote environmental or social characteristics</w:t>
      </w:r>
    </w:p>
    <w:p w14:paraId="09378A47"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 the website section ‘Methodologies for environmental or social characteristics’ referred to in Article 24, point (g), financial market participants shall describe the methodologies to measure how the social or environmental characteristics promoted by the financial product are met.</w:t>
      </w:r>
    </w:p>
    <w:p w14:paraId="32C07BF8"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32</w:t>
      </w:r>
    </w:p>
    <w:p w14:paraId="1D609916"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‘Data sources and processing’ for financial products that promote environmental or social characteristics</w:t>
      </w:r>
    </w:p>
    <w:p w14:paraId="1DDD991E"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In the website section ‘Data sources and processing’ referred to in Article 24, point (h), financial market participants shall describe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following:</w:t>
      </w: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52E24E84" w14:textId="77777777" w:rsidTr="005B3DB7">
        <w:tc>
          <w:tcPr>
            <w:tcW w:w="0" w:type="auto"/>
            <w:hideMark/>
          </w:tcPr>
          <w:p w14:paraId="5947C93F"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w:t>
            </w:r>
          </w:p>
        </w:tc>
        <w:tc>
          <w:tcPr>
            <w:tcW w:w="0" w:type="auto"/>
            <w:hideMark/>
          </w:tcPr>
          <w:p w14:paraId="32005C51"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the data sources used to attain each of the environmental or social characteristics promoted by the financial product;</w:t>
            </w:r>
          </w:p>
        </w:tc>
      </w:tr>
    </w:tbl>
    <w:p w14:paraId="4EEAF58B"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552"/>
        <w:gridCol w:w="8520"/>
      </w:tblGrid>
      <w:tr w:rsidR="00F012F1" w:rsidRPr="00CC1042" w14:paraId="4FBA447B" w14:textId="77777777" w:rsidTr="005B3DB7">
        <w:tc>
          <w:tcPr>
            <w:tcW w:w="0" w:type="auto"/>
            <w:hideMark/>
          </w:tcPr>
          <w:p w14:paraId="26DABC4D"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(b)</w:t>
            </w:r>
          </w:p>
        </w:tc>
        <w:tc>
          <w:tcPr>
            <w:tcW w:w="0" w:type="auto"/>
            <w:hideMark/>
          </w:tcPr>
          <w:p w14:paraId="3076918B" w14:textId="77777777" w:rsidR="005B3DB7" w:rsidRPr="005B3DB7" w:rsidRDefault="005B3DB7" w:rsidP="005B3DB7">
            <w:pPr>
              <w:spacing w:before="120" w:after="0" w:line="240" w:lineRule="auto"/>
              <w:jc w:val="both"/>
              <w:rPr>
                <w:rFonts w:ascii="Arial" w:eastAsia="Times New Roman" w:hAnsi="Arial" w:cs="Arial"/>
                <w:sz w:val="24"/>
                <w:szCs w:val="24"/>
                <w:lang w:val="en-US"/>
              </w:rPr>
            </w:pPr>
            <w:proofErr w:type="gramStart"/>
            <w:r w:rsidRPr="005B3DB7">
              <w:rPr>
                <w:rFonts w:ascii="Arial" w:eastAsia="Times New Roman" w:hAnsi="Arial" w:cs="Arial"/>
                <w:sz w:val="24"/>
                <w:szCs w:val="24"/>
                <w:lang w:val="en-US"/>
              </w:rPr>
              <w:t>the measures</w:t>
            </w:r>
            <w:proofErr w:type="gramEnd"/>
            <w:r w:rsidRPr="005B3DB7">
              <w:rPr>
                <w:rFonts w:ascii="Arial" w:eastAsia="Times New Roman" w:hAnsi="Arial" w:cs="Arial"/>
                <w:sz w:val="24"/>
                <w:szCs w:val="24"/>
                <w:lang w:val="en-US"/>
              </w:rPr>
              <w:t xml:space="preserve"> taken to ensure data quality;</w:t>
            </w:r>
          </w:p>
        </w:tc>
      </w:tr>
    </w:tbl>
    <w:p w14:paraId="37E20B5C"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873"/>
        <w:gridCol w:w="8199"/>
      </w:tblGrid>
      <w:tr w:rsidR="00F012F1" w:rsidRPr="005B3DB7" w14:paraId="7257E270" w14:textId="77777777" w:rsidTr="005B3DB7">
        <w:tc>
          <w:tcPr>
            <w:tcW w:w="0" w:type="auto"/>
            <w:hideMark/>
          </w:tcPr>
          <w:p w14:paraId="75DA98BE"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(c)</w:t>
            </w:r>
          </w:p>
        </w:tc>
        <w:tc>
          <w:tcPr>
            <w:tcW w:w="0" w:type="auto"/>
            <w:hideMark/>
          </w:tcPr>
          <w:p w14:paraId="5E22A66F"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how data are processed;</w:t>
            </w:r>
          </w:p>
        </w:tc>
      </w:tr>
    </w:tbl>
    <w:p w14:paraId="3096D508"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576"/>
        <w:gridCol w:w="8496"/>
      </w:tblGrid>
      <w:tr w:rsidR="00F012F1" w:rsidRPr="00CC1042" w14:paraId="56B4A852" w14:textId="77777777" w:rsidTr="005B3DB7">
        <w:tc>
          <w:tcPr>
            <w:tcW w:w="0" w:type="auto"/>
            <w:hideMark/>
          </w:tcPr>
          <w:p w14:paraId="25774E94"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(d)</w:t>
            </w:r>
          </w:p>
        </w:tc>
        <w:tc>
          <w:tcPr>
            <w:tcW w:w="0" w:type="auto"/>
            <w:hideMark/>
          </w:tcPr>
          <w:p w14:paraId="6D0E3FDB"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the proportion of data that </w:t>
            </w:r>
            <w:proofErr w:type="gramStart"/>
            <w:r w:rsidRPr="005B3DB7">
              <w:rPr>
                <w:rFonts w:ascii="Arial" w:eastAsia="Times New Roman" w:hAnsi="Arial" w:cs="Arial"/>
                <w:sz w:val="24"/>
                <w:szCs w:val="24"/>
                <w:lang w:val="en-US"/>
              </w:rPr>
              <w:t>are</w:t>
            </w:r>
            <w:proofErr w:type="gramEnd"/>
            <w:r w:rsidRPr="005B3DB7">
              <w:rPr>
                <w:rFonts w:ascii="Arial" w:eastAsia="Times New Roman" w:hAnsi="Arial" w:cs="Arial"/>
                <w:sz w:val="24"/>
                <w:szCs w:val="24"/>
                <w:lang w:val="en-US"/>
              </w:rPr>
              <w:t xml:space="preserve"> estimated.</w:t>
            </w:r>
          </w:p>
        </w:tc>
      </w:tr>
    </w:tbl>
    <w:p w14:paraId="6BAA440D"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33</w:t>
      </w:r>
    </w:p>
    <w:p w14:paraId="7E01A6FF"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lastRenderedPageBreak/>
        <w:t>Website section ‘Limitations to methodologies and data’ for financial products that promote environmental or social characteristics</w:t>
      </w:r>
    </w:p>
    <w:p w14:paraId="207083A4"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In the website section ‘Limitations to methodologies and </w:t>
      </w:r>
      <w:proofErr w:type="gramStart"/>
      <w:r w:rsidRPr="005B3DB7">
        <w:rPr>
          <w:rFonts w:ascii="Arial" w:eastAsia="Times New Roman" w:hAnsi="Arial" w:cs="Arial"/>
          <w:sz w:val="24"/>
          <w:szCs w:val="24"/>
          <w:lang w:val="en-US"/>
        </w:rPr>
        <w:t>data’</w:t>
      </w:r>
      <w:proofErr w:type="gramEnd"/>
      <w:r w:rsidRPr="005B3DB7">
        <w:rPr>
          <w:rFonts w:ascii="Arial" w:eastAsia="Times New Roman" w:hAnsi="Arial" w:cs="Arial"/>
          <w:sz w:val="24"/>
          <w:szCs w:val="24"/>
          <w:lang w:val="en-US"/>
        </w:rPr>
        <w:t xml:space="preserve"> referred to in Article 24, point (i), financial market participants shall describe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following:</w:t>
      </w: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2ADE3273" w14:textId="77777777" w:rsidTr="005B3DB7">
        <w:tc>
          <w:tcPr>
            <w:tcW w:w="0" w:type="auto"/>
            <w:hideMark/>
          </w:tcPr>
          <w:p w14:paraId="1776FFED"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w:t>
            </w:r>
          </w:p>
        </w:tc>
        <w:tc>
          <w:tcPr>
            <w:tcW w:w="0" w:type="auto"/>
            <w:hideMark/>
          </w:tcPr>
          <w:p w14:paraId="4B44D64D"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any limitations to the methodologies referred to in Article 24, point (g), and to the data sources referred to in Article 24, point (h);</w:t>
            </w:r>
          </w:p>
        </w:tc>
      </w:tr>
    </w:tbl>
    <w:p w14:paraId="29421D87" w14:textId="77777777" w:rsidR="005B3DB7" w:rsidRPr="005B3DB7" w:rsidRDefault="005B3DB7" w:rsidP="005B3DB7">
      <w:pPr>
        <w:shd w:val="clear" w:color="auto" w:fill="FFFFFF"/>
        <w:spacing w:after="0" w:line="240" w:lineRule="auto"/>
        <w:rPr>
          <w:rFonts w:ascii="Arial" w:eastAsia="Times New Roman" w:hAnsi="Arial" w:cs="Arial"/>
          <w:vanish/>
          <w:sz w:val="24"/>
          <w:szCs w:val="24"/>
          <w:lang w:val="en-US"/>
        </w:rPr>
      </w:pPr>
    </w:p>
    <w:tbl>
      <w:tblPr>
        <w:tblW w:w="5000" w:type="pct"/>
        <w:tblCellMar>
          <w:left w:w="0" w:type="dxa"/>
          <w:right w:w="0" w:type="dxa"/>
        </w:tblCellMar>
        <w:tblLook w:val="04A0" w:firstRow="1" w:lastRow="0" w:firstColumn="1" w:lastColumn="0" w:noHBand="0" w:noVBand="1"/>
      </w:tblPr>
      <w:tblGrid>
        <w:gridCol w:w="294"/>
        <w:gridCol w:w="8778"/>
      </w:tblGrid>
      <w:tr w:rsidR="00F012F1" w:rsidRPr="00CC1042" w14:paraId="60C35D6D" w14:textId="77777777" w:rsidTr="005B3DB7">
        <w:tc>
          <w:tcPr>
            <w:tcW w:w="0" w:type="auto"/>
            <w:hideMark/>
          </w:tcPr>
          <w:p w14:paraId="68737CE9" w14:textId="77777777" w:rsidR="005B3DB7" w:rsidRPr="005B3DB7" w:rsidRDefault="005B3DB7" w:rsidP="005B3DB7">
            <w:pPr>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(b)</w:t>
            </w:r>
          </w:p>
        </w:tc>
        <w:tc>
          <w:tcPr>
            <w:tcW w:w="0" w:type="auto"/>
            <w:hideMark/>
          </w:tcPr>
          <w:p w14:paraId="318BF1AE" w14:textId="77777777" w:rsidR="005B3DB7" w:rsidRPr="005B3DB7" w:rsidRDefault="005B3DB7" w:rsidP="005B3DB7">
            <w:pPr>
              <w:spacing w:before="120" w:after="0" w:line="240" w:lineRule="auto"/>
              <w:jc w:val="both"/>
              <w:rPr>
                <w:rFonts w:ascii="Arial" w:eastAsia="Times New Roman" w:hAnsi="Arial" w:cs="Arial"/>
                <w:sz w:val="24"/>
                <w:szCs w:val="24"/>
                <w:lang w:val="en-US"/>
              </w:rPr>
            </w:pPr>
            <w:proofErr w:type="gramStart"/>
            <w:r w:rsidRPr="005B3DB7">
              <w:rPr>
                <w:rFonts w:ascii="Arial" w:eastAsia="Times New Roman" w:hAnsi="Arial" w:cs="Arial"/>
                <w:sz w:val="24"/>
                <w:szCs w:val="24"/>
                <w:lang w:val="en-US"/>
              </w:rPr>
              <w:t>how</w:t>
            </w:r>
            <w:proofErr w:type="gramEnd"/>
            <w:r w:rsidRPr="005B3DB7">
              <w:rPr>
                <w:rFonts w:ascii="Arial" w:eastAsia="Times New Roman" w:hAnsi="Arial" w:cs="Arial"/>
                <w:sz w:val="24"/>
                <w:szCs w:val="24"/>
                <w:lang w:val="en-US"/>
              </w:rPr>
              <w:t xml:space="preserve"> such limitations do not affect how the environmental or social characteristics promoted by the financial product are met.</w:t>
            </w:r>
          </w:p>
        </w:tc>
      </w:tr>
    </w:tbl>
    <w:p w14:paraId="41E407CC"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34</w:t>
      </w:r>
    </w:p>
    <w:p w14:paraId="640BF7D8"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‘Due diligence’ for financial products that promote environmental or social characteristics</w:t>
      </w:r>
    </w:p>
    <w:p w14:paraId="3A301866"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 the website section ‘Due diligence’ referred to in Article 24, point (j), financial market participants shall describe the due diligence carried out on the underlying assets of the financial product, including the internal and external controls on that due diligence.</w:t>
      </w:r>
    </w:p>
    <w:p w14:paraId="6224CF5A"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35</w:t>
      </w:r>
    </w:p>
    <w:p w14:paraId="3933A8C8"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 xml:space="preserve">Website section ‘Engagement </w:t>
      </w:r>
      <w:proofErr w:type="gramStart"/>
      <w:r w:rsidRPr="005B3DB7">
        <w:rPr>
          <w:rFonts w:ascii="Arial" w:eastAsia="Times New Roman" w:hAnsi="Arial" w:cs="Arial"/>
          <w:b/>
          <w:bCs/>
          <w:sz w:val="24"/>
          <w:szCs w:val="24"/>
          <w:lang w:val="en-US"/>
        </w:rPr>
        <w:t>policies’</w:t>
      </w:r>
      <w:proofErr w:type="gramEnd"/>
      <w:r w:rsidRPr="005B3DB7">
        <w:rPr>
          <w:rFonts w:ascii="Arial" w:eastAsia="Times New Roman" w:hAnsi="Arial" w:cs="Arial"/>
          <w:b/>
          <w:bCs/>
          <w:sz w:val="24"/>
          <w:szCs w:val="24"/>
          <w:lang w:val="en-US"/>
        </w:rPr>
        <w:t xml:space="preserve"> for financial products that promote environmental or social characteristics</w:t>
      </w:r>
    </w:p>
    <w:p w14:paraId="0DDEC884"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In the website section ‘Engagement policies’ referred to in Article 24, point (k), financial market participants shall describe the engagement policies implemented where engagement is part of the environmental or social investment strategy, including any management procedures applicable to sustainability-related controversies in investee companies.</w:t>
      </w:r>
    </w:p>
    <w:p w14:paraId="36BF2AD9" w14:textId="77777777" w:rsidR="005B3DB7" w:rsidRPr="005B3DB7" w:rsidRDefault="005B3DB7" w:rsidP="005B3DB7">
      <w:pPr>
        <w:shd w:val="clear" w:color="auto" w:fill="FFFFFF"/>
        <w:spacing w:before="360" w:after="120" w:line="240" w:lineRule="auto"/>
        <w:jc w:val="center"/>
        <w:rPr>
          <w:rFonts w:ascii="Arial" w:eastAsia="Times New Roman" w:hAnsi="Arial" w:cs="Arial"/>
          <w:i/>
          <w:iCs/>
          <w:sz w:val="24"/>
          <w:szCs w:val="24"/>
          <w:lang w:val="en-US"/>
        </w:rPr>
      </w:pPr>
      <w:r w:rsidRPr="005B3DB7">
        <w:rPr>
          <w:rFonts w:ascii="Arial" w:eastAsia="Times New Roman" w:hAnsi="Arial" w:cs="Arial"/>
          <w:i/>
          <w:iCs/>
          <w:sz w:val="24"/>
          <w:szCs w:val="24"/>
          <w:lang w:val="en-US"/>
        </w:rPr>
        <w:t>Article 36</w:t>
      </w:r>
    </w:p>
    <w:p w14:paraId="5EDB97D4" w14:textId="77777777" w:rsidR="005B3DB7" w:rsidRPr="005B3DB7" w:rsidRDefault="005B3DB7" w:rsidP="005B3DB7">
      <w:pPr>
        <w:shd w:val="clear" w:color="auto" w:fill="FFFFFF"/>
        <w:spacing w:before="60" w:after="120" w:line="240" w:lineRule="auto"/>
        <w:jc w:val="center"/>
        <w:rPr>
          <w:rFonts w:ascii="Arial" w:eastAsia="Times New Roman" w:hAnsi="Arial" w:cs="Arial"/>
          <w:b/>
          <w:bCs/>
          <w:sz w:val="24"/>
          <w:szCs w:val="24"/>
          <w:lang w:val="en-US"/>
        </w:rPr>
      </w:pPr>
      <w:r w:rsidRPr="005B3DB7">
        <w:rPr>
          <w:rFonts w:ascii="Arial" w:eastAsia="Times New Roman" w:hAnsi="Arial" w:cs="Arial"/>
          <w:b/>
          <w:bCs/>
          <w:sz w:val="24"/>
          <w:szCs w:val="24"/>
          <w:lang w:val="en-US"/>
        </w:rPr>
        <w:t>Website section ‘Designated reference benchmark’ for financial products that promote environmental or social characteristics</w:t>
      </w:r>
    </w:p>
    <w:p w14:paraId="295C876B" w14:textId="77777777" w:rsidR="005B3DB7" w:rsidRPr="005B3DB7"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1.   In the website section ‘Designated reference benchmark’ referred to in Article 24, point (l), financial market participants shall describe whether an index has been designated as a reference benchmark to meet the environmental or social characteristics promoted by the financial product, and how that index is aligned with the environmental or social characteristics promoted by the financial product, including the input data, the methodologies used to select those data, the rebalancing methodologies and how the index is calculated.</w:t>
      </w:r>
    </w:p>
    <w:p w14:paraId="5A390246" w14:textId="7DFF95B6" w:rsidR="005B3DB7" w:rsidRPr="00F012F1" w:rsidRDefault="005B3DB7" w:rsidP="005B3DB7">
      <w:pPr>
        <w:shd w:val="clear" w:color="auto" w:fill="FFFFFF"/>
        <w:spacing w:before="120" w:after="0" w:line="240" w:lineRule="auto"/>
        <w:jc w:val="both"/>
        <w:rPr>
          <w:rFonts w:ascii="Arial" w:eastAsia="Times New Roman" w:hAnsi="Arial" w:cs="Arial"/>
          <w:sz w:val="24"/>
          <w:szCs w:val="24"/>
          <w:lang w:val="en-US"/>
        </w:rPr>
      </w:pPr>
      <w:r w:rsidRPr="005B3DB7">
        <w:rPr>
          <w:rFonts w:ascii="Arial" w:eastAsia="Times New Roman" w:hAnsi="Arial" w:cs="Arial"/>
          <w:sz w:val="24"/>
          <w:szCs w:val="24"/>
          <w:lang w:val="en-US"/>
        </w:rPr>
        <w:t xml:space="preserve">2.   Where part or </w:t>
      </w:r>
      <w:proofErr w:type="gramStart"/>
      <w:r w:rsidRPr="005B3DB7">
        <w:rPr>
          <w:rFonts w:ascii="Arial" w:eastAsia="Times New Roman" w:hAnsi="Arial" w:cs="Arial"/>
          <w:sz w:val="24"/>
          <w:szCs w:val="24"/>
          <w:lang w:val="en-US"/>
        </w:rPr>
        <w:t>all of</w:t>
      </w:r>
      <w:proofErr w:type="gramEnd"/>
      <w:r w:rsidRPr="005B3DB7">
        <w:rPr>
          <w:rFonts w:ascii="Arial" w:eastAsia="Times New Roman" w:hAnsi="Arial" w:cs="Arial"/>
          <w:sz w:val="24"/>
          <w:szCs w:val="24"/>
          <w:lang w:val="en-US"/>
        </w:rPr>
        <w:t xml:space="preserve"> the information referred to in paragraph 1 is published on the website of the administrator of the reference benchmark, a hyperlink shall be provided </w:t>
      </w:r>
      <w:proofErr w:type="gramStart"/>
      <w:r w:rsidRPr="005B3DB7">
        <w:rPr>
          <w:rFonts w:ascii="Arial" w:eastAsia="Times New Roman" w:hAnsi="Arial" w:cs="Arial"/>
          <w:sz w:val="24"/>
          <w:szCs w:val="24"/>
          <w:lang w:val="en-US"/>
        </w:rPr>
        <w:t>to</w:t>
      </w:r>
      <w:proofErr w:type="gramEnd"/>
      <w:r w:rsidRPr="005B3DB7">
        <w:rPr>
          <w:rFonts w:ascii="Arial" w:eastAsia="Times New Roman" w:hAnsi="Arial" w:cs="Arial"/>
          <w:sz w:val="24"/>
          <w:szCs w:val="24"/>
          <w:lang w:val="en-US"/>
        </w:rPr>
        <w:t xml:space="preserve"> that information.</w:t>
      </w:r>
    </w:p>
    <w:sectPr w:rsidR="005B3DB7" w:rsidRPr="00F012F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D3F4" w14:textId="77777777" w:rsidR="005B245A" w:rsidRDefault="005B245A" w:rsidP="00EF20B7">
      <w:pPr>
        <w:spacing w:after="0" w:line="240" w:lineRule="auto"/>
      </w:pPr>
      <w:r>
        <w:separator/>
      </w:r>
    </w:p>
  </w:endnote>
  <w:endnote w:type="continuationSeparator" w:id="0">
    <w:p w14:paraId="15A36A50" w14:textId="77777777" w:rsidR="005B245A" w:rsidRDefault="005B245A" w:rsidP="00EF2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FE5DE" w14:textId="77777777" w:rsidR="005B245A" w:rsidRDefault="005B245A" w:rsidP="00EF20B7">
      <w:pPr>
        <w:spacing w:after="0" w:line="240" w:lineRule="auto"/>
      </w:pPr>
      <w:r>
        <w:separator/>
      </w:r>
    </w:p>
  </w:footnote>
  <w:footnote w:type="continuationSeparator" w:id="0">
    <w:p w14:paraId="7CC87E45" w14:textId="77777777" w:rsidR="005B245A" w:rsidRDefault="005B245A" w:rsidP="00EF2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0B2"/>
    <w:multiLevelType w:val="hybridMultilevel"/>
    <w:tmpl w:val="E7D6B61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02EB2CA9"/>
    <w:multiLevelType w:val="hybridMultilevel"/>
    <w:tmpl w:val="6EE6EA68"/>
    <w:lvl w:ilvl="0" w:tplc="C5B427C4">
      <w:numFmt w:val="bullet"/>
      <w:lvlText w:val="-"/>
      <w:lvlJc w:val="left"/>
      <w:pPr>
        <w:ind w:left="1440" w:hanging="360"/>
      </w:pPr>
      <w:rPr>
        <w:rFonts w:ascii="Calibri" w:eastAsiaTheme="minorHAnsi" w:hAnsi="Calibri"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3A0C05"/>
    <w:multiLevelType w:val="hybridMultilevel"/>
    <w:tmpl w:val="A08EE616"/>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 w15:restartNumberingAfterBreak="0">
    <w:nsid w:val="0EA3464F"/>
    <w:multiLevelType w:val="multilevel"/>
    <w:tmpl w:val="0EA63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747FC"/>
    <w:multiLevelType w:val="hybridMultilevel"/>
    <w:tmpl w:val="7A7A016A"/>
    <w:lvl w:ilvl="0" w:tplc="C41E553C">
      <w:numFmt w:val="bullet"/>
      <w:lvlText w:val="-"/>
      <w:lvlJc w:val="left"/>
      <w:pPr>
        <w:ind w:left="720" w:hanging="360"/>
      </w:pPr>
      <w:rPr>
        <w:rFonts w:ascii="Arial" w:eastAsia="Open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F245D5"/>
    <w:multiLevelType w:val="multilevel"/>
    <w:tmpl w:val="8E76BE36"/>
    <w:lvl w:ilvl="0">
      <w:start w:val="1"/>
      <w:numFmt w:val="upperLetter"/>
      <w:lvlText w:val="%1."/>
      <w:lvlJc w:val="left"/>
      <w:pPr>
        <w:ind w:left="928" w:hanging="360"/>
      </w:pPr>
      <w:rPr>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6133F4"/>
    <w:multiLevelType w:val="hybridMultilevel"/>
    <w:tmpl w:val="B60A4EE0"/>
    <w:lvl w:ilvl="0" w:tplc="140C0001">
      <w:start w:val="1"/>
      <w:numFmt w:val="bullet"/>
      <w:lvlText w:val=""/>
      <w:lvlJc w:val="left"/>
      <w:pPr>
        <w:ind w:left="1080" w:hanging="360"/>
      </w:pPr>
      <w:rPr>
        <w:rFonts w:ascii="Symbol" w:hAnsi="Symbol"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7" w15:restartNumberingAfterBreak="0">
    <w:nsid w:val="19DB2824"/>
    <w:multiLevelType w:val="hybridMultilevel"/>
    <w:tmpl w:val="4C606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F27AD"/>
    <w:multiLevelType w:val="hybridMultilevel"/>
    <w:tmpl w:val="E0745278"/>
    <w:lvl w:ilvl="0" w:tplc="9A041434">
      <w:numFmt w:val="bullet"/>
      <w:lvlText w:val="-"/>
      <w:lvlJc w:val="left"/>
      <w:pPr>
        <w:ind w:left="1428" w:hanging="360"/>
      </w:pPr>
      <w:rPr>
        <w:rFonts w:ascii="Calibri" w:eastAsiaTheme="minorHAnsi" w:hAnsi="Calibr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9" w15:restartNumberingAfterBreak="0">
    <w:nsid w:val="216841FF"/>
    <w:multiLevelType w:val="hybridMultilevel"/>
    <w:tmpl w:val="336E6FE2"/>
    <w:lvl w:ilvl="0" w:tplc="140C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0" w15:restartNumberingAfterBreak="0">
    <w:nsid w:val="25142176"/>
    <w:multiLevelType w:val="hybridMultilevel"/>
    <w:tmpl w:val="6742E364"/>
    <w:lvl w:ilvl="0" w:tplc="2480A25E">
      <w:start w:val="1"/>
      <w:numFmt w:val="decimal"/>
      <w:lvlText w:val="%1."/>
      <w:lvlJc w:val="left"/>
      <w:pPr>
        <w:ind w:left="1004" w:hanging="360"/>
      </w:pPr>
      <w:rPr>
        <w:rFonts w:ascii="Calibri" w:eastAsiaTheme="minorHAnsi" w:hAnsi="Calibri" w:hint="default"/>
        <w:b/>
        <w:sz w:val="2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27814CDC"/>
    <w:multiLevelType w:val="hybridMultilevel"/>
    <w:tmpl w:val="72FED980"/>
    <w:lvl w:ilvl="0" w:tplc="390035AC">
      <w:start w:val="2"/>
      <w:numFmt w:val="lowerRoman"/>
      <w:lvlText w:val="%1)"/>
      <w:lvlJc w:val="left"/>
      <w:pPr>
        <w:ind w:left="1440" w:hanging="720"/>
      </w:pPr>
      <w:rPr>
        <w:rFonts w:eastAsiaTheme="minorHAnsi" w:hint="default"/>
        <w:color w:val="auto"/>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79E0F4B"/>
    <w:multiLevelType w:val="hybridMultilevel"/>
    <w:tmpl w:val="F35EF3A8"/>
    <w:lvl w:ilvl="0" w:tplc="E2A0A4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0FAE"/>
    <w:multiLevelType w:val="hybridMultilevel"/>
    <w:tmpl w:val="79CAD888"/>
    <w:lvl w:ilvl="0" w:tplc="9A041434">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B8139A0"/>
    <w:multiLevelType w:val="hybridMultilevel"/>
    <w:tmpl w:val="DF96F7AE"/>
    <w:lvl w:ilvl="0" w:tplc="16E25BBE">
      <w:numFmt w:val="bullet"/>
      <w:lvlText w:val="-"/>
      <w:lvlJc w:val="left"/>
      <w:pPr>
        <w:ind w:left="1428" w:hanging="360"/>
      </w:pPr>
      <w:rPr>
        <w:rFonts w:ascii="Calibri" w:eastAsiaTheme="minorHAnsi" w:hAnsi="Calibri" w:cstheme="minorBidi"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5" w15:restartNumberingAfterBreak="0">
    <w:nsid w:val="2BD42C0B"/>
    <w:multiLevelType w:val="hybridMultilevel"/>
    <w:tmpl w:val="2D3A6F62"/>
    <w:lvl w:ilvl="0" w:tplc="134466AC">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E7E5164"/>
    <w:multiLevelType w:val="hybridMultilevel"/>
    <w:tmpl w:val="7E8AD46A"/>
    <w:lvl w:ilvl="0" w:tplc="9A041434">
      <w:numFmt w:val="bullet"/>
      <w:lvlText w:val="-"/>
      <w:lvlJc w:val="left"/>
      <w:pPr>
        <w:ind w:left="1440" w:hanging="360"/>
      </w:pPr>
      <w:rPr>
        <w:rFonts w:ascii="Calibri" w:eastAsiaTheme="minorHAnsi" w:hAnsi="Calibri"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15A745A"/>
    <w:multiLevelType w:val="hybridMultilevel"/>
    <w:tmpl w:val="EF4A99E2"/>
    <w:lvl w:ilvl="0" w:tplc="820A368C">
      <w:start w:val="7"/>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1B40105"/>
    <w:multiLevelType w:val="hybridMultilevel"/>
    <w:tmpl w:val="789C65C8"/>
    <w:lvl w:ilvl="0" w:tplc="9A041434">
      <w:numFmt w:val="bullet"/>
      <w:lvlText w:val="-"/>
      <w:lvlJc w:val="left"/>
      <w:pPr>
        <w:ind w:left="1364" w:hanging="360"/>
      </w:pPr>
      <w:rPr>
        <w:rFonts w:ascii="Calibri" w:eastAsiaTheme="minorHAnsi" w:hAnsi="Calibri" w:cs="Aria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9" w15:restartNumberingAfterBreak="0">
    <w:nsid w:val="38793936"/>
    <w:multiLevelType w:val="hybridMultilevel"/>
    <w:tmpl w:val="195891F6"/>
    <w:lvl w:ilvl="0" w:tplc="9A041434">
      <w:numFmt w:val="bullet"/>
      <w:lvlText w:val="-"/>
      <w:lvlJc w:val="left"/>
      <w:pPr>
        <w:ind w:left="1428" w:hanging="360"/>
      </w:pPr>
      <w:rPr>
        <w:rFonts w:ascii="Calibri" w:eastAsiaTheme="minorHAnsi" w:hAnsi="Calibr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0" w15:restartNumberingAfterBreak="0">
    <w:nsid w:val="38AD7ECA"/>
    <w:multiLevelType w:val="hybridMultilevel"/>
    <w:tmpl w:val="E0B29868"/>
    <w:lvl w:ilvl="0" w:tplc="16E25BB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C597577"/>
    <w:multiLevelType w:val="hybridMultilevel"/>
    <w:tmpl w:val="D682B0CA"/>
    <w:lvl w:ilvl="0" w:tplc="933CD78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4D1786"/>
    <w:multiLevelType w:val="hybridMultilevel"/>
    <w:tmpl w:val="5EFA1B60"/>
    <w:lvl w:ilvl="0" w:tplc="9A041434">
      <w:numFmt w:val="bullet"/>
      <w:lvlText w:val="-"/>
      <w:lvlJc w:val="left"/>
      <w:pPr>
        <w:ind w:left="1428" w:hanging="360"/>
      </w:pPr>
      <w:rPr>
        <w:rFonts w:ascii="Calibri" w:eastAsiaTheme="minorHAnsi" w:hAnsi="Calibr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3" w15:restartNumberingAfterBreak="0">
    <w:nsid w:val="48593793"/>
    <w:multiLevelType w:val="hybridMultilevel"/>
    <w:tmpl w:val="A2B0B120"/>
    <w:lvl w:ilvl="0" w:tplc="85C4287C">
      <w:start w:val="3"/>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B83C61"/>
    <w:multiLevelType w:val="hybridMultilevel"/>
    <w:tmpl w:val="0F7C6830"/>
    <w:lvl w:ilvl="0" w:tplc="16B683B4">
      <w:numFmt w:val="bullet"/>
      <w:lvlText w:val="•"/>
      <w:lvlJc w:val="left"/>
      <w:pPr>
        <w:ind w:left="1410" w:hanging="6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C40890"/>
    <w:multiLevelType w:val="hybridMultilevel"/>
    <w:tmpl w:val="80223F2E"/>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6" w15:restartNumberingAfterBreak="0">
    <w:nsid w:val="58C65C2B"/>
    <w:multiLevelType w:val="hybridMultilevel"/>
    <w:tmpl w:val="343672AA"/>
    <w:lvl w:ilvl="0" w:tplc="16E25BBE">
      <w:numFmt w:val="bullet"/>
      <w:lvlText w:val="-"/>
      <w:lvlJc w:val="left"/>
      <w:pPr>
        <w:ind w:left="1068" w:hanging="360"/>
      </w:pPr>
      <w:rPr>
        <w:rFonts w:ascii="Calibri" w:eastAsiaTheme="minorHAnsi" w:hAnsi="Calibri" w:cstheme="minorBidi"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7" w15:restartNumberingAfterBreak="0">
    <w:nsid w:val="5C55627B"/>
    <w:multiLevelType w:val="hybridMultilevel"/>
    <w:tmpl w:val="A68CF8E6"/>
    <w:lvl w:ilvl="0" w:tplc="9A041434">
      <w:numFmt w:val="bullet"/>
      <w:lvlText w:val="-"/>
      <w:lvlJc w:val="left"/>
      <w:pPr>
        <w:ind w:left="1428" w:hanging="360"/>
      </w:pPr>
      <w:rPr>
        <w:rFonts w:ascii="Calibri" w:eastAsiaTheme="minorHAnsi" w:hAnsi="Calibri" w:cs="Aria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28" w15:restartNumberingAfterBreak="0">
    <w:nsid w:val="5CA570EC"/>
    <w:multiLevelType w:val="hybridMultilevel"/>
    <w:tmpl w:val="B714F2DC"/>
    <w:lvl w:ilvl="0" w:tplc="9A041434">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7F2FEF"/>
    <w:multiLevelType w:val="hybridMultilevel"/>
    <w:tmpl w:val="438CDEE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0" w15:restartNumberingAfterBreak="0">
    <w:nsid w:val="67920DBC"/>
    <w:multiLevelType w:val="hybridMultilevel"/>
    <w:tmpl w:val="0E9A8894"/>
    <w:lvl w:ilvl="0" w:tplc="16B683B4">
      <w:numFmt w:val="bullet"/>
      <w:lvlText w:val="•"/>
      <w:lvlJc w:val="left"/>
      <w:pPr>
        <w:ind w:left="1410" w:hanging="69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E7E74"/>
    <w:multiLevelType w:val="hybridMultilevel"/>
    <w:tmpl w:val="DB18D850"/>
    <w:lvl w:ilvl="0" w:tplc="9A041434">
      <w:numFmt w:val="bullet"/>
      <w:lvlText w:val="-"/>
      <w:lvlJc w:val="left"/>
      <w:pPr>
        <w:ind w:left="1080" w:hanging="360"/>
      </w:pPr>
      <w:rPr>
        <w:rFonts w:ascii="Calibri" w:eastAsiaTheme="minorHAnsi" w:hAnsi="Calibri"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0DA235E"/>
    <w:multiLevelType w:val="hybridMultilevel"/>
    <w:tmpl w:val="C11CEB14"/>
    <w:lvl w:ilvl="0" w:tplc="D244FF40">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0813FA"/>
    <w:multiLevelType w:val="hybridMultilevel"/>
    <w:tmpl w:val="2A4607C6"/>
    <w:lvl w:ilvl="0" w:tplc="16E25BBE">
      <w:numFmt w:val="bullet"/>
      <w:lvlText w:val="-"/>
      <w:lvlJc w:val="left"/>
      <w:pPr>
        <w:ind w:left="1068" w:hanging="360"/>
      </w:pPr>
      <w:rPr>
        <w:rFonts w:ascii="Calibri" w:eastAsiaTheme="minorHAnsi" w:hAnsi="Calibri" w:cstheme="minorBidi"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4" w15:restartNumberingAfterBreak="0">
    <w:nsid w:val="713D6E3C"/>
    <w:multiLevelType w:val="hybridMultilevel"/>
    <w:tmpl w:val="E0D29CD8"/>
    <w:lvl w:ilvl="0" w:tplc="140C0015">
      <w:start w:val="1"/>
      <w:numFmt w:val="upperLetter"/>
      <w:lvlText w:val="%1."/>
      <w:lvlJc w:val="left"/>
      <w:pPr>
        <w:ind w:left="720" w:hanging="360"/>
      </w:pPr>
    </w:lvl>
    <w:lvl w:ilvl="1" w:tplc="140C0001">
      <w:start w:val="1"/>
      <w:numFmt w:val="bullet"/>
      <w:lvlText w:val=""/>
      <w:lvlJc w:val="left"/>
      <w:pPr>
        <w:ind w:left="1440" w:hanging="360"/>
      </w:pPr>
      <w:rPr>
        <w:rFonts w:ascii="Symbol" w:hAnsi="Symbol" w:hint="default"/>
      </w:rPr>
    </w:lvl>
    <w:lvl w:ilvl="2" w:tplc="140C001B">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5" w15:restartNumberingAfterBreak="0">
    <w:nsid w:val="71633FFB"/>
    <w:multiLevelType w:val="multilevel"/>
    <w:tmpl w:val="A2D42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D953CE"/>
    <w:multiLevelType w:val="hybridMultilevel"/>
    <w:tmpl w:val="40627A2C"/>
    <w:lvl w:ilvl="0" w:tplc="286C216C">
      <w:start w:val="12"/>
      <w:numFmt w:val="bullet"/>
      <w:lvlText w:val="-"/>
      <w:lvlJc w:val="left"/>
      <w:pPr>
        <w:ind w:left="1440" w:hanging="360"/>
      </w:pPr>
      <w:rPr>
        <w:rFonts w:ascii="Calibri" w:eastAsiaTheme="minorHAnsi" w:hAnsi="Calibri"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B9C58F0"/>
    <w:multiLevelType w:val="hybridMultilevel"/>
    <w:tmpl w:val="7C043470"/>
    <w:lvl w:ilvl="0" w:tplc="140C0001">
      <w:start w:val="1"/>
      <w:numFmt w:val="bullet"/>
      <w:lvlText w:val=""/>
      <w:lvlJc w:val="left"/>
      <w:pPr>
        <w:ind w:left="1800" w:hanging="360"/>
      </w:pPr>
      <w:rPr>
        <w:rFonts w:ascii="Symbol" w:hAnsi="Symbol" w:hint="default"/>
      </w:rPr>
    </w:lvl>
    <w:lvl w:ilvl="1" w:tplc="140C0003" w:tentative="1">
      <w:start w:val="1"/>
      <w:numFmt w:val="bullet"/>
      <w:lvlText w:val="o"/>
      <w:lvlJc w:val="left"/>
      <w:pPr>
        <w:ind w:left="2520" w:hanging="360"/>
      </w:pPr>
      <w:rPr>
        <w:rFonts w:ascii="Courier New" w:hAnsi="Courier New" w:cs="Courier New" w:hint="default"/>
      </w:rPr>
    </w:lvl>
    <w:lvl w:ilvl="2" w:tplc="140C0005" w:tentative="1">
      <w:start w:val="1"/>
      <w:numFmt w:val="bullet"/>
      <w:lvlText w:val=""/>
      <w:lvlJc w:val="left"/>
      <w:pPr>
        <w:ind w:left="3240" w:hanging="360"/>
      </w:pPr>
      <w:rPr>
        <w:rFonts w:ascii="Wingdings" w:hAnsi="Wingdings" w:hint="default"/>
      </w:rPr>
    </w:lvl>
    <w:lvl w:ilvl="3" w:tplc="140C0001" w:tentative="1">
      <w:start w:val="1"/>
      <w:numFmt w:val="bullet"/>
      <w:lvlText w:val=""/>
      <w:lvlJc w:val="left"/>
      <w:pPr>
        <w:ind w:left="3960" w:hanging="360"/>
      </w:pPr>
      <w:rPr>
        <w:rFonts w:ascii="Symbol" w:hAnsi="Symbol" w:hint="default"/>
      </w:rPr>
    </w:lvl>
    <w:lvl w:ilvl="4" w:tplc="140C0003" w:tentative="1">
      <w:start w:val="1"/>
      <w:numFmt w:val="bullet"/>
      <w:lvlText w:val="o"/>
      <w:lvlJc w:val="left"/>
      <w:pPr>
        <w:ind w:left="4680" w:hanging="360"/>
      </w:pPr>
      <w:rPr>
        <w:rFonts w:ascii="Courier New" w:hAnsi="Courier New" w:cs="Courier New" w:hint="default"/>
      </w:rPr>
    </w:lvl>
    <w:lvl w:ilvl="5" w:tplc="140C0005" w:tentative="1">
      <w:start w:val="1"/>
      <w:numFmt w:val="bullet"/>
      <w:lvlText w:val=""/>
      <w:lvlJc w:val="left"/>
      <w:pPr>
        <w:ind w:left="5400" w:hanging="360"/>
      </w:pPr>
      <w:rPr>
        <w:rFonts w:ascii="Wingdings" w:hAnsi="Wingdings" w:hint="default"/>
      </w:rPr>
    </w:lvl>
    <w:lvl w:ilvl="6" w:tplc="140C0001" w:tentative="1">
      <w:start w:val="1"/>
      <w:numFmt w:val="bullet"/>
      <w:lvlText w:val=""/>
      <w:lvlJc w:val="left"/>
      <w:pPr>
        <w:ind w:left="6120" w:hanging="360"/>
      </w:pPr>
      <w:rPr>
        <w:rFonts w:ascii="Symbol" w:hAnsi="Symbol" w:hint="default"/>
      </w:rPr>
    </w:lvl>
    <w:lvl w:ilvl="7" w:tplc="140C0003" w:tentative="1">
      <w:start w:val="1"/>
      <w:numFmt w:val="bullet"/>
      <w:lvlText w:val="o"/>
      <w:lvlJc w:val="left"/>
      <w:pPr>
        <w:ind w:left="6840" w:hanging="360"/>
      </w:pPr>
      <w:rPr>
        <w:rFonts w:ascii="Courier New" w:hAnsi="Courier New" w:cs="Courier New" w:hint="default"/>
      </w:rPr>
    </w:lvl>
    <w:lvl w:ilvl="8" w:tplc="140C0005" w:tentative="1">
      <w:start w:val="1"/>
      <w:numFmt w:val="bullet"/>
      <w:lvlText w:val=""/>
      <w:lvlJc w:val="left"/>
      <w:pPr>
        <w:ind w:left="7560" w:hanging="360"/>
      </w:pPr>
      <w:rPr>
        <w:rFonts w:ascii="Wingdings" w:hAnsi="Wingdings" w:hint="default"/>
      </w:rPr>
    </w:lvl>
  </w:abstractNum>
  <w:abstractNum w:abstractNumId="38" w15:restartNumberingAfterBreak="0">
    <w:nsid w:val="7BD735DB"/>
    <w:multiLevelType w:val="hybridMultilevel"/>
    <w:tmpl w:val="C2CEEDA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9" w15:restartNumberingAfterBreak="0">
    <w:nsid w:val="7D0B5F6A"/>
    <w:multiLevelType w:val="hybridMultilevel"/>
    <w:tmpl w:val="890AAB5C"/>
    <w:lvl w:ilvl="0" w:tplc="7D14EC9A">
      <w:start w:val="1"/>
      <w:numFmt w:val="decimal"/>
      <w:lvlText w:val="%1."/>
      <w:lvlJc w:val="left"/>
      <w:pPr>
        <w:ind w:left="644" w:hanging="360"/>
      </w:pPr>
      <w:rPr>
        <w:rFonts w:hint="default"/>
        <w:color w:val="auto"/>
        <w:sz w:val="18"/>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795250072">
    <w:abstractNumId w:val="39"/>
  </w:num>
  <w:num w:numId="2" w16cid:durableId="427703883">
    <w:abstractNumId w:val="8"/>
  </w:num>
  <w:num w:numId="3" w16cid:durableId="40331233">
    <w:abstractNumId w:val="2"/>
  </w:num>
  <w:num w:numId="4" w16cid:durableId="77484834">
    <w:abstractNumId w:val="0"/>
  </w:num>
  <w:num w:numId="5" w16cid:durableId="311064983">
    <w:abstractNumId w:val="25"/>
  </w:num>
  <w:num w:numId="6" w16cid:durableId="715735086">
    <w:abstractNumId w:val="38"/>
  </w:num>
  <w:num w:numId="7" w16cid:durableId="1353529003">
    <w:abstractNumId w:val="10"/>
  </w:num>
  <w:num w:numId="8" w16cid:durableId="1151823256">
    <w:abstractNumId w:val="29"/>
  </w:num>
  <w:num w:numId="9" w16cid:durableId="505947325">
    <w:abstractNumId w:val="26"/>
  </w:num>
  <w:num w:numId="10" w16cid:durableId="769468232">
    <w:abstractNumId w:val="9"/>
  </w:num>
  <w:num w:numId="11" w16cid:durableId="1129855757">
    <w:abstractNumId w:val="14"/>
  </w:num>
  <w:num w:numId="12" w16cid:durableId="71122568">
    <w:abstractNumId w:val="33"/>
  </w:num>
  <w:num w:numId="13" w16cid:durableId="194317782">
    <w:abstractNumId w:val="19"/>
  </w:num>
  <w:num w:numId="14" w16cid:durableId="1735077715">
    <w:abstractNumId w:val="27"/>
  </w:num>
  <w:num w:numId="15" w16cid:durableId="358357454">
    <w:abstractNumId w:val="28"/>
  </w:num>
  <w:num w:numId="16" w16cid:durableId="901645849">
    <w:abstractNumId w:val="18"/>
  </w:num>
  <w:num w:numId="17" w16cid:durableId="358970272">
    <w:abstractNumId w:val="22"/>
  </w:num>
  <w:num w:numId="18" w16cid:durableId="529492902">
    <w:abstractNumId w:val="5"/>
  </w:num>
  <w:num w:numId="19" w16cid:durableId="924807363">
    <w:abstractNumId w:val="30"/>
  </w:num>
  <w:num w:numId="20" w16cid:durableId="1018459458">
    <w:abstractNumId w:val="24"/>
  </w:num>
  <w:num w:numId="21" w16cid:durableId="286669431">
    <w:abstractNumId w:val="13"/>
  </w:num>
  <w:num w:numId="22" w16cid:durableId="1558203480">
    <w:abstractNumId w:val="20"/>
  </w:num>
  <w:num w:numId="23" w16cid:durableId="1636250392">
    <w:abstractNumId w:val="16"/>
  </w:num>
  <w:num w:numId="24" w16cid:durableId="348723720">
    <w:abstractNumId w:val="1"/>
  </w:num>
  <w:num w:numId="25" w16cid:durableId="2106269066">
    <w:abstractNumId w:val="15"/>
  </w:num>
  <w:num w:numId="26" w16cid:durableId="24868643">
    <w:abstractNumId w:val="23"/>
  </w:num>
  <w:num w:numId="27" w16cid:durableId="1968310820">
    <w:abstractNumId w:val="11"/>
  </w:num>
  <w:num w:numId="28" w16cid:durableId="1804499219">
    <w:abstractNumId w:val="17"/>
  </w:num>
  <w:num w:numId="29" w16cid:durableId="132338429">
    <w:abstractNumId w:val="31"/>
  </w:num>
  <w:num w:numId="30" w16cid:durableId="742946625">
    <w:abstractNumId w:val="36"/>
  </w:num>
  <w:num w:numId="31" w16cid:durableId="603462940">
    <w:abstractNumId w:val="34"/>
  </w:num>
  <w:num w:numId="32" w16cid:durableId="99494460">
    <w:abstractNumId w:val="6"/>
  </w:num>
  <w:num w:numId="33" w16cid:durableId="311299819">
    <w:abstractNumId w:val="37"/>
  </w:num>
  <w:num w:numId="34" w16cid:durableId="2146458630">
    <w:abstractNumId w:val="12"/>
  </w:num>
  <w:num w:numId="35" w16cid:durableId="579021673">
    <w:abstractNumId w:val="3"/>
  </w:num>
  <w:num w:numId="36" w16cid:durableId="1525899446">
    <w:abstractNumId w:val="35"/>
  </w:num>
  <w:num w:numId="37" w16cid:durableId="142047402">
    <w:abstractNumId w:val="32"/>
  </w:num>
  <w:num w:numId="38" w16cid:durableId="622267070">
    <w:abstractNumId w:val="21"/>
  </w:num>
  <w:num w:numId="39" w16cid:durableId="1594628166">
    <w:abstractNumId w:val="4"/>
  </w:num>
  <w:num w:numId="40" w16cid:durableId="4795412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5F"/>
    <w:rsid w:val="000064F2"/>
    <w:rsid w:val="00017A5C"/>
    <w:rsid w:val="00033712"/>
    <w:rsid w:val="00072605"/>
    <w:rsid w:val="000812B7"/>
    <w:rsid w:val="000D00F6"/>
    <w:rsid w:val="0012209B"/>
    <w:rsid w:val="00151078"/>
    <w:rsid w:val="00186C92"/>
    <w:rsid w:val="00201797"/>
    <w:rsid w:val="00227284"/>
    <w:rsid w:val="0028533C"/>
    <w:rsid w:val="002F3E1F"/>
    <w:rsid w:val="00317715"/>
    <w:rsid w:val="00343955"/>
    <w:rsid w:val="0035650B"/>
    <w:rsid w:val="003A3005"/>
    <w:rsid w:val="003D7EF2"/>
    <w:rsid w:val="003E4D48"/>
    <w:rsid w:val="003E61D6"/>
    <w:rsid w:val="003F742F"/>
    <w:rsid w:val="0048281D"/>
    <w:rsid w:val="00531218"/>
    <w:rsid w:val="00593569"/>
    <w:rsid w:val="005B0532"/>
    <w:rsid w:val="005B245A"/>
    <w:rsid w:val="005B3DB7"/>
    <w:rsid w:val="005C532F"/>
    <w:rsid w:val="005D0C13"/>
    <w:rsid w:val="005E0A15"/>
    <w:rsid w:val="005F7C8E"/>
    <w:rsid w:val="00691A5E"/>
    <w:rsid w:val="007562B6"/>
    <w:rsid w:val="00760148"/>
    <w:rsid w:val="007B058C"/>
    <w:rsid w:val="007E0EE9"/>
    <w:rsid w:val="007E78F9"/>
    <w:rsid w:val="00815EB9"/>
    <w:rsid w:val="00827ADB"/>
    <w:rsid w:val="00885D2D"/>
    <w:rsid w:val="00960A67"/>
    <w:rsid w:val="00974690"/>
    <w:rsid w:val="009B1A5F"/>
    <w:rsid w:val="009B62D4"/>
    <w:rsid w:val="009E2FD2"/>
    <w:rsid w:val="00AB02A9"/>
    <w:rsid w:val="00B11D53"/>
    <w:rsid w:val="00B63369"/>
    <w:rsid w:val="00B85C60"/>
    <w:rsid w:val="00C2596B"/>
    <w:rsid w:val="00C326B9"/>
    <w:rsid w:val="00C72D22"/>
    <w:rsid w:val="00CA614B"/>
    <w:rsid w:val="00CB202F"/>
    <w:rsid w:val="00CC1042"/>
    <w:rsid w:val="00CD65C0"/>
    <w:rsid w:val="00CE2C4B"/>
    <w:rsid w:val="00CF49F7"/>
    <w:rsid w:val="00CF6EC8"/>
    <w:rsid w:val="00D46182"/>
    <w:rsid w:val="00D70F89"/>
    <w:rsid w:val="00D859B1"/>
    <w:rsid w:val="00DC04A6"/>
    <w:rsid w:val="00DC1FB0"/>
    <w:rsid w:val="00DD2096"/>
    <w:rsid w:val="00DE02B9"/>
    <w:rsid w:val="00DE5372"/>
    <w:rsid w:val="00E67A66"/>
    <w:rsid w:val="00EB0120"/>
    <w:rsid w:val="00EB69D8"/>
    <w:rsid w:val="00EC4C1A"/>
    <w:rsid w:val="00ED0E1E"/>
    <w:rsid w:val="00ED2A0D"/>
    <w:rsid w:val="00EF20B7"/>
    <w:rsid w:val="00F012F1"/>
    <w:rsid w:val="00F020CA"/>
    <w:rsid w:val="00F07FF2"/>
    <w:rsid w:val="00F325B2"/>
    <w:rsid w:val="00F42745"/>
    <w:rsid w:val="00F6730D"/>
    <w:rsid w:val="00F70522"/>
    <w:rsid w:val="00FC0C2A"/>
    <w:rsid w:val="00FD4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FF75"/>
  <w15:docId w15:val="{6E3D0BAE-5095-4F9A-9AB9-00E7A42D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369"/>
    <w:rPr>
      <w:lang w:val="fr-L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2"/>
    <w:basedOn w:val="Normal"/>
    <w:link w:val="ListParagraphChar"/>
    <w:uiPriority w:val="34"/>
    <w:qFormat/>
    <w:rsid w:val="009B1A5F"/>
    <w:pPr>
      <w:ind w:left="720"/>
      <w:contextualSpacing/>
    </w:pPr>
  </w:style>
  <w:style w:type="character" w:styleId="CommentReference">
    <w:name w:val="annotation reference"/>
    <w:basedOn w:val="DefaultParagraphFont"/>
    <w:uiPriority w:val="99"/>
    <w:semiHidden/>
    <w:unhideWhenUsed/>
    <w:rsid w:val="009B1A5F"/>
    <w:rPr>
      <w:sz w:val="16"/>
      <w:szCs w:val="16"/>
    </w:rPr>
  </w:style>
  <w:style w:type="paragraph" w:styleId="CommentText">
    <w:name w:val="annotation text"/>
    <w:basedOn w:val="Normal"/>
    <w:link w:val="CommentTextChar"/>
    <w:uiPriority w:val="99"/>
    <w:unhideWhenUsed/>
    <w:rsid w:val="009B1A5F"/>
    <w:pPr>
      <w:spacing w:line="240" w:lineRule="auto"/>
    </w:pPr>
    <w:rPr>
      <w:sz w:val="20"/>
      <w:szCs w:val="20"/>
    </w:rPr>
  </w:style>
  <w:style w:type="character" w:customStyle="1" w:styleId="CommentTextChar">
    <w:name w:val="Comment Text Char"/>
    <w:basedOn w:val="DefaultParagraphFont"/>
    <w:link w:val="CommentText"/>
    <w:uiPriority w:val="99"/>
    <w:rsid w:val="009B1A5F"/>
    <w:rPr>
      <w:sz w:val="20"/>
      <w:szCs w:val="20"/>
      <w:lang w:val="fr-LU"/>
    </w:rPr>
  </w:style>
  <w:style w:type="paragraph" w:styleId="BalloonText">
    <w:name w:val="Balloon Text"/>
    <w:basedOn w:val="Normal"/>
    <w:link w:val="BalloonTextChar"/>
    <w:uiPriority w:val="99"/>
    <w:semiHidden/>
    <w:unhideWhenUsed/>
    <w:rsid w:val="009B1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A5F"/>
    <w:rPr>
      <w:rFonts w:ascii="Tahoma" w:hAnsi="Tahoma" w:cs="Tahoma"/>
      <w:sz w:val="16"/>
      <w:szCs w:val="16"/>
      <w:lang w:val="fr-LU"/>
    </w:rPr>
  </w:style>
  <w:style w:type="paragraph" w:customStyle="1" w:styleId="doc-ti">
    <w:name w:val="doc-ti"/>
    <w:basedOn w:val="Normal"/>
    <w:rsid w:val="009B1A5F"/>
    <w:pPr>
      <w:spacing w:before="100" w:beforeAutospacing="1" w:after="100" w:afterAutospacing="1" w:line="240" w:lineRule="auto"/>
    </w:pPr>
    <w:rPr>
      <w:rFonts w:ascii="Times New Roman" w:eastAsia="Times New Roman" w:hAnsi="Times New Roman" w:cs="Times New Roman"/>
      <w:sz w:val="24"/>
      <w:szCs w:val="24"/>
      <w:lang w:eastAsia="fr-LU"/>
    </w:rPr>
  </w:style>
  <w:style w:type="character" w:customStyle="1" w:styleId="ListParagraphChar">
    <w:name w:val="List Paragraph Char"/>
    <w:aliases w:val="List Paragraph-2 Char"/>
    <w:link w:val="ListParagraph"/>
    <w:uiPriority w:val="34"/>
    <w:locked/>
    <w:rsid w:val="00343955"/>
    <w:rPr>
      <w:lang w:val="fr-LU"/>
    </w:rPr>
  </w:style>
  <w:style w:type="paragraph" w:styleId="CommentSubject">
    <w:name w:val="annotation subject"/>
    <w:basedOn w:val="CommentText"/>
    <w:next w:val="CommentText"/>
    <w:link w:val="CommentSubjectChar"/>
    <w:uiPriority w:val="99"/>
    <w:semiHidden/>
    <w:unhideWhenUsed/>
    <w:rsid w:val="00343955"/>
    <w:rPr>
      <w:b/>
      <w:bCs/>
    </w:rPr>
  </w:style>
  <w:style w:type="character" w:customStyle="1" w:styleId="CommentSubjectChar">
    <w:name w:val="Comment Subject Char"/>
    <w:basedOn w:val="CommentTextChar"/>
    <w:link w:val="CommentSubject"/>
    <w:uiPriority w:val="99"/>
    <w:semiHidden/>
    <w:rsid w:val="00343955"/>
    <w:rPr>
      <w:b/>
      <w:bCs/>
      <w:sz w:val="20"/>
      <w:szCs w:val="20"/>
      <w:lang w:val="fr-LU"/>
    </w:rPr>
  </w:style>
  <w:style w:type="paragraph" w:styleId="FootnoteText">
    <w:name w:val="footnote text"/>
    <w:basedOn w:val="Normal"/>
    <w:link w:val="FootnoteTextChar"/>
    <w:uiPriority w:val="99"/>
    <w:semiHidden/>
    <w:unhideWhenUsed/>
    <w:rsid w:val="00EF20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20B7"/>
    <w:rPr>
      <w:sz w:val="20"/>
      <w:szCs w:val="20"/>
      <w:lang w:val="fr-LU"/>
    </w:rPr>
  </w:style>
  <w:style w:type="character" w:styleId="FootnoteReference">
    <w:name w:val="footnote reference"/>
    <w:basedOn w:val="DefaultParagraphFont"/>
    <w:uiPriority w:val="99"/>
    <w:semiHidden/>
    <w:unhideWhenUsed/>
    <w:rsid w:val="00EF20B7"/>
    <w:rPr>
      <w:vertAlign w:val="superscript"/>
    </w:rPr>
  </w:style>
  <w:style w:type="table" w:styleId="TableGrid">
    <w:name w:val="Table Grid"/>
    <w:basedOn w:val="TableNormal"/>
    <w:uiPriority w:val="59"/>
    <w:rsid w:val="00D7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70522"/>
    <w:rPr>
      <w:color w:val="0000FF"/>
      <w:u w:val="single"/>
    </w:rPr>
  </w:style>
  <w:style w:type="paragraph" w:customStyle="1" w:styleId="oj-ti-art">
    <w:name w:val="oj-ti-art"/>
    <w:basedOn w:val="Normal"/>
    <w:rsid w:val="005B3D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sti-art">
    <w:name w:val="oj-sti-art"/>
    <w:basedOn w:val="Normal"/>
    <w:rsid w:val="005B3D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oj-normal">
    <w:name w:val="oj-normal"/>
    <w:basedOn w:val="Normal"/>
    <w:rsid w:val="005B3DB7"/>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77811">
      <w:bodyDiv w:val="1"/>
      <w:marLeft w:val="0"/>
      <w:marRight w:val="0"/>
      <w:marTop w:val="0"/>
      <w:marBottom w:val="0"/>
      <w:divBdr>
        <w:top w:val="none" w:sz="0" w:space="0" w:color="auto"/>
        <w:left w:val="none" w:sz="0" w:space="0" w:color="auto"/>
        <w:bottom w:val="none" w:sz="0" w:space="0" w:color="auto"/>
        <w:right w:val="none" w:sz="0" w:space="0" w:color="auto"/>
      </w:divBdr>
      <w:divsChild>
        <w:div w:id="1674838763">
          <w:marLeft w:val="0"/>
          <w:marRight w:val="0"/>
          <w:marTop w:val="0"/>
          <w:marBottom w:val="0"/>
          <w:divBdr>
            <w:top w:val="none" w:sz="0" w:space="0" w:color="auto"/>
            <w:left w:val="none" w:sz="0" w:space="0" w:color="auto"/>
            <w:bottom w:val="none" w:sz="0" w:space="0" w:color="auto"/>
            <w:right w:val="none" w:sz="0" w:space="0" w:color="auto"/>
          </w:divBdr>
        </w:div>
        <w:div w:id="1263687485">
          <w:marLeft w:val="0"/>
          <w:marRight w:val="0"/>
          <w:marTop w:val="0"/>
          <w:marBottom w:val="0"/>
          <w:divBdr>
            <w:top w:val="none" w:sz="0" w:space="0" w:color="auto"/>
            <w:left w:val="none" w:sz="0" w:space="0" w:color="auto"/>
            <w:bottom w:val="none" w:sz="0" w:space="0" w:color="auto"/>
            <w:right w:val="none" w:sz="0" w:space="0" w:color="auto"/>
          </w:divBdr>
          <w:divsChild>
            <w:div w:id="1765806755">
              <w:marLeft w:val="0"/>
              <w:marRight w:val="0"/>
              <w:marTop w:val="0"/>
              <w:marBottom w:val="0"/>
              <w:divBdr>
                <w:top w:val="none" w:sz="0" w:space="0" w:color="auto"/>
                <w:left w:val="none" w:sz="0" w:space="0" w:color="auto"/>
                <w:bottom w:val="none" w:sz="0" w:space="0" w:color="auto"/>
                <w:right w:val="none" w:sz="0" w:space="0" w:color="auto"/>
              </w:divBdr>
            </w:div>
            <w:div w:id="933175357">
              <w:marLeft w:val="0"/>
              <w:marRight w:val="0"/>
              <w:marTop w:val="0"/>
              <w:marBottom w:val="0"/>
              <w:divBdr>
                <w:top w:val="none" w:sz="0" w:space="0" w:color="auto"/>
                <w:left w:val="none" w:sz="0" w:space="0" w:color="auto"/>
                <w:bottom w:val="none" w:sz="0" w:space="0" w:color="auto"/>
                <w:right w:val="none" w:sz="0" w:space="0" w:color="auto"/>
              </w:divBdr>
            </w:div>
          </w:divsChild>
        </w:div>
        <w:div w:id="967932698">
          <w:marLeft w:val="0"/>
          <w:marRight w:val="0"/>
          <w:marTop w:val="0"/>
          <w:marBottom w:val="0"/>
          <w:divBdr>
            <w:top w:val="none" w:sz="0" w:space="0" w:color="auto"/>
            <w:left w:val="none" w:sz="0" w:space="0" w:color="auto"/>
            <w:bottom w:val="none" w:sz="0" w:space="0" w:color="auto"/>
            <w:right w:val="none" w:sz="0" w:space="0" w:color="auto"/>
          </w:divBdr>
          <w:divsChild>
            <w:div w:id="1718431796">
              <w:marLeft w:val="0"/>
              <w:marRight w:val="0"/>
              <w:marTop w:val="0"/>
              <w:marBottom w:val="0"/>
              <w:divBdr>
                <w:top w:val="none" w:sz="0" w:space="0" w:color="auto"/>
                <w:left w:val="none" w:sz="0" w:space="0" w:color="auto"/>
                <w:bottom w:val="none" w:sz="0" w:space="0" w:color="auto"/>
                <w:right w:val="none" w:sz="0" w:space="0" w:color="auto"/>
              </w:divBdr>
            </w:div>
            <w:div w:id="269169736">
              <w:marLeft w:val="0"/>
              <w:marRight w:val="0"/>
              <w:marTop w:val="0"/>
              <w:marBottom w:val="0"/>
              <w:divBdr>
                <w:top w:val="none" w:sz="0" w:space="0" w:color="auto"/>
                <w:left w:val="none" w:sz="0" w:space="0" w:color="auto"/>
                <w:bottom w:val="none" w:sz="0" w:space="0" w:color="auto"/>
                <w:right w:val="none" w:sz="0" w:space="0" w:color="auto"/>
              </w:divBdr>
            </w:div>
          </w:divsChild>
        </w:div>
        <w:div w:id="1352100847">
          <w:marLeft w:val="0"/>
          <w:marRight w:val="0"/>
          <w:marTop w:val="0"/>
          <w:marBottom w:val="0"/>
          <w:divBdr>
            <w:top w:val="none" w:sz="0" w:space="0" w:color="auto"/>
            <w:left w:val="none" w:sz="0" w:space="0" w:color="auto"/>
            <w:bottom w:val="none" w:sz="0" w:space="0" w:color="auto"/>
            <w:right w:val="none" w:sz="0" w:space="0" w:color="auto"/>
          </w:divBdr>
        </w:div>
        <w:div w:id="667830717">
          <w:marLeft w:val="0"/>
          <w:marRight w:val="0"/>
          <w:marTop w:val="0"/>
          <w:marBottom w:val="0"/>
          <w:divBdr>
            <w:top w:val="none" w:sz="0" w:space="0" w:color="auto"/>
            <w:left w:val="none" w:sz="0" w:space="0" w:color="auto"/>
            <w:bottom w:val="none" w:sz="0" w:space="0" w:color="auto"/>
            <w:right w:val="none" w:sz="0" w:space="0" w:color="auto"/>
          </w:divBdr>
        </w:div>
        <w:div w:id="2014331488">
          <w:marLeft w:val="0"/>
          <w:marRight w:val="0"/>
          <w:marTop w:val="0"/>
          <w:marBottom w:val="0"/>
          <w:divBdr>
            <w:top w:val="none" w:sz="0" w:space="0" w:color="auto"/>
            <w:left w:val="none" w:sz="0" w:space="0" w:color="auto"/>
            <w:bottom w:val="none" w:sz="0" w:space="0" w:color="auto"/>
            <w:right w:val="none" w:sz="0" w:space="0" w:color="auto"/>
          </w:divBdr>
        </w:div>
        <w:div w:id="190539467">
          <w:marLeft w:val="0"/>
          <w:marRight w:val="0"/>
          <w:marTop w:val="0"/>
          <w:marBottom w:val="0"/>
          <w:divBdr>
            <w:top w:val="none" w:sz="0" w:space="0" w:color="auto"/>
            <w:left w:val="none" w:sz="0" w:space="0" w:color="auto"/>
            <w:bottom w:val="none" w:sz="0" w:space="0" w:color="auto"/>
            <w:right w:val="none" w:sz="0" w:space="0" w:color="auto"/>
          </w:divBdr>
        </w:div>
        <w:div w:id="758644840">
          <w:marLeft w:val="0"/>
          <w:marRight w:val="0"/>
          <w:marTop w:val="0"/>
          <w:marBottom w:val="0"/>
          <w:divBdr>
            <w:top w:val="none" w:sz="0" w:space="0" w:color="auto"/>
            <w:left w:val="none" w:sz="0" w:space="0" w:color="auto"/>
            <w:bottom w:val="none" w:sz="0" w:space="0" w:color="auto"/>
            <w:right w:val="none" w:sz="0" w:space="0" w:color="auto"/>
          </w:divBdr>
        </w:div>
        <w:div w:id="1011032263">
          <w:marLeft w:val="0"/>
          <w:marRight w:val="0"/>
          <w:marTop w:val="0"/>
          <w:marBottom w:val="0"/>
          <w:divBdr>
            <w:top w:val="none" w:sz="0" w:space="0" w:color="auto"/>
            <w:left w:val="none" w:sz="0" w:space="0" w:color="auto"/>
            <w:bottom w:val="none" w:sz="0" w:space="0" w:color="auto"/>
            <w:right w:val="none" w:sz="0" w:space="0" w:color="auto"/>
          </w:divBdr>
        </w:div>
        <w:div w:id="580522923">
          <w:marLeft w:val="0"/>
          <w:marRight w:val="0"/>
          <w:marTop w:val="0"/>
          <w:marBottom w:val="0"/>
          <w:divBdr>
            <w:top w:val="none" w:sz="0" w:space="0" w:color="auto"/>
            <w:left w:val="none" w:sz="0" w:space="0" w:color="auto"/>
            <w:bottom w:val="none" w:sz="0" w:space="0" w:color="auto"/>
            <w:right w:val="none" w:sz="0" w:space="0" w:color="auto"/>
          </w:divBdr>
        </w:div>
        <w:div w:id="55131581">
          <w:marLeft w:val="0"/>
          <w:marRight w:val="0"/>
          <w:marTop w:val="0"/>
          <w:marBottom w:val="0"/>
          <w:divBdr>
            <w:top w:val="none" w:sz="0" w:space="0" w:color="auto"/>
            <w:left w:val="none" w:sz="0" w:space="0" w:color="auto"/>
            <w:bottom w:val="none" w:sz="0" w:space="0" w:color="auto"/>
            <w:right w:val="none" w:sz="0" w:space="0" w:color="auto"/>
          </w:divBdr>
        </w:div>
        <w:div w:id="436027896">
          <w:marLeft w:val="0"/>
          <w:marRight w:val="0"/>
          <w:marTop w:val="0"/>
          <w:marBottom w:val="0"/>
          <w:divBdr>
            <w:top w:val="none" w:sz="0" w:space="0" w:color="auto"/>
            <w:left w:val="none" w:sz="0" w:space="0" w:color="auto"/>
            <w:bottom w:val="none" w:sz="0" w:space="0" w:color="auto"/>
            <w:right w:val="none" w:sz="0" w:space="0" w:color="auto"/>
          </w:divBdr>
        </w:div>
        <w:div w:id="2051178253">
          <w:marLeft w:val="0"/>
          <w:marRight w:val="0"/>
          <w:marTop w:val="0"/>
          <w:marBottom w:val="0"/>
          <w:divBdr>
            <w:top w:val="none" w:sz="0" w:space="0" w:color="auto"/>
            <w:left w:val="none" w:sz="0" w:space="0" w:color="auto"/>
            <w:bottom w:val="none" w:sz="0" w:space="0" w:color="auto"/>
            <w:right w:val="none" w:sz="0" w:space="0" w:color="auto"/>
          </w:divBdr>
          <w:divsChild>
            <w:div w:id="1513110265">
              <w:marLeft w:val="0"/>
              <w:marRight w:val="0"/>
              <w:marTop w:val="0"/>
              <w:marBottom w:val="0"/>
              <w:divBdr>
                <w:top w:val="none" w:sz="0" w:space="0" w:color="auto"/>
                <w:left w:val="none" w:sz="0" w:space="0" w:color="auto"/>
                <w:bottom w:val="none" w:sz="0" w:space="0" w:color="auto"/>
                <w:right w:val="none" w:sz="0" w:space="0" w:color="auto"/>
              </w:divBdr>
            </w:div>
            <w:div w:id="186050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ec.europa.eu/finance/docs/level-2-measures/C_2022_1931_1_EN_ACT_part1_v6%20(1).pd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2FD7E69-ECFA-4C70-B560-BD652BCA4295}" type="doc">
      <dgm:prSet loTypeId="urn:microsoft.com/office/officeart/2009/3/layout/HorizontalOrganizationChart" loCatId="hierarchy" qsTypeId="urn:microsoft.com/office/officeart/2005/8/quickstyle/simple4" qsCatId="simple" csTypeId="urn:microsoft.com/office/officeart/2005/8/colors/accent3_1" csCatId="accent3" phldr="1"/>
      <dgm:spPr/>
      <dgm:t>
        <a:bodyPr/>
        <a:lstStyle/>
        <a:p>
          <a:endParaRPr lang="en-US"/>
        </a:p>
      </dgm:t>
    </dgm:pt>
    <dgm:pt modelId="{99AD0E90-9ED4-41A7-B2A0-DD2CB57AE2D3}">
      <dgm:prSet phldrT="[Text]" custT="1"/>
      <dgm:spPr>
        <a:xfrm>
          <a:off x="939" y="966675"/>
          <a:ext cx="836410" cy="255105"/>
        </a:xfrm>
        <a:prstGeom prst="rect">
          <a:avLst/>
        </a:prstGeom>
        <a:solidFill>
          <a:sysClr val="window" lastClr="FFFFFF">
            <a:lumMod val="85000"/>
          </a:sysClr>
        </a:solidFill>
        <a:ln>
          <a:noFill/>
        </a:ln>
        <a:effectLst/>
      </dgm:spPr>
      <dgm:t>
        <a:bodyPr/>
        <a:lstStyle/>
        <a:p>
          <a:r>
            <a:rPr lang="en-US" sz="900">
              <a:solidFill>
                <a:sysClr val="windowText" lastClr="000000">
                  <a:hueOff val="0"/>
                  <a:satOff val="0"/>
                  <a:lumOff val="0"/>
                  <a:alphaOff val="0"/>
                </a:sysClr>
              </a:solidFill>
              <a:latin typeface="Calibri" panose="020F0502020204030204"/>
              <a:ea typeface="+mn-ea"/>
              <a:cs typeface="+mn-cs"/>
            </a:rPr>
            <a:t>Investments</a:t>
          </a:r>
        </a:p>
      </dgm:t>
    </dgm:pt>
    <dgm:pt modelId="{EEB7EF28-5896-42B2-A3B6-D21921A49C97}" type="parTrans" cxnId="{027ECE05-1796-498D-B5D2-2A81071719A3}">
      <dgm:prSet/>
      <dgm:spPr/>
      <dgm:t>
        <a:bodyPr/>
        <a:lstStyle/>
        <a:p>
          <a:endParaRPr lang="en-US"/>
        </a:p>
      </dgm:t>
    </dgm:pt>
    <dgm:pt modelId="{2FFC89C7-397E-4EC8-A787-837301FC3B1D}" type="sibTrans" cxnId="{027ECE05-1796-498D-B5D2-2A81071719A3}">
      <dgm:prSet/>
      <dgm:spPr/>
      <dgm:t>
        <a:bodyPr/>
        <a:lstStyle/>
        <a:p>
          <a:endParaRPr lang="en-GB"/>
        </a:p>
      </dgm:t>
    </dgm:pt>
    <dgm:pt modelId="{68A6FB17-E2CF-4A9E-91DE-90C04A7995CA}">
      <dgm:prSet phldrT="[Text]" custT="1"/>
      <dgm:spPr>
        <a:xfrm>
          <a:off x="1004632" y="1146504"/>
          <a:ext cx="836410" cy="255105"/>
        </a:xfrm>
        <a:prstGeom prst="rect">
          <a:avLst/>
        </a:prstGeom>
        <a:solidFill>
          <a:sysClr val="window" lastClr="FFFFFF">
            <a:lumMod val="85000"/>
          </a:sysClr>
        </a:solidFill>
        <a:ln>
          <a:noFill/>
        </a:ln>
        <a:effectLst/>
      </dgm:spPr>
      <dgm:t>
        <a:bodyPr/>
        <a:lstStyle/>
        <a:p>
          <a:r>
            <a:rPr lang="en-US" sz="900">
              <a:solidFill>
                <a:sysClr val="windowText" lastClr="000000"/>
              </a:solidFill>
              <a:latin typeface="Calibri" panose="020F0502020204030204"/>
              <a:ea typeface="+mn-ea"/>
              <a:cs typeface="+mn-cs"/>
            </a:rPr>
            <a:t>#2 Other</a:t>
          </a:r>
        </a:p>
        <a:p>
          <a:r>
            <a:rPr lang="en-US" sz="900">
              <a:solidFill>
                <a:sysClr val="windowText" lastClr="000000"/>
              </a:solidFill>
              <a:latin typeface="Calibri" panose="020F0502020204030204"/>
              <a:ea typeface="+mn-ea"/>
              <a:cs typeface="+mn-cs"/>
            </a:rPr>
            <a:t>20%</a:t>
          </a:r>
        </a:p>
      </dgm:t>
    </dgm:pt>
    <dgm:pt modelId="{4F8FD65B-707D-4E8A-ACF6-1D393F8B1364}" type="parTrans" cxnId="{D50424B9-12EE-47D7-B182-B8F6A657FD90}">
      <dgm:prSet/>
      <dgm:spPr>
        <a:xfrm>
          <a:off x="837350" y="1094228"/>
          <a:ext cx="167282" cy="179828"/>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C7610497-EE0A-49E6-A3BE-08B8EDC0FBED}" type="sibTrans" cxnId="{D50424B9-12EE-47D7-B182-B8F6A657FD90}">
      <dgm:prSet/>
      <dgm:spPr/>
      <dgm:t>
        <a:bodyPr/>
        <a:lstStyle/>
        <a:p>
          <a:endParaRPr lang="en-GB"/>
        </a:p>
      </dgm:t>
    </dgm:pt>
    <dgm:pt modelId="{6515EA1F-6142-455D-B2EF-4835D4BB4A47}">
      <dgm:prSet phldrT="[Text]" custT="1"/>
      <dgm:spPr>
        <a:xfrm>
          <a:off x="1004632" y="786847"/>
          <a:ext cx="836410" cy="255105"/>
        </a:xfrm>
        <a:prstGeom prst="rect">
          <a:avLst/>
        </a:prstGeom>
        <a:solidFill>
          <a:srgbClr val="009900"/>
        </a:solidFill>
        <a:ln>
          <a:noFill/>
        </a:ln>
        <a:effectLst/>
      </dgm:spPr>
      <dgm:t>
        <a:bodyPr/>
        <a:lstStyle/>
        <a:p>
          <a:r>
            <a:rPr lang="en-US" sz="1000">
              <a:solidFill>
                <a:sysClr val="windowText" lastClr="000000"/>
              </a:solidFill>
              <a:latin typeface="Calibri" panose="020F0502020204030204"/>
              <a:ea typeface="+mn-ea"/>
              <a:cs typeface="+mn-cs"/>
            </a:rPr>
            <a:t> </a:t>
          </a:r>
          <a:r>
            <a:rPr lang="en-US" sz="900">
              <a:solidFill>
                <a:sysClr val="windowText" lastClr="000000"/>
              </a:solidFill>
              <a:latin typeface="Calibri" panose="020F0502020204030204"/>
              <a:ea typeface="+mn-ea"/>
              <a:cs typeface="+mn-cs"/>
            </a:rPr>
            <a:t>#1</a:t>
          </a:r>
          <a:r>
            <a:rPr lang="en-GB" sz="900" b="1">
              <a:solidFill>
                <a:sysClr val="windowText" lastClr="000000">
                  <a:hueOff val="0"/>
                  <a:satOff val="0"/>
                  <a:lumOff val="0"/>
                  <a:alphaOff val="0"/>
                </a:sysClr>
              </a:solidFill>
              <a:latin typeface="Calibri" panose="020F0502020204030204"/>
              <a:ea typeface="+mn-ea"/>
              <a:cs typeface="+mn-cs"/>
            </a:rPr>
            <a:t> </a:t>
          </a:r>
          <a:r>
            <a:rPr lang="en-GB" sz="900" b="0">
              <a:solidFill>
                <a:sysClr val="windowText" lastClr="000000">
                  <a:hueOff val="0"/>
                  <a:satOff val="0"/>
                  <a:lumOff val="0"/>
                  <a:alphaOff val="0"/>
                </a:sysClr>
              </a:solidFill>
              <a:latin typeface="Calibri" panose="020F0502020204030204"/>
              <a:ea typeface="+mn-ea"/>
              <a:cs typeface="+mn-cs"/>
            </a:rPr>
            <a:t>Aligned with E/S characteristics</a:t>
          </a:r>
        </a:p>
        <a:p>
          <a:r>
            <a:rPr lang="en-GB" sz="900" b="0">
              <a:solidFill>
                <a:sysClr val="windowText" lastClr="000000">
                  <a:hueOff val="0"/>
                  <a:satOff val="0"/>
                  <a:lumOff val="0"/>
                  <a:alphaOff val="0"/>
                </a:sysClr>
              </a:solidFill>
              <a:latin typeface="Calibri" panose="020F0502020204030204"/>
              <a:ea typeface="+mn-ea"/>
              <a:cs typeface="+mn-cs"/>
            </a:rPr>
            <a:t>80%</a:t>
          </a:r>
        </a:p>
      </dgm:t>
    </dgm:pt>
    <dgm:pt modelId="{1E2F1981-BED9-4230-9246-096F3B342E11}" type="parTrans" cxnId="{5479E03F-8D20-47AE-B915-AB977B18E1CC}">
      <dgm:prSet/>
      <dgm:spPr>
        <a:xfrm>
          <a:off x="837350" y="914400"/>
          <a:ext cx="167282" cy="179828"/>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gm:spPr>
      <dgm:t>
        <a:bodyPr/>
        <a:lstStyle/>
        <a:p>
          <a:endParaRPr lang="en-US"/>
        </a:p>
      </dgm:t>
    </dgm:pt>
    <dgm:pt modelId="{F0B28F37-B315-49FC-A1EC-BC428E731369}" type="sibTrans" cxnId="{5479E03F-8D20-47AE-B915-AB977B18E1CC}">
      <dgm:prSet/>
      <dgm:spPr/>
      <dgm:t>
        <a:bodyPr/>
        <a:lstStyle/>
        <a:p>
          <a:endParaRPr lang="en-US"/>
        </a:p>
      </dgm:t>
    </dgm:pt>
    <dgm:pt modelId="{9C5122B7-4EEE-4491-AAE9-906560592905}">
      <dgm:prSet custT="1"/>
      <dgm:spPr>
        <a:xfrm>
          <a:off x="2008326" y="966675"/>
          <a:ext cx="836410" cy="255105"/>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gm:spPr>
      <dgm:t>
        <a:bodyPr/>
        <a:lstStyle/>
        <a:p>
          <a:r>
            <a:rPr lang="en-US" sz="900">
              <a:solidFill>
                <a:srgbClr val="000000">
                  <a:hueOff val="0"/>
                  <a:satOff val="0"/>
                  <a:lumOff val="0"/>
                  <a:alphaOff val="0"/>
                </a:srgbClr>
              </a:solidFill>
              <a:latin typeface="Calibri"/>
              <a:ea typeface="+mn-ea"/>
              <a:cs typeface="+mn-cs"/>
            </a:rPr>
            <a:t>#1B Other E/S characteristics</a:t>
          </a:r>
        </a:p>
        <a:p>
          <a:r>
            <a:rPr lang="en-US" sz="900">
              <a:solidFill>
                <a:srgbClr val="000000">
                  <a:hueOff val="0"/>
                  <a:satOff val="0"/>
                  <a:lumOff val="0"/>
                  <a:alphaOff val="0"/>
                </a:srgbClr>
              </a:solidFill>
              <a:latin typeface="Calibri"/>
              <a:ea typeface="+mn-ea"/>
              <a:cs typeface="+mn-cs"/>
            </a:rPr>
            <a:t>100%</a:t>
          </a:r>
        </a:p>
      </dgm:t>
    </dgm:pt>
    <dgm:pt modelId="{54F270C4-8BFE-42EC-AB3B-2FE764BA687C}" type="parTrans" cxnId="{00914C84-9408-4402-A00E-E0DD9E25A394}">
      <dgm:prSet/>
      <dgm:spPr>
        <a:xfrm>
          <a:off x="1841043" y="914400"/>
          <a:ext cx="167282" cy="179828"/>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gm:spPr>
      <dgm:t>
        <a:bodyPr/>
        <a:lstStyle/>
        <a:p>
          <a:endParaRPr lang="en-US"/>
        </a:p>
      </dgm:t>
    </dgm:pt>
    <dgm:pt modelId="{D41ED03B-A546-4565-AD6C-5A779C8D310C}" type="sibTrans" cxnId="{00914C84-9408-4402-A00E-E0DD9E25A394}">
      <dgm:prSet/>
      <dgm:spPr/>
      <dgm:t>
        <a:bodyPr/>
        <a:lstStyle/>
        <a:p>
          <a:endParaRPr lang="en-US"/>
        </a:p>
      </dgm:t>
    </dgm:pt>
    <dgm:pt modelId="{5EB9C7DD-C466-4E7F-AAD5-7944FFC10AFD}" type="pres">
      <dgm:prSet presAssocID="{42FD7E69-ECFA-4C70-B560-BD652BCA4295}" presName="hierChild1" presStyleCnt="0">
        <dgm:presLayoutVars>
          <dgm:orgChart val="1"/>
          <dgm:chPref val="1"/>
          <dgm:dir/>
          <dgm:animOne val="branch"/>
          <dgm:animLvl val="lvl"/>
          <dgm:resizeHandles/>
        </dgm:presLayoutVars>
      </dgm:prSet>
      <dgm:spPr/>
    </dgm:pt>
    <dgm:pt modelId="{D897F3CE-DA16-4D02-A05F-920C1C18CB7B}" type="pres">
      <dgm:prSet presAssocID="{99AD0E90-9ED4-41A7-B2A0-DD2CB57AE2D3}" presName="hierRoot1" presStyleCnt="0">
        <dgm:presLayoutVars>
          <dgm:hierBranch val="init"/>
        </dgm:presLayoutVars>
      </dgm:prSet>
      <dgm:spPr/>
    </dgm:pt>
    <dgm:pt modelId="{01E5C407-0D17-43FD-84F5-5113F8AA2573}" type="pres">
      <dgm:prSet presAssocID="{99AD0E90-9ED4-41A7-B2A0-DD2CB57AE2D3}" presName="rootComposite1" presStyleCnt="0"/>
      <dgm:spPr/>
    </dgm:pt>
    <dgm:pt modelId="{BF2153CF-56C5-4B63-AF26-9490B15DFA4F}" type="pres">
      <dgm:prSet presAssocID="{99AD0E90-9ED4-41A7-B2A0-DD2CB57AE2D3}" presName="rootText1" presStyleLbl="node0" presStyleIdx="0" presStyleCnt="1">
        <dgm:presLayoutVars>
          <dgm:chPref val="3"/>
        </dgm:presLayoutVars>
      </dgm:prSet>
      <dgm:spPr/>
    </dgm:pt>
    <dgm:pt modelId="{D86CF308-AAB8-4C47-91D4-0A8565F70547}" type="pres">
      <dgm:prSet presAssocID="{99AD0E90-9ED4-41A7-B2A0-DD2CB57AE2D3}" presName="rootConnector1" presStyleLbl="node1" presStyleIdx="0" presStyleCnt="0"/>
      <dgm:spPr/>
    </dgm:pt>
    <dgm:pt modelId="{76AD6125-64C7-4383-80E4-B36F3ADF4399}" type="pres">
      <dgm:prSet presAssocID="{99AD0E90-9ED4-41A7-B2A0-DD2CB57AE2D3}" presName="hierChild2" presStyleCnt="0"/>
      <dgm:spPr/>
    </dgm:pt>
    <dgm:pt modelId="{EA282787-665B-4D4F-A264-A2E1DB5E187F}" type="pres">
      <dgm:prSet presAssocID="{1E2F1981-BED9-4230-9246-096F3B342E11}" presName="Name64" presStyleLbl="parChTrans1D2" presStyleIdx="0" presStyleCnt="2"/>
      <dgm:spPr/>
    </dgm:pt>
    <dgm:pt modelId="{A4B552FD-9766-4584-8B00-967CDB56742D}" type="pres">
      <dgm:prSet presAssocID="{6515EA1F-6142-455D-B2EF-4835D4BB4A47}" presName="hierRoot2" presStyleCnt="0">
        <dgm:presLayoutVars>
          <dgm:hierBranch val="init"/>
        </dgm:presLayoutVars>
      </dgm:prSet>
      <dgm:spPr/>
    </dgm:pt>
    <dgm:pt modelId="{0F8F5C63-6DEA-4331-A4AF-CA4E3457CAC0}" type="pres">
      <dgm:prSet presAssocID="{6515EA1F-6142-455D-B2EF-4835D4BB4A47}" presName="rootComposite" presStyleCnt="0"/>
      <dgm:spPr/>
    </dgm:pt>
    <dgm:pt modelId="{BD3BAF88-97F0-46F4-AF7C-A396DD664F0D}" type="pres">
      <dgm:prSet presAssocID="{6515EA1F-6142-455D-B2EF-4835D4BB4A47}" presName="rootText" presStyleLbl="node2" presStyleIdx="0" presStyleCnt="2" custScaleY="165860">
        <dgm:presLayoutVars>
          <dgm:chPref val="3"/>
        </dgm:presLayoutVars>
      </dgm:prSet>
      <dgm:spPr/>
    </dgm:pt>
    <dgm:pt modelId="{A1D575D6-1B97-49E3-9270-D063D68EF887}" type="pres">
      <dgm:prSet presAssocID="{6515EA1F-6142-455D-B2EF-4835D4BB4A47}" presName="rootConnector" presStyleLbl="node2" presStyleIdx="0" presStyleCnt="2"/>
      <dgm:spPr/>
    </dgm:pt>
    <dgm:pt modelId="{1E425582-DF9B-4BD4-8644-361C8C8B0DBB}" type="pres">
      <dgm:prSet presAssocID="{6515EA1F-6142-455D-B2EF-4835D4BB4A47}" presName="hierChild4" presStyleCnt="0"/>
      <dgm:spPr/>
    </dgm:pt>
    <dgm:pt modelId="{36F580C4-5606-4E28-9AE2-74A5D43E1140}" type="pres">
      <dgm:prSet presAssocID="{54F270C4-8BFE-42EC-AB3B-2FE764BA687C}" presName="Name64" presStyleLbl="parChTrans1D3" presStyleIdx="0" presStyleCnt="1"/>
      <dgm:spPr/>
    </dgm:pt>
    <dgm:pt modelId="{AE67FEE0-8334-45CF-A5F3-A4BB22A1A3C6}" type="pres">
      <dgm:prSet presAssocID="{9C5122B7-4EEE-4491-AAE9-906560592905}" presName="hierRoot2" presStyleCnt="0">
        <dgm:presLayoutVars>
          <dgm:hierBranch val="init"/>
        </dgm:presLayoutVars>
      </dgm:prSet>
      <dgm:spPr/>
    </dgm:pt>
    <dgm:pt modelId="{6A2D148C-FE76-4953-B1BA-04CF8657121C}" type="pres">
      <dgm:prSet presAssocID="{9C5122B7-4EEE-4491-AAE9-906560592905}" presName="rootComposite" presStyleCnt="0"/>
      <dgm:spPr/>
    </dgm:pt>
    <dgm:pt modelId="{4CF28638-23C7-4EF0-A222-32B0A78A4C6D}" type="pres">
      <dgm:prSet presAssocID="{9C5122B7-4EEE-4491-AAE9-906560592905}" presName="rootText" presStyleLbl="node3" presStyleIdx="0" presStyleCnt="1" custScaleY="216231" custLinFactNeighborX="-5562" custLinFactNeighborY="17860">
        <dgm:presLayoutVars>
          <dgm:chPref val="3"/>
        </dgm:presLayoutVars>
      </dgm:prSet>
      <dgm:spPr/>
    </dgm:pt>
    <dgm:pt modelId="{771B076C-06FB-4B34-820B-55B9E19C3563}" type="pres">
      <dgm:prSet presAssocID="{9C5122B7-4EEE-4491-AAE9-906560592905}" presName="rootConnector" presStyleLbl="node3" presStyleIdx="0" presStyleCnt="1"/>
      <dgm:spPr/>
    </dgm:pt>
    <dgm:pt modelId="{4713A18A-1D4D-44D3-B551-F673AF1E227C}" type="pres">
      <dgm:prSet presAssocID="{9C5122B7-4EEE-4491-AAE9-906560592905}" presName="hierChild4" presStyleCnt="0"/>
      <dgm:spPr/>
    </dgm:pt>
    <dgm:pt modelId="{B84EC7CD-5203-48A6-8F8B-64E12F954374}" type="pres">
      <dgm:prSet presAssocID="{9C5122B7-4EEE-4491-AAE9-906560592905}" presName="hierChild5" presStyleCnt="0"/>
      <dgm:spPr/>
    </dgm:pt>
    <dgm:pt modelId="{6272FA48-419C-4320-9F60-B5EFC69157B7}" type="pres">
      <dgm:prSet presAssocID="{6515EA1F-6142-455D-B2EF-4835D4BB4A47}" presName="hierChild5" presStyleCnt="0"/>
      <dgm:spPr/>
    </dgm:pt>
    <dgm:pt modelId="{450D790E-3B76-41A2-90A1-5C4F3AF7870F}" type="pres">
      <dgm:prSet presAssocID="{4F8FD65B-707D-4E8A-ACF6-1D393F8B1364}" presName="Name64" presStyleLbl="parChTrans1D2" presStyleIdx="1" presStyleCnt="2"/>
      <dgm:spPr/>
    </dgm:pt>
    <dgm:pt modelId="{C795CFA2-6425-4CCA-B36E-58EA0234C495}" type="pres">
      <dgm:prSet presAssocID="{68A6FB17-E2CF-4A9E-91DE-90C04A7995CA}" presName="hierRoot2" presStyleCnt="0">
        <dgm:presLayoutVars>
          <dgm:hierBranch val="init"/>
        </dgm:presLayoutVars>
      </dgm:prSet>
      <dgm:spPr/>
    </dgm:pt>
    <dgm:pt modelId="{B05ADB36-1C95-4491-BAEF-FB3CDBA3B7B7}" type="pres">
      <dgm:prSet presAssocID="{68A6FB17-E2CF-4A9E-91DE-90C04A7995CA}" presName="rootComposite" presStyleCnt="0"/>
      <dgm:spPr/>
    </dgm:pt>
    <dgm:pt modelId="{226B17C5-6474-4423-A47F-CFC1D1F36659}" type="pres">
      <dgm:prSet presAssocID="{68A6FB17-E2CF-4A9E-91DE-90C04A7995CA}" presName="rootText" presStyleLbl="node2" presStyleIdx="1" presStyleCnt="2">
        <dgm:presLayoutVars>
          <dgm:chPref val="3"/>
        </dgm:presLayoutVars>
      </dgm:prSet>
      <dgm:spPr/>
    </dgm:pt>
    <dgm:pt modelId="{3A4E0835-0A25-4346-88E1-078BC09B81ED}" type="pres">
      <dgm:prSet presAssocID="{68A6FB17-E2CF-4A9E-91DE-90C04A7995CA}" presName="rootConnector" presStyleLbl="node2" presStyleIdx="1" presStyleCnt="2"/>
      <dgm:spPr/>
    </dgm:pt>
    <dgm:pt modelId="{DAC5C5F9-2127-4D3E-A36C-B5912BA9D8FD}" type="pres">
      <dgm:prSet presAssocID="{68A6FB17-E2CF-4A9E-91DE-90C04A7995CA}" presName="hierChild4" presStyleCnt="0"/>
      <dgm:spPr/>
    </dgm:pt>
    <dgm:pt modelId="{989DB5EF-AA1E-4322-B8B8-210E322B606C}" type="pres">
      <dgm:prSet presAssocID="{68A6FB17-E2CF-4A9E-91DE-90C04A7995CA}" presName="hierChild5" presStyleCnt="0"/>
      <dgm:spPr/>
    </dgm:pt>
    <dgm:pt modelId="{0E2A78DB-55FE-4D30-9E34-687B4D6F7EF6}" type="pres">
      <dgm:prSet presAssocID="{99AD0E90-9ED4-41A7-B2A0-DD2CB57AE2D3}" presName="hierChild3" presStyleCnt="0"/>
      <dgm:spPr/>
    </dgm:pt>
  </dgm:ptLst>
  <dgm:cxnLst>
    <dgm:cxn modelId="{027ECE05-1796-498D-B5D2-2A81071719A3}" srcId="{42FD7E69-ECFA-4C70-B560-BD652BCA4295}" destId="{99AD0E90-9ED4-41A7-B2A0-DD2CB57AE2D3}" srcOrd="0" destOrd="0" parTransId="{EEB7EF28-5896-42B2-A3B6-D21921A49C97}" sibTransId="{2FFC89C7-397E-4EC8-A787-837301FC3B1D}"/>
    <dgm:cxn modelId="{527A4610-21B2-4EBA-9A38-E68F946D14D7}" type="presOf" srcId="{99AD0E90-9ED4-41A7-B2A0-DD2CB57AE2D3}" destId="{D86CF308-AAB8-4C47-91D4-0A8565F70547}" srcOrd="1" destOrd="0" presId="urn:microsoft.com/office/officeart/2009/3/layout/HorizontalOrganizationChart"/>
    <dgm:cxn modelId="{48F7251B-1167-436A-BF61-47D9DE1A0C18}" type="presOf" srcId="{68A6FB17-E2CF-4A9E-91DE-90C04A7995CA}" destId="{3A4E0835-0A25-4346-88E1-078BC09B81ED}" srcOrd="1" destOrd="0" presId="urn:microsoft.com/office/officeart/2009/3/layout/HorizontalOrganizationChart"/>
    <dgm:cxn modelId="{3DC3072F-AF6C-488B-B1E7-1E18F18CD3D4}" type="presOf" srcId="{68A6FB17-E2CF-4A9E-91DE-90C04A7995CA}" destId="{226B17C5-6474-4423-A47F-CFC1D1F36659}" srcOrd="0" destOrd="0" presId="urn:microsoft.com/office/officeart/2009/3/layout/HorizontalOrganizationChart"/>
    <dgm:cxn modelId="{D04AFF35-787A-405D-AD70-F66132D5C542}" type="presOf" srcId="{9C5122B7-4EEE-4491-AAE9-906560592905}" destId="{4CF28638-23C7-4EF0-A222-32B0A78A4C6D}" srcOrd="0" destOrd="0" presId="urn:microsoft.com/office/officeart/2009/3/layout/HorizontalOrganizationChart"/>
    <dgm:cxn modelId="{9F7CA33A-51FE-40D3-9E57-4C7224C0AFAC}" type="presOf" srcId="{54F270C4-8BFE-42EC-AB3B-2FE764BA687C}" destId="{36F580C4-5606-4E28-9AE2-74A5D43E1140}" srcOrd="0" destOrd="0" presId="urn:microsoft.com/office/officeart/2009/3/layout/HorizontalOrganizationChart"/>
    <dgm:cxn modelId="{5479E03F-8D20-47AE-B915-AB977B18E1CC}" srcId="{99AD0E90-9ED4-41A7-B2A0-DD2CB57AE2D3}" destId="{6515EA1F-6142-455D-B2EF-4835D4BB4A47}" srcOrd="0" destOrd="0" parTransId="{1E2F1981-BED9-4230-9246-096F3B342E11}" sibTransId="{F0B28F37-B315-49FC-A1EC-BC428E731369}"/>
    <dgm:cxn modelId="{9451BD5D-E27E-4523-9C35-963AD9B1B8B6}" type="presOf" srcId="{6515EA1F-6142-455D-B2EF-4835D4BB4A47}" destId="{BD3BAF88-97F0-46F4-AF7C-A396DD664F0D}" srcOrd="0" destOrd="0" presId="urn:microsoft.com/office/officeart/2009/3/layout/HorizontalOrganizationChart"/>
    <dgm:cxn modelId="{D36F6D44-0349-4FD6-889A-E0DE738E0B04}" type="presOf" srcId="{9C5122B7-4EEE-4491-AAE9-906560592905}" destId="{771B076C-06FB-4B34-820B-55B9E19C3563}" srcOrd="1" destOrd="0" presId="urn:microsoft.com/office/officeart/2009/3/layout/HorizontalOrganizationChart"/>
    <dgm:cxn modelId="{FDA77E64-C9DD-403E-8B85-99A969714133}" type="presOf" srcId="{99AD0E90-9ED4-41A7-B2A0-DD2CB57AE2D3}" destId="{BF2153CF-56C5-4B63-AF26-9490B15DFA4F}" srcOrd="0" destOrd="0" presId="urn:microsoft.com/office/officeart/2009/3/layout/HorizontalOrganizationChart"/>
    <dgm:cxn modelId="{87DAD778-449B-40ED-9102-E3EF410CEB64}" type="presOf" srcId="{6515EA1F-6142-455D-B2EF-4835D4BB4A47}" destId="{A1D575D6-1B97-49E3-9270-D063D68EF887}" srcOrd="1" destOrd="0" presId="urn:microsoft.com/office/officeart/2009/3/layout/HorizontalOrganizationChart"/>
    <dgm:cxn modelId="{00914C84-9408-4402-A00E-E0DD9E25A394}" srcId="{6515EA1F-6142-455D-B2EF-4835D4BB4A47}" destId="{9C5122B7-4EEE-4491-AAE9-906560592905}" srcOrd="0" destOrd="0" parTransId="{54F270C4-8BFE-42EC-AB3B-2FE764BA687C}" sibTransId="{D41ED03B-A546-4565-AD6C-5A779C8D310C}"/>
    <dgm:cxn modelId="{7CA9B497-C889-47C3-B33F-40827FF1A611}" type="presOf" srcId="{1E2F1981-BED9-4230-9246-096F3B342E11}" destId="{EA282787-665B-4D4F-A264-A2E1DB5E187F}" srcOrd="0" destOrd="0" presId="urn:microsoft.com/office/officeart/2009/3/layout/HorizontalOrganizationChart"/>
    <dgm:cxn modelId="{BE2D33A7-2EAC-420B-A18F-4E9E947E1863}" type="presOf" srcId="{42FD7E69-ECFA-4C70-B560-BD652BCA4295}" destId="{5EB9C7DD-C466-4E7F-AAD5-7944FFC10AFD}" srcOrd="0" destOrd="0" presId="urn:microsoft.com/office/officeart/2009/3/layout/HorizontalOrganizationChart"/>
    <dgm:cxn modelId="{D50424B9-12EE-47D7-B182-B8F6A657FD90}" srcId="{99AD0E90-9ED4-41A7-B2A0-DD2CB57AE2D3}" destId="{68A6FB17-E2CF-4A9E-91DE-90C04A7995CA}" srcOrd="1" destOrd="0" parTransId="{4F8FD65B-707D-4E8A-ACF6-1D393F8B1364}" sibTransId="{C7610497-EE0A-49E6-A3BE-08B8EDC0FBED}"/>
    <dgm:cxn modelId="{F6B194EB-B87D-4E90-8EFE-0327CB62A57D}" type="presOf" srcId="{4F8FD65B-707D-4E8A-ACF6-1D393F8B1364}" destId="{450D790E-3B76-41A2-90A1-5C4F3AF7870F}" srcOrd="0" destOrd="0" presId="urn:microsoft.com/office/officeart/2009/3/layout/HorizontalOrganizationChart"/>
    <dgm:cxn modelId="{57A95A4C-305E-4794-9ABB-1B54DDF51815}" type="presParOf" srcId="{5EB9C7DD-C466-4E7F-AAD5-7944FFC10AFD}" destId="{D897F3CE-DA16-4D02-A05F-920C1C18CB7B}" srcOrd="0" destOrd="0" presId="urn:microsoft.com/office/officeart/2009/3/layout/HorizontalOrganizationChart"/>
    <dgm:cxn modelId="{524BDD26-A956-456C-A20B-CB676193FF10}" type="presParOf" srcId="{D897F3CE-DA16-4D02-A05F-920C1C18CB7B}" destId="{01E5C407-0D17-43FD-84F5-5113F8AA2573}" srcOrd="0" destOrd="0" presId="urn:microsoft.com/office/officeart/2009/3/layout/HorizontalOrganizationChart"/>
    <dgm:cxn modelId="{DB5E1A7D-A219-4962-B0C6-822E82F8028B}" type="presParOf" srcId="{01E5C407-0D17-43FD-84F5-5113F8AA2573}" destId="{BF2153CF-56C5-4B63-AF26-9490B15DFA4F}" srcOrd="0" destOrd="0" presId="urn:microsoft.com/office/officeart/2009/3/layout/HorizontalOrganizationChart"/>
    <dgm:cxn modelId="{CED71401-0A1C-4E8A-B47C-2943273E950C}" type="presParOf" srcId="{01E5C407-0D17-43FD-84F5-5113F8AA2573}" destId="{D86CF308-AAB8-4C47-91D4-0A8565F70547}" srcOrd="1" destOrd="0" presId="urn:microsoft.com/office/officeart/2009/3/layout/HorizontalOrganizationChart"/>
    <dgm:cxn modelId="{B71C1FF3-1CFF-4F5B-834A-A96F41791781}" type="presParOf" srcId="{D897F3CE-DA16-4D02-A05F-920C1C18CB7B}" destId="{76AD6125-64C7-4383-80E4-B36F3ADF4399}" srcOrd="1" destOrd="0" presId="urn:microsoft.com/office/officeart/2009/3/layout/HorizontalOrganizationChart"/>
    <dgm:cxn modelId="{102A8DD2-09FF-4511-B3E5-4BC008EA3C12}" type="presParOf" srcId="{76AD6125-64C7-4383-80E4-B36F3ADF4399}" destId="{EA282787-665B-4D4F-A264-A2E1DB5E187F}" srcOrd="0" destOrd="0" presId="urn:microsoft.com/office/officeart/2009/3/layout/HorizontalOrganizationChart"/>
    <dgm:cxn modelId="{A7E506D8-05DC-4D66-8AB6-AF51B7F199F6}" type="presParOf" srcId="{76AD6125-64C7-4383-80E4-B36F3ADF4399}" destId="{A4B552FD-9766-4584-8B00-967CDB56742D}" srcOrd="1" destOrd="0" presId="urn:microsoft.com/office/officeart/2009/3/layout/HorizontalOrganizationChart"/>
    <dgm:cxn modelId="{0CAA31E5-0D28-4BA5-8318-E44722E731C0}" type="presParOf" srcId="{A4B552FD-9766-4584-8B00-967CDB56742D}" destId="{0F8F5C63-6DEA-4331-A4AF-CA4E3457CAC0}" srcOrd="0" destOrd="0" presId="urn:microsoft.com/office/officeart/2009/3/layout/HorizontalOrganizationChart"/>
    <dgm:cxn modelId="{4AA2CE25-AA49-412A-AB07-E749C7BEA64B}" type="presParOf" srcId="{0F8F5C63-6DEA-4331-A4AF-CA4E3457CAC0}" destId="{BD3BAF88-97F0-46F4-AF7C-A396DD664F0D}" srcOrd="0" destOrd="0" presId="urn:microsoft.com/office/officeart/2009/3/layout/HorizontalOrganizationChart"/>
    <dgm:cxn modelId="{CFBD9D3B-78F6-4580-8C52-A7193DE5E570}" type="presParOf" srcId="{0F8F5C63-6DEA-4331-A4AF-CA4E3457CAC0}" destId="{A1D575D6-1B97-49E3-9270-D063D68EF887}" srcOrd="1" destOrd="0" presId="urn:microsoft.com/office/officeart/2009/3/layout/HorizontalOrganizationChart"/>
    <dgm:cxn modelId="{87CE4A42-D028-4341-A529-AFD7FFC83DF8}" type="presParOf" srcId="{A4B552FD-9766-4584-8B00-967CDB56742D}" destId="{1E425582-DF9B-4BD4-8644-361C8C8B0DBB}" srcOrd="1" destOrd="0" presId="urn:microsoft.com/office/officeart/2009/3/layout/HorizontalOrganizationChart"/>
    <dgm:cxn modelId="{C0FD0FE9-3E7D-4535-B52E-D64A2DB945BA}" type="presParOf" srcId="{1E425582-DF9B-4BD4-8644-361C8C8B0DBB}" destId="{36F580C4-5606-4E28-9AE2-74A5D43E1140}" srcOrd="0" destOrd="0" presId="urn:microsoft.com/office/officeart/2009/3/layout/HorizontalOrganizationChart"/>
    <dgm:cxn modelId="{88731F6C-C479-4B90-85F4-804192347034}" type="presParOf" srcId="{1E425582-DF9B-4BD4-8644-361C8C8B0DBB}" destId="{AE67FEE0-8334-45CF-A5F3-A4BB22A1A3C6}" srcOrd="1" destOrd="0" presId="urn:microsoft.com/office/officeart/2009/3/layout/HorizontalOrganizationChart"/>
    <dgm:cxn modelId="{A3B2C4C1-552E-4997-943C-7B8EF6ADA022}" type="presParOf" srcId="{AE67FEE0-8334-45CF-A5F3-A4BB22A1A3C6}" destId="{6A2D148C-FE76-4953-B1BA-04CF8657121C}" srcOrd="0" destOrd="0" presId="urn:microsoft.com/office/officeart/2009/3/layout/HorizontalOrganizationChart"/>
    <dgm:cxn modelId="{C972DAA4-69F4-40E2-9FFB-E80023B17546}" type="presParOf" srcId="{6A2D148C-FE76-4953-B1BA-04CF8657121C}" destId="{4CF28638-23C7-4EF0-A222-32B0A78A4C6D}" srcOrd="0" destOrd="0" presId="urn:microsoft.com/office/officeart/2009/3/layout/HorizontalOrganizationChart"/>
    <dgm:cxn modelId="{4FC2C28A-E5C3-4F09-84AF-61F6AF9DAD56}" type="presParOf" srcId="{6A2D148C-FE76-4953-B1BA-04CF8657121C}" destId="{771B076C-06FB-4B34-820B-55B9E19C3563}" srcOrd="1" destOrd="0" presId="urn:microsoft.com/office/officeart/2009/3/layout/HorizontalOrganizationChart"/>
    <dgm:cxn modelId="{91141A17-F3FB-40D6-A1F8-525BC389F6E6}" type="presParOf" srcId="{AE67FEE0-8334-45CF-A5F3-A4BB22A1A3C6}" destId="{4713A18A-1D4D-44D3-B551-F673AF1E227C}" srcOrd="1" destOrd="0" presId="urn:microsoft.com/office/officeart/2009/3/layout/HorizontalOrganizationChart"/>
    <dgm:cxn modelId="{2FFD5F67-3798-4EB4-B47F-23304E1C00CF}" type="presParOf" srcId="{AE67FEE0-8334-45CF-A5F3-A4BB22A1A3C6}" destId="{B84EC7CD-5203-48A6-8F8B-64E12F954374}" srcOrd="2" destOrd="0" presId="urn:microsoft.com/office/officeart/2009/3/layout/HorizontalOrganizationChart"/>
    <dgm:cxn modelId="{04B6E12D-6996-4667-A163-1B39D199FE31}" type="presParOf" srcId="{A4B552FD-9766-4584-8B00-967CDB56742D}" destId="{6272FA48-419C-4320-9F60-B5EFC69157B7}" srcOrd="2" destOrd="0" presId="urn:microsoft.com/office/officeart/2009/3/layout/HorizontalOrganizationChart"/>
    <dgm:cxn modelId="{308028A4-0096-4312-B002-AD33AD45D08D}" type="presParOf" srcId="{76AD6125-64C7-4383-80E4-B36F3ADF4399}" destId="{450D790E-3B76-41A2-90A1-5C4F3AF7870F}" srcOrd="2" destOrd="0" presId="urn:microsoft.com/office/officeart/2009/3/layout/HorizontalOrganizationChart"/>
    <dgm:cxn modelId="{BE342A45-7872-4D1D-B3BF-990EC33A4AD4}" type="presParOf" srcId="{76AD6125-64C7-4383-80E4-B36F3ADF4399}" destId="{C795CFA2-6425-4CCA-B36E-58EA0234C495}" srcOrd="3" destOrd="0" presId="urn:microsoft.com/office/officeart/2009/3/layout/HorizontalOrganizationChart"/>
    <dgm:cxn modelId="{06CF4D0B-8364-4817-88FE-EBAACBA4DAE5}" type="presParOf" srcId="{C795CFA2-6425-4CCA-B36E-58EA0234C495}" destId="{B05ADB36-1C95-4491-BAEF-FB3CDBA3B7B7}" srcOrd="0" destOrd="0" presId="urn:microsoft.com/office/officeart/2009/3/layout/HorizontalOrganizationChart"/>
    <dgm:cxn modelId="{E474ED93-1CD5-4929-B938-07BB17B36BF5}" type="presParOf" srcId="{B05ADB36-1C95-4491-BAEF-FB3CDBA3B7B7}" destId="{226B17C5-6474-4423-A47F-CFC1D1F36659}" srcOrd="0" destOrd="0" presId="urn:microsoft.com/office/officeart/2009/3/layout/HorizontalOrganizationChart"/>
    <dgm:cxn modelId="{04CF19CA-ECAC-4E1D-B558-03F157F29F30}" type="presParOf" srcId="{B05ADB36-1C95-4491-BAEF-FB3CDBA3B7B7}" destId="{3A4E0835-0A25-4346-88E1-078BC09B81ED}" srcOrd="1" destOrd="0" presId="urn:microsoft.com/office/officeart/2009/3/layout/HorizontalOrganizationChart"/>
    <dgm:cxn modelId="{76C4A202-BAF2-43B6-851F-993216428698}" type="presParOf" srcId="{C795CFA2-6425-4CCA-B36E-58EA0234C495}" destId="{DAC5C5F9-2127-4D3E-A36C-B5912BA9D8FD}" srcOrd="1" destOrd="0" presId="urn:microsoft.com/office/officeart/2009/3/layout/HorizontalOrganizationChart"/>
    <dgm:cxn modelId="{251800A5-4E3C-4631-B82F-11E69ACFE375}" type="presParOf" srcId="{C795CFA2-6425-4CCA-B36E-58EA0234C495}" destId="{989DB5EF-AA1E-4322-B8B8-210E322B606C}" srcOrd="2" destOrd="0" presId="urn:microsoft.com/office/officeart/2009/3/layout/HorizontalOrganizationChart"/>
    <dgm:cxn modelId="{A0D8D1F5-0694-4E0C-99A8-EB7548C89283}" type="presParOf" srcId="{D897F3CE-DA16-4D02-A05F-920C1C18CB7B}" destId="{0E2A78DB-55FE-4D30-9E34-687B4D6F7EF6}"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0D790E-3B76-41A2-90A1-5C4F3AF7870F}">
      <dsp:nvSpPr>
        <dsp:cNvPr id="0" name=""/>
        <dsp:cNvSpPr/>
      </dsp:nvSpPr>
      <dsp:spPr>
        <a:xfrm>
          <a:off x="1437868" y="639432"/>
          <a:ext cx="234703" cy="370170"/>
        </a:xfrm>
        <a:custGeom>
          <a:avLst/>
          <a:gdLst/>
          <a:ahLst/>
          <a:cxnLst/>
          <a:rect l="0" t="0" r="0" b="0"/>
          <a:pathLst>
            <a:path>
              <a:moveTo>
                <a:pt x="0" y="0"/>
              </a:moveTo>
              <a:lnTo>
                <a:pt x="83641" y="0"/>
              </a:lnTo>
              <a:lnTo>
                <a:pt x="83641" y="179828"/>
              </a:lnTo>
              <a:lnTo>
                <a:pt x="167282" y="179828"/>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36F580C4-5606-4E28-9AE2-74A5D43E1140}">
      <dsp:nvSpPr>
        <dsp:cNvPr id="0" name=""/>
        <dsp:cNvSpPr/>
      </dsp:nvSpPr>
      <dsp:spPr>
        <a:xfrm>
          <a:off x="2846088" y="341406"/>
          <a:ext cx="169432" cy="91440"/>
        </a:xfrm>
        <a:custGeom>
          <a:avLst/>
          <a:gdLst/>
          <a:ahLst/>
          <a:cxnLst/>
          <a:rect l="0" t="0" r="0" b="0"/>
          <a:pathLst>
            <a:path>
              <a:moveTo>
                <a:pt x="0" y="0"/>
              </a:moveTo>
              <a:lnTo>
                <a:pt x="83641" y="0"/>
              </a:lnTo>
              <a:lnTo>
                <a:pt x="83641" y="179828"/>
              </a:lnTo>
              <a:lnTo>
                <a:pt x="167282" y="179828"/>
              </a:lnTo>
            </a:path>
          </a:pathLst>
        </a:custGeom>
        <a:noFill/>
        <a:ln w="9525" cap="flat" cmpd="sng" algn="ctr">
          <a:solidFill>
            <a:srgbClr val="D44D2A">
              <a:shade val="8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EA282787-665B-4D4F-A264-A2E1DB5E187F}">
      <dsp:nvSpPr>
        <dsp:cNvPr id="0" name=""/>
        <dsp:cNvSpPr/>
      </dsp:nvSpPr>
      <dsp:spPr>
        <a:xfrm>
          <a:off x="1437868" y="387126"/>
          <a:ext cx="234703" cy="252306"/>
        </a:xfrm>
        <a:custGeom>
          <a:avLst/>
          <a:gdLst/>
          <a:ahLst/>
          <a:cxnLst/>
          <a:rect l="0" t="0" r="0" b="0"/>
          <a:pathLst>
            <a:path>
              <a:moveTo>
                <a:pt x="0" y="179828"/>
              </a:moveTo>
              <a:lnTo>
                <a:pt x="83641" y="179828"/>
              </a:lnTo>
              <a:lnTo>
                <a:pt x="83641" y="0"/>
              </a:lnTo>
              <a:lnTo>
                <a:pt x="167282" y="0"/>
              </a:lnTo>
            </a:path>
          </a:pathLst>
        </a:custGeom>
        <a:noFill/>
        <a:ln w="6350" cap="flat" cmpd="sng" algn="ctr">
          <a:solidFill>
            <a:srgbClr val="F6EE8B">
              <a:shade val="6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sp>
    <dsp:sp modelId="{BF2153CF-56C5-4B63-AF26-9490B15DFA4F}">
      <dsp:nvSpPr>
        <dsp:cNvPr id="0" name=""/>
        <dsp:cNvSpPr/>
      </dsp:nvSpPr>
      <dsp:spPr>
        <a:xfrm>
          <a:off x="264351" y="460470"/>
          <a:ext cx="1173516" cy="357922"/>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hueOff val="0"/>
                  <a:satOff val="0"/>
                  <a:lumOff val="0"/>
                  <a:alphaOff val="0"/>
                </a:sysClr>
              </a:solidFill>
              <a:latin typeface="Calibri" panose="020F0502020204030204"/>
              <a:ea typeface="+mn-ea"/>
              <a:cs typeface="+mn-cs"/>
            </a:rPr>
            <a:t>Investments</a:t>
          </a:r>
        </a:p>
      </dsp:txBody>
      <dsp:txXfrm>
        <a:off x="264351" y="460470"/>
        <a:ext cx="1173516" cy="357922"/>
      </dsp:txXfrm>
    </dsp:sp>
    <dsp:sp modelId="{BD3BAF88-97F0-46F4-AF7C-A396DD664F0D}">
      <dsp:nvSpPr>
        <dsp:cNvPr id="0" name=""/>
        <dsp:cNvSpPr/>
      </dsp:nvSpPr>
      <dsp:spPr>
        <a:xfrm>
          <a:off x="1672571" y="90300"/>
          <a:ext cx="1173516" cy="593650"/>
        </a:xfrm>
        <a:prstGeom prst="rect">
          <a:avLst/>
        </a:prstGeom>
        <a:solidFill>
          <a:srgbClr val="009900"/>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solidFill>
                <a:sysClr val="windowText" lastClr="000000"/>
              </a:solidFill>
              <a:latin typeface="Calibri" panose="020F0502020204030204"/>
              <a:ea typeface="+mn-ea"/>
              <a:cs typeface="+mn-cs"/>
            </a:rPr>
            <a:t> </a:t>
          </a:r>
          <a:r>
            <a:rPr lang="en-US" sz="900" kern="1200">
              <a:solidFill>
                <a:sysClr val="windowText" lastClr="000000"/>
              </a:solidFill>
              <a:latin typeface="Calibri" panose="020F0502020204030204"/>
              <a:ea typeface="+mn-ea"/>
              <a:cs typeface="+mn-cs"/>
            </a:rPr>
            <a:t>#1</a:t>
          </a:r>
          <a:r>
            <a:rPr lang="en-GB" sz="900" b="1" kern="1200">
              <a:solidFill>
                <a:sysClr val="windowText" lastClr="000000">
                  <a:hueOff val="0"/>
                  <a:satOff val="0"/>
                  <a:lumOff val="0"/>
                  <a:alphaOff val="0"/>
                </a:sysClr>
              </a:solidFill>
              <a:latin typeface="Calibri" panose="020F0502020204030204"/>
              <a:ea typeface="+mn-ea"/>
              <a:cs typeface="+mn-cs"/>
            </a:rPr>
            <a:t> </a:t>
          </a:r>
          <a:r>
            <a:rPr lang="en-GB" sz="900" b="0" kern="1200">
              <a:solidFill>
                <a:sysClr val="windowText" lastClr="000000">
                  <a:hueOff val="0"/>
                  <a:satOff val="0"/>
                  <a:lumOff val="0"/>
                  <a:alphaOff val="0"/>
                </a:sysClr>
              </a:solidFill>
              <a:latin typeface="Calibri" panose="020F0502020204030204"/>
              <a:ea typeface="+mn-ea"/>
              <a:cs typeface="+mn-cs"/>
            </a:rPr>
            <a:t>Aligned with E/S characteristics</a:t>
          </a:r>
        </a:p>
        <a:p>
          <a:pPr marL="0" lvl="0" indent="0" algn="ctr" defTabSz="444500">
            <a:lnSpc>
              <a:spcPct val="90000"/>
            </a:lnSpc>
            <a:spcBef>
              <a:spcPct val="0"/>
            </a:spcBef>
            <a:spcAft>
              <a:spcPct val="35000"/>
            </a:spcAft>
            <a:buNone/>
          </a:pPr>
          <a:r>
            <a:rPr lang="en-GB" sz="900" b="0" kern="1200">
              <a:solidFill>
                <a:sysClr val="windowText" lastClr="000000">
                  <a:hueOff val="0"/>
                  <a:satOff val="0"/>
                  <a:lumOff val="0"/>
                  <a:alphaOff val="0"/>
                </a:sysClr>
              </a:solidFill>
              <a:latin typeface="Calibri" panose="020F0502020204030204"/>
              <a:ea typeface="+mn-ea"/>
              <a:cs typeface="+mn-cs"/>
            </a:rPr>
            <a:t>80%</a:t>
          </a:r>
        </a:p>
      </dsp:txBody>
      <dsp:txXfrm>
        <a:off x="1672571" y="90300"/>
        <a:ext cx="1173516" cy="593650"/>
      </dsp:txXfrm>
    </dsp:sp>
    <dsp:sp modelId="{4CF28638-23C7-4EF0-A222-32B0A78A4C6D}">
      <dsp:nvSpPr>
        <dsp:cNvPr id="0" name=""/>
        <dsp:cNvSpPr/>
      </dsp:nvSpPr>
      <dsp:spPr>
        <a:xfrm>
          <a:off x="3015520" y="64081"/>
          <a:ext cx="1173516" cy="773939"/>
        </a:xfrm>
        <a:prstGeom prst="rect">
          <a:avLst/>
        </a:prstGeom>
        <a:solidFill>
          <a:schemeClr val="accent6">
            <a:lumMod val="40000"/>
            <a:lumOff val="6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#1B Other E/S characteristics</a:t>
          </a:r>
        </a:p>
        <a:p>
          <a:pPr marL="0" lvl="0" indent="0" algn="ctr" defTabSz="400050">
            <a:lnSpc>
              <a:spcPct val="90000"/>
            </a:lnSpc>
            <a:spcBef>
              <a:spcPct val="0"/>
            </a:spcBef>
            <a:spcAft>
              <a:spcPct val="35000"/>
            </a:spcAft>
            <a:buNone/>
          </a:pPr>
          <a:r>
            <a:rPr lang="en-US" sz="900" kern="1200">
              <a:solidFill>
                <a:srgbClr val="000000">
                  <a:hueOff val="0"/>
                  <a:satOff val="0"/>
                  <a:lumOff val="0"/>
                  <a:alphaOff val="0"/>
                </a:srgbClr>
              </a:solidFill>
              <a:latin typeface="Calibri"/>
              <a:ea typeface="+mn-ea"/>
              <a:cs typeface="+mn-cs"/>
            </a:rPr>
            <a:t>100%</a:t>
          </a:r>
        </a:p>
      </dsp:txBody>
      <dsp:txXfrm>
        <a:off x="3015520" y="64081"/>
        <a:ext cx="1173516" cy="773939"/>
      </dsp:txXfrm>
    </dsp:sp>
    <dsp:sp modelId="{226B17C5-6474-4423-A47F-CFC1D1F36659}">
      <dsp:nvSpPr>
        <dsp:cNvPr id="0" name=""/>
        <dsp:cNvSpPr/>
      </dsp:nvSpPr>
      <dsp:spPr>
        <a:xfrm>
          <a:off x="1672571" y="830641"/>
          <a:ext cx="1173516" cy="357922"/>
        </a:xfrm>
        <a:prstGeom prst="rect">
          <a:avLst/>
        </a:prstGeom>
        <a:solidFill>
          <a:sysClr val="window" lastClr="FFFFFF">
            <a:lumMod val="85000"/>
          </a:sys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 Other</a:t>
          </a:r>
        </a:p>
        <a:p>
          <a:pPr marL="0" lvl="0" indent="0" algn="ctr" defTabSz="400050">
            <a:lnSpc>
              <a:spcPct val="90000"/>
            </a:lnSpc>
            <a:spcBef>
              <a:spcPct val="0"/>
            </a:spcBef>
            <a:spcAft>
              <a:spcPct val="35000"/>
            </a:spcAft>
            <a:buNone/>
          </a:pPr>
          <a:r>
            <a:rPr lang="en-US" sz="900" kern="1200">
              <a:solidFill>
                <a:sysClr val="windowText" lastClr="000000"/>
              </a:solidFill>
              <a:latin typeface="Calibri" panose="020F0502020204030204"/>
              <a:ea typeface="+mn-ea"/>
              <a:cs typeface="+mn-cs"/>
            </a:rPr>
            <a:t>20%</a:t>
          </a:r>
        </a:p>
      </dsp:txBody>
      <dsp:txXfrm>
        <a:off x="1672571" y="830641"/>
        <a:ext cx="1173516" cy="357922"/>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38569E-145C-4FF7-A3C4-7207484505CF}">
  <ds:schemaRefs>
    <ds:schemaRef ds:uri="http://schemas.openxmlformats.org/officeDocument/2006/bibliography"/>
  </ds:schemaRefs>
</ds:datastoreItem>
</file>

<file path=docMetadata/LabelInfo.xml><?xml version="1.0" encoding="utf-8"?>
<clbl:labelList xmlns:clbl="http://schemas.microsoft.com/office/2020/mipLabelMetadata">
  <clbl:label id="{3affaf3a-87f3-4eb5-b073-6232a8c0186e}" enabled="1" method="Privileged" siteId="{b03dec2e-a78d-4e2d-8ef8-6293fb4a768a}"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3419</Words>
  <Characters>20075</Characters>
  <Application>Microsoft Office Word</Application>
  <DocSecurity>0</DocSecurity>
  <Lines>489</Lines>
  <Paragraphs>221</Paragraphs>
  <ScaleCrop>false</ScaleCrop>
  <HeadingPairs>
    <vt:vector size="2" baseType="variant">
      <vt:variant>
        <vt:lpstr>Title</vt:lpstr>
      </vt:variant>
      <vt:variant>
        <vt:i4>1</vt:i4>
      </vt:variant>
    </vt:vector>
  </HeadingPairs>
  <TitlesOfParts>
    <vt:vector size="1" baseType="lpstr">
      <vt:lpstr/>
    </vt:vector>
  </TitlesOfParts>
  <Company>Arendt &amp; Medernach</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Nevine Elsherif</dc:creator>
  <cp:lastModifiedBy>Elvira Gonzalez Garcia</cp:lastModifiedBy>
  <cp:revision>3</cp:revision>
  <dcterms:created xsi:type="dcterms:W3CDTF">2026-03-26T10:21:00Z</dcterms:created>
  <dcterms:modified xsi:type="dcterms:W3CDTF">2026-04-02T13:02:00Z</dcterms:modified>
</cp:coreProperties>
</file>