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5CBE" w14:textId="4668CA03" w:rsidR="009B1A5F" w:rsidRPr="00F012F1"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06FBCA8E" w14:textId="77777777" w:rsidR="009B1A5F" w:rsidRPr="00F012F1"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049661C9" w14:textId="77777777" w:rsidR="009B1A5F" w:rsidRPr="00F012F1"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18321857" w14:textId="77777777" w:rsidR="009B1A5F" w:rsidRPr="00F012F1"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54DC7D8C" w14:textId="77777777" w:rsidR="009B1A5F" w:rsidRPr="00F012F1"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29C949B0" w14:textId="77777777" w:rsidR="009B1A5F" w:rsidRPr="00F012F1"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324546E4" w14:textId="77777777" w:rsidR="00CB202F" w:rsidRPr="00052BAC" w:rsidRDefault="00CB202F" w:rsidP="00A52920">
      <w:pPr>
        <w:pStyle w:val="doc-ti"/>
        <w:shd w:val="clear" w:color="auto" w:fill="FFFFFF"/>
        <w:spacing w:before="0" w:beforeAutospacing="0" w:after="0" w:afterAutospacing="0" w:line="312" w:lineRule="atLeast"/>
        <w:ind w:left="-1417"/>
        <w:jc w:val="center"/>
        <w:rPr>
          <w:rFonts w:ascii="Arial" w:hAnsi="Arial" w:cs="Arial"/>
          <w:noProof/>
          <w:lang w:val="en-US"/>
        </w:rPr>
      </w:pPr>
    </w:p>
    <w:p w14:paraId="26BD5DC4" w14:textId="77777777" w:rsidR="00CB202F" w:rsidRPr="00052BAC" w:rsidRDefault="00CB202F" w:rsidP="00A52920">
      <w:pPr>
        <w:pStyle w:val="doc-ti"/>
        <w:shd w:val="clear" w:color="auto" w:fill="FFFFFF"/>
        <w:spacing w:before="0" w:beforeAutospacing="0" w:after="0" w:afterAutospacing="0" w:line="312" w:lineRule="atLeast"/>
        <w:ind w:left="-1417"/>
        <w:jc w:val="center"/>
        <w:rPr>
          <w:rFonts w:ascii="Arial" w:hAnsi="Arial" w:cs="Arial"/>
          <w:noProof/>
          <w:lang w:val="en-US"/>
        </w:rPr>
      </w:pPr>
    </w:p>
    <w:p w14:paraId="49C2DFE0" w14:textId="77777777" w:rsidR="00CB202F" w:rsidRPr="00052BAC" w:rsidRDefault="00CB202F" w:rsidP="00A52920">
      <w:pPr>
        <w:pStyle w:val="doc-ti"/>
        <w:shd w:val="clear" w:color="auto" w:fill="FFFFFF"/>
        <w:spacing w:before="0" w:beforeAutospacing="0" w:after="0" w:afterAutospacing="0" w:line="312" w:lineRule="atLeast"/>
        <w:ind w:left="-1417"/>
        <w:jc w:val="center"/>
        <w:rPr>
          <w:rFonts w:ascii="Arial" w:hAnsi="Arial" w:cs="Arial"/>
          <w:noProof/>
          <w:lang w:val="en-US"/>
        </w:rPr>
      </w:pPr>
    </w:p>
    <w:p w14:paraId="54136CA4" w14:textId="77777777" w:rsidR="00CB202F" w:rsidRPr="005A3BDE" w:rsidRDefault="00CB202F" w:rsidP="00A52920">
      <w:pPr>
        <w:pStyle w:val="doc-ti"/>
        <w:shd w:val="clear" w:color="auto" w:fill="FFFFFF"/>
        <w:spacing w:before="0" w:beforeAutospacing="0" w:after="0" w:afterAutospacing="0" w:line="312" w:lineRule="atLeast"/>
        <w:ind w:left="-1417"/>
        <w:jc w:val="center"/>
        <w:rPr>
          <w:rFonts w:ascii="Arial" w:eastAsia="Calibri" w:hAnsi="Arial" w:cs="Arial"/>
          <w:sz w:val="40"/>
          <w:szCs w:val="40"/>
          <w:lang w:val="en-GB"/>
        </w:rPr>
      </w:pPr>
      <w:r w:rsidRPr="005A3BDE">
        <w:rPr>
          <w:rFonts w:ascii="Arial" w:eastAsia="Calibri" w:hAnsi="Arial" w:cs="Arial"/>
          <w:sz w:val="40"/>
          <w:szCs w:val="40"/>
          <w:lang w:val="en-GB"/>
        </w:rPr>
        <w:t>Article 10 (SFDR)</w:t>
      </w:r>
    </w:p>
    <w:p w14:paraId="083BA85F" w14:textId="4FC0276C" w:rsidR="00CB202F" w:rsidRPr="005A3BDE" w:rsidRDefault="00CB202F" w:rsidP="00A52920">
      <w:pPr>
        <w:shd w:val="clear" w:color="auto" w:fill="17365D" w:themeFill="text2" w:themeFillShade="BF"/>
        <w:spacing w:after="0" w:line="240" w:lineRule="auto"/>
        <w:ind w:right="-141" w:hanging="1417"/>
        <w:jc w:val="center"/>
        <w:rPr>
          <w:rFonts w:ascii="Arial" w:eastAsia="Calibri" w:hAnsi="Arial" w:cs="Arial"/>
          <w:i/>
          <w:sz w:val="40"/>
          <w:szCs w:val="40"/>
          <w:lang w:val="en-GB"/>
        </w:rPr>
      </w:pPr>
      <w:r w:rsidRPr="005A3BDE">
        <w:rPr>
          <w:rFonts w:ascii="Arial" w:eastAsia="Calibri" w:hAnsi="Arial" w:cs="Arial"/>
          <w:sz w:val="40"/>
          <w:szCs w:val="40"/>
          <w:lang w:val="en-GB"/>
        </w:rPr>
        <w:t xml:space="preserve">Website disclosure for an article </w:t>
      </w:r>
      <w:r>
        <w:rPr>
          <w:rFonts w:ascii="Arial" w:eastAsia="Calibri" w:hAnsi="Arial" w:cs="Arial"/>
          <w:sz w:val="40"/>
          <w:szCs w:val="40"/>
          <w:lang w:val="en-GB"/>
        </w:rPr>
        <w:t>8</w:t>
      </w:r>
      <w:r w:rsidRPr="005A3BDE">
        <w:rPr>
          <w:rFonts w:ascii="Arial" w:eastAsia="Calibri" w:hAnsi="Arial" w:cs="Arial"/>
          <w:sz w:val="40"/>
          <w:szCs w:val="40"/>
          <w:lang w:val="en-GB"/>
        </w:rPr>
        <w:t xml:space="preserve"> fund</w:t>
      </w:r>
    </w:p>
    <w:p w14:paraId="73B7015A" w14:textId="77777777" w:rsidR="00CB202F" w:rsidRPr="005A3BDE" w:rsidRDefault="00CB202F" w:rsidP="00A52920">
      <w:pPr>
        <w:tabs>
          <w:tab w:val="left" w:pos="2268"/>
        </w:tabs>
        <w:spacing w:after="0"/>
        <w:ind w:hanging="1417"/>
        <w:jc w:val="center"/>
        <w:rPr>
          <w:rFonts w:ascii="Arial" w:hAnsi="Arial" w:cs="Arial"/>
          <w:b/>
          <w:sz w:val="40"/>
          <w:szCs w:val="40"/>
          <w:lang w:val="en-GB"/>
        </w:rPr>
      </w:pPr>
    </w:p>
    <w:p w14:paraId="4EBBC66A" w14:textId="09997A29" w:rsidR="00CB202F" w:rsidRPr="000D3B78" w:rsidRDefault="00B150E1" w:rsidP="00A52920">
      <w:pPr>
        <w:tabs>
          <w:tab w:val="left" w:pos="2268"/>
        </w:tabs>
        <w:spacing w:after="0"/>
        <w:ind w:hanging="1417"/>
        <w:jc w:val="center"/>
        <w:rPr>
          <w:rFonts w:ascii="Arial" w:hAnsi="Arial" w:cs="Arial"/>
          <w:b/>
          <w:sz w:val="40"/>
          <w:szCs w:val="40"/>
        </w:rPr>
      </w:pPr>
      <w:bookmarkStart w:id="0" w:name="_Hlk199855458"/>
      <w:r w:rsidRPr="000D3B78">
        <w:rPr>
          <w:rFonts w:ascii="Arial" w:hAnsi="Arial" w:cs="Arial"/>
          <w:b/>
          <w:sz w:val="40"/>
          <w:szCs w:val="40"/>
        </w:rPr>
        <w:t xml:space="preserve">CAPIVA PLUS FUND </w:t>
      </w:r>
      <w:proofErr w:type="spellStart"/>
      <w:r w:rsidRPr="000D3B78">
        <w:rPr>
          <w:rFonts w:ascii="Arial" w:hAnsi="Arial" w:cs="Arial"/>
          <w:b/>
          <w:sz w:val="40"/>
          <w:szCs w:val="40"/>
        </w:rPr>
        <w:t>SCS</w:t>
      </w:r>
      <w:r w:rsidR="00C0044C">
        <w:rPr>
          <w:rFonts w:ascii="Arial" w:hAnsi="Arial" w:cs="Arial"/>
          <w:b/>
          <w:sz w:val="40"/>
          <w:szCs w:val="40"/>
        </w:rPr>
        <w:t>p</w:t>
      </w:r>
      <w:proofErr w:type="spellEnd"/>
      <w:r w:rsidRPr="000D3B78">
        <w:rPr>
          <w:rFonts w:ascii="Arial" w:hAnsi="Arial" w:cs="Arial"/>
          <w:b/>
          <w:sz w:val="40"/>
          <w:szCs w:val="40"/>
        </w:rPr>
        <w:t xml:space="preserve"> RAIF</w:t>
      </w:r>
    </w:p>
    <w:bookmarkEnd w:id="0"/>
    <w:p w14:paraId="25196CDB" w14:textId="77777777" w:rsidR="00EE4F25" w:rsidRPr="000D3B78" w:rsidRDefault="00CB202F" w:rsidP="00EE4F25">
      <w:pPr>
        <w:jc w:val="both"/>
        <w:rPr>
          <w:rFonts w:ascii="Arial" w:hAnsi="Arial" w:cs="Arial"/>
          <w:sz w:val="28"/>
          <w:szCs w:val="28"/>
        </w:rPr>
      </w:pPr>
      <w:r w:rsidRPr="000D3B78">
        <w:rPr>
          <w:rFonts w:ascii="Arial" w:hAnsi="Arial" w:cs="Arial"/>
          <w:sz w:val="40"/>
          <w:szCs w:val="40"/>
        </w:rPr>
        <w:br w:type="page"/>
      </w:r>
    </w:p>
    <w:p w14:paraId="5B71C7ED" w14:textId="77777777" w:rsidR="00EE4F25" w:rsidRPr="000D3B78" w:rsidRDefault="00EE4F25" w:rsidP="00EE4F25">
      <w:pPr>
        <w:jc w:val="both"/>
        <w:rPr>
          <w:rFonts w:ascii="Arial" w:hAnsi="Arial" w:cs="Arial"/>
          <w:sz w:val="28"/>
          <w:szCs w:val="28"/>
        </w:rPr>
      </w:pPr>
      <w:r w:rsidRPr="000D3B78">
        <w:rPr>
          <w:rFonts w:ascii="Arial" w:hAnsi="Arial" w:cs="Arial"/>
          <w:sz w:val="28"/>
          <w:szCs w:val="28"/>
        </w:rPr>
        <w:lastRenderedPageBreak/>
        <w:t xml:space="preserve">Document </w:t>
      </w:r>
      <w:proofErr w:type="spellStart"/>
      <w:r w:rsidRPr="000D3B78">
        <w:rPr>
          <w:rFonts w:ascii="Arial" w:hAnsi="Arial" w:cs="Arial"/>
          <w:sz w:val="28"/>
          <w:szCs w:val="28"/>
        </w:rPr>
        <w:t>approval</w:t>
      </w:r>
      <w:proofErr w:type="spellEnd"/>
    </w:p>
    <w:p w14:paraId="370FBC0B" w14:textId="77777777" w:rsidR="00EE4F25" w:rsidRPr="000D3B78" w:rsidRDefault="00EE4F25" w:rsidP="00EE4F25">
      <w:pPr>
        <w:jc w:val="both"/>
        <w:rPr>
          <w:rFonts w:ascii="Arial" w:hAnsi="Arial" w:cs="Arial"/>
          <w:sz w:val="28"/>
          <w:szCs w:val="28"/>
        </w:rPr>
      </w:pPr>
    </w:p>
    <w:tbl>
      <w:tblPr>
        <w:tblStyle w:val="TableGrid"/>
        <w:tblW w:w="0" w:type="auto"/>
        <w:tblLook w:val="04A0" w:firstRow="1" w:lastRow="0" w:firstColumn="1" w:lastColumn="0" w:noHBand="0" w:noVBand="1"/>
      </w:tblPr>
      <w:tblGrid>
        <w:gridCol w:w="2265"/>
        <w:gridCol w:w="1240"/>
        <w:gridCol w:w="3291"/>
        <w:gridCol w:w="2266"/>
      </w:tblGrid>
      <w:tr w:rsidR="00EE4F25" w14:paraId="37E8407C" w14:textId="77777777" w:rsidTr="00DF4E7A">
        <w:tc>
          <w:tcPr>
            <w:tcW w:w="2265" w:type="dxa"/>
            <w:shd w:val="clear" w:color="auto" w:fill="8DB3E2" w:themeFill="text2" w:themeFillTint="66"/>
          </w:tcPr>
          <w:p w14:paraId="71ADCFE1" w14:textId="77777777" w:rsidR="00EE4F25" w:rsidRPr="009B29C8" w:rsidRDefault="00EE4F25" w:rsidP="00DF4E7A">
            <w:pPr>
              <w:jc w:val="both"/>
              <w:rPr>
                <w:rFonts w:ascii="Arial" w:hAnsi="Arial" w:cs="Arial"/>
                <w:sz w:val="20"/>
                <w:szCs w:val="20"/>
                <w:lang w:val="en-US"/>
              </w:rPr>
            </w:pPr>
            <w:r w:rsidRPr="009B29C8">
              <w:rPr>
                <w:rFonts w:ascii="Arial" w:hAnsi="Arial" w:cs="Arial"/>
                <w:sz w:val="20"/>
                <w:szCs w:val="20"/>
                <w:lang w:val="en-US"/>
              </w:rPr>
              <w:t>Version</w:t>
            </w:r>
          </w:p>
        </w:tc>
        <w:tc>
          <w:tcPr>
            <w:tcW w:w="1240" w:type="dxa"/>
            <w:shd w:val="clear" w:color="auto" w:fill="8DB3E2" w:themeFill="text2" w:themeFillTint="66"/>
          </w:tcPr>
          <w:p w14:paraId="340CDB6E" w14:textId="77777777" w:rsidR="00EE4F25" w:rsidRPr="009B29C8" w:rsidRDefault="00EE4F25" w:rsidP="00DF4E7A">
            <w:pPr>
              <w:jc w:val="both"/>
              <w:rPr>
                <w:rFonts w:ascii="Arial" w:hAnsi="Arial" w:cs="Arial"/>
                <w:sz w:val="20"/>
                <w:szCs w:val="20"/>
                <w:lang w:val="en-US"/>
              </w:rPr>
            </w:pPr>
            <w:r w:rsidRPr="009B29C8">
              <w:rPr>
                <w:rFonts w:ascii="Arial" w:hAnsi="Arial" w:cs="Arial"/>
                <w:sz w:val="20"/>
                <w:szCs w:val="20"/>
                <w:lang w:val="en-US"/>
              </w:rPr>
              <w:t>Date</w:t>
            </w:r>
          </w:p>
        </w:tc>
        <w:tc>
          <w:tcPr>
            <w:tcW w:w="3291" w:type="dxa"/>
            <w:shd w:val="clear" w:color="auto" w:fill="8DB3E2" w:themeFill="text2" w:themeFillTint="66"/>
          </w:tcPr>
          <w:p w14:paraId="6C4AEBFE" w14:textId="77777777" w:rsidR="00EE4F25" w:rsidRPr="009B29C8" w:rsidRDefault="00EE4F25" w:rsidP="00DF4E7A">
            <w:pPr>
              <w:jc w:val="both"/>
              <w:rPr>
                <w:rFonts w:ascii="Arial" w:hAnsi="Arial" w:cs="Arial"/>
                <w:sz w:val="20"/>
                <w:szCs w:val="20"/>
                <w:lang w:val="en-US"/>
              </w:rPr>
            </w:pPr>
            <w:r w:rsidRPr="009B29C8">
              <w:rPr>
                <w:rFonts w:ascii="Arial" w:hAnsi="Arial" w:cs="Arial"/>
                <w:sz w:val="20"/>
                <w:szCs w:val="20"/>
                <w:lang w:val="en-US"/>
              </w:rPr>
              <w:t xml:space="preserve">Brief Summary </w:t>
            </w:r>
          </w:p>
        </w:tc>
        <w:tc>
          <w:tcPr>
            <w:tcW w:w="2266" w:type="dxa"/>
            <w:shd w:val="clear" w:color="auto" w:fill="8DB3E2" w:themeFill="text2" w:themeFillTint="66"/>
          </w:tcPr>
          <w:p w14:paraId="114C51BB" w14:textId="77777777" w:rsidR="00EE4F25" w:rsidRPr="009B29C8" w:rsidRDefault="00EE4F25" w:rsidP="00DF4E7A">
            <w:pPr>
              <w:jc w:val="both"/>
              <w:rPr>
                <w:rFonts w:ascii="Arial" w:hAnsi="Arial" w:cs="Arial"/>
                <w:sz w:val="20"/>
                <w:szCs w:val="20"/>
                <w:lang w:val="en-US"/>
              </w:rPr>
            </w:pPr>
            <w:r w:rsidRPr="009B29C8">
              <w:rPr>
                <w:rFonts w:ascii="Arial" w:hAnsi="Arial" w:cs="Arial"/>
                <w:sz w:val="20"/>
                <w:szCs w:val="20"/>
                <w:lang w:val="en-US"/>
              </w:rPr>
              <w:t>Approved by</w:t>
            </w:r>
          </w:p>
        </w:tc>
      </w:tr>
      <w:tr w:rsidR="00EE4F25" w:rsidRPr="002748BF" w14:paraId="22A4CC43" w14:textId="77777777" w:rsidTr="00DF4E7A">
        <w:tc>
          <w:tcPr>
            <w:tcW w:w="2265" w:type="dxa"/>
          </w:tcPr>
          <w:p w14:paraId="63FEAECF" w14:textId="77777777" w:rsidR="00EE4F25" w:rsidRPr="009B29C8" w:rsidRDefault="00EE4F25" w:rsidP="00DF4E7A">
            <w:pPr>
              <w:jc w:val="both"/>
              <w:rPr>
                <w:rFonts w:ascii="Arial" w:hAnsi="Arial" w:cs="Arial"/>
                <w:sz w:val="20"/>
                <w:szCs w:val="20"/>
                <w:lang w:val="en-US"/>
              </w:rPr>
            </w:pPr>
            <w:r>
              <w:rPr>
                <w:rFonts w:ascii="Arial" w:hAnsi="Arial" w:cs="Arial"/>
                <w:sz w:val="20"/>
                <w:szCs w:val="20"/>
                <w:lang w:val="en-US"/>
              </w:rPr>
              <w:t>1.0</w:t>
            </w:r>
          </w:p>
        </w:tc>
        <w:tc>
          <w:tcPr>
            <w:tcW w:w="1240" w:type="dxa"/>
          </w:tcPr>
          <w:p w14:paraId="3C852C44" w14:textId="5438FE69" w:rsidR="00EE4F25" w:rsidRPr="009B29C8" w:rsidRDefault="00EE4F25" w:rsidP="00DF4E7A">
            <w:pPr>
              <w:jc w:val="both"/>
              <w:rPr>
                <w:rFonts w:ascii="Arial" w:hAnsi="Arial" w:cs="Arial"/>
                <w:sz w:val="20"/>
                <w:szCs w:val="20"/>
                <w:lang w:val="en-US"/>
              </w:rPr>
            </w:pPr>
            <w:proofErr w:type="spellStart"/>
            <w:r>
              <w:rPr>
                <w:rFonts w:ascii="Arial" w:hAnsi="Arial" w:cs="Arial"/>
                <w:sz w:val="20"/>
                <w:szCs w:val="20"/>
                <w:lang w:val="en-US"/>
              </w:rPr>
              <w:t>Janurary</w:t>
            </w:r>
            <w:proofErr w:type="spellEnd"/>
            <w:r>
              <w:rPr>
                <w:rFonts w:ascii="Arial" w:hAnsi="Arial" w:cs="Arial"/>
                <w:sz w:val="20"/>
                <w:szCs w:val="20"/>
                <w:lang w:val="en-US"/>
              </w:rPr>
              <w:t xml:space="preserve"> 2024</w:t>
            </w:r>
          </w:p>
        </w:tc>
        <w:tc>
          <w:tcPr>
            <w:tcW w:w="3291" w:type="dxa"/>
          </w:tcPr>
          <w:p w14:paraId="5C000A36" w14:textId="77777777" w:rsidR="00EE4F25" w:rsidRPr="009B29C8" w:rsidRDefault="00EE4F25" w:rsidP="00DF4E7A">
            <w:pPr>
              <w:jc w:val="both"/>
              <w:rPr>
                <w:rFonts w:ascii="Arial" w:hAnsi="Arial" w:cs="Arial"/>
                <w:sz w:val="20"/>
                <w:szCs w:val="20"/>
                <w:lang w:val="en-US"/>
              </w:rPr>
            </w:pPr>
            <w:r>
              <w:rPr>
                <w:rFonts w:ascii="Arial" w:hAnsi="Arial" w:cs="Arial"/>
                <w:sz w:val="20"/>
                <w:szCs w:val="20"/>
                <w:lang w:val="en-US"/>
              </w:rPr>
              <w:t>First version</w:t>
            </w:r>
          </w:p>
        </w:tc>
        <w:tc>
          <w:tcPr>
            <w:tcW w:w="2266" w:type="dxa"/>
          </w:tcPr>
          <w:p w14:paraId="31764E40" w14:textId="397232B1" w:rsidR="00EE4F25" w:rsidRPr="002748BF" w:rsidRDefault="00EE4F25" w:rsidP="00DF4E7A">
            <w:pPr>
              <w:jc w:val="both"/>
              <w:rPr>
                <w:rFonts w:ascii="Arial" w:hAnsi="Arial" w:cs="Arial"/>
                <w:sz w:val="20"/>
                <w:szCs w:val="20"/>
                <w:lang w:val="fr-BE"/>
              </w:rPr>
            </w:pPr>
            <w:r>
              <w:rPr>
                <w:rFonts w:ascii="Arial" w:hAnsi="Arial" w:cs="Arial"/>
                <w:sz w:val="20"/>
                <w:szCs w:val="20"/>
                <w:lang w:val="fr-BE"/>
              </w:rPr>
              <w:t>BIL Manage Invest</w:t>
            </w:r>
          </w:p>
        </w:tc>
      </w:tr>
      <w:tr w:rsidR="00EE4F25" w:rsidRPr="00EE4F25" w14:paraId="1E4F31D8" w14:textId="77777777" w:rsidTr="00DF4E7A">
        <w:tc>
          <w:tcPr>
            <w:tcW w:w="2265" w:type="dxa"/>
          </w:tcPr>
          <w:p w14:paraId="273CE61B" w14:textId="19856F9B" w:rsidR="00EE4F25" w:rsidRPr="002748BF" w:rsidRDefault="00EE4F25" w:rsidP="00DF4E7A">
            <w:pPr>
              <w:jc w:val="both"/>
              <w:rPr>
                <w:rFonts w:ascii="Arial" w:hAnsi="Arial" w:cs="Arial"/>
                <w:sz w:val="20"/>
                <w:szCs w:val="20"/>
                <w:lang w:val="fr-BE"/>
              </w:rPr>
            </w:pPr>
            <w:r>
              <w:rPr>
                <w:rFonts w:ascii="Arial" w:hAnsi="Arial" w:cs="Arial"/>
                <w:sz w:val="20"/>
                <w:szCs w:val="20"/>
                <w:lang w:val="fr-BE"/>
              </w:rPr>
              <w:t>1.2</w:t>
            </w:r>
          </w:p>
        </w:tc>
        <w:tc>
          <w:tcPr>
            <w:tcW w:w="1240" w:type="dxa"/>
          </w:tcPr>
          <w:p w14:paraId="66546363" w14:textId="2AD02662" w:rsidR="00EE4F25" w:rsidRPr="002748BF" w:rsidRDefault="00EE4F25" w:rsidP="00DF4E7A">
            <w:pPr>
              <w:jc w:val="both"/>
              <w:rPr>
                <w:rFonts w:ascii="Arial" w:hAnsi="Arial" w:cs="Arial"/>
                <w:sz w:val="20"/>
                <w:szCs w:val="20"/>
                <w:lang w:val="fr-BE"/>
              </w:rPr>
            </w:pPr>
            <w:proofErr w:type="spellStart"/>
            <w:r>
              <w:rPr>
                <w:rFonts w:ascii="Arial" w:hAnsi="Arial" w:cs="Arial"/>
                <w:sz w:val="20"/>
                <w:szCs w:val="20"/>
                <w:lang w:val="fr-BE"/>
              </w:rPr>
              <w:t>February</w:t>
            </w:r>
            <w:proofErr w:type="spellEnd"/>
            <w:r>
              <w:rPr>
                <w:rFonts w:ascii="Arial" w:hAnsi="Arial" w:cs="Arial"/>
                <w:sz w:val="20"/>
                <w:szCs w:val="20"/>
                <w:lang w:val="fr-BE"/>
              </w:rPr>
              <w:t xml:space="preserve"> 2025</w:t>
            </w:r>
          </w:p>
        </w:tc>
        <w:tc>
          <w:tcPr>
            <w:tcW w:w="3291" w:type="dxa"/>
          </w:tcPr>
          <w:p w14:paraId="4E75B50A" w14:textId="31B0A3BC" w:rsidR="00EE4F25" w:rsidRPr="00EE4F25" w:rsidRDefault="00EE4F25" w:rsidP="00DF4E7A">
            <w:pPr>
              <w:jc w:val="both"/>
              <w:rPr>
                <w:rFonts w:ascii="Arial" w:hAnsi="Arial" w:cs="Arial"/>
                <w:sz w:val="20"/>
                <w:szCs w:val="20"/>
                <w:lang w:val="en-GB"/>
              </w:rPr>
            </w:pPr>
            <w:r w:rsidRPr="00EE4F25">
              <w:rPr>
                <w:rFonts w:ascii="Arial" w:hAnsi="Arial" w:cs="Arial"/>
                <w:sz w:val="20"/>
                <w:szCs w:val="20"/>
                <w:lang w:val="en-GB"/>
              </w:rPr>
              <w:t>Amendment to better reflect f</w:t>
            </w:r>
            <w:r>
              <w:rPr>
                <w:rFonts w:ascii="Arial" w:hAnsi="Arial" w:cs="Arial"/>
                <w:sz w:val="20"/>
                <w:szCs w:val="20"/>
                <w:lang w:val="en-GB"/>
              </w:rPr>
              <w:t>und’s strategy</w:t>
            </w:r>
          </w:p>
        </w:tc>
        <w:tc>
          <w:tcPr>
            <w:tcW w:w="2266" w:type="dxa"/>
          </w:tcPr>
          <w:p w14:paraId="422F57E2" w14:textId="77777777" w:rsidR="00EE4F25" w:rsidRPr="002748BF" w:rsidRDefault="00EE4F25" w:rsidP="00EE4F25">
            <w:pPr>
              <w:jc w:val="both"/>
              <w:rPr>
                <w:rFonts w:ascii="Arial" w:hAnsi="Arial" w:cs="Arial"/>
                <w:sz w:val="20"/>
                <w:szCs w:val="20"/>
                <w:lang w:val="fr-BE"/>
              </w:rPr>
            </w:pPr>
            <w:r w:rsidRPr="002748BF">
              <w:rPr>
                <w:rFonts w:ascii="Arial" w:hAnsi="Arial" w:cs="Arial"/>
                <w:sz w:val="20"/>
                <w:szCs w:val="20"/>
                <w:lang w:val="fr-BE"/>
              </w:rPr>
              <w:t xml:space="preserve">IQ EQ Fund </w:t>
            </w:r>
          </w:p>
          <w:p w14:paraId="2D4B50C5" w14:textId="77777777" w:rsidR="00EE4F25" w:rsidRPr="002748BF" w:rsidRDefault="00EE4F25" w:rsidP="00EE4F25">
            <w:pPr>
              <w:jc w:val="both"/>
              <w:rPr>
                <w:rFonts w:ascii="Arial" w:hAnsi="Arial" w:cs="Arial"/>
                <w:sz w:val="20"/>
                <w:szCs w:val="20"/>
                <w:lang w:val="fr-BE"/>
              </w:rPr>
            </w:pPr>
            <w:r w:rsidRPr="002748BF">
              <w:rPr>
                <w:rFonts w:ascii="Arial" w:hAnsi="Arial" w:cs="Arial"/>
                <w:sz w:val="20"/>
                <w:szCs w:val="20"/>
                <w:lang w:val="fr-BE"/>
              </w:rPr>
              <w:t xml:space="preserve">Management </w:t>
            </w:r>
          </w:p>
          <w:p w14:paraId="14AF25F0" w14:textId="3D665CF9" w:rsidR="00EE4F25" w:rsidRPr="00EE4F25" w:rsidRDefault="00EE4F25" w:rsidP="00EE4F25">
            <w:pPr>
              <w:jc w:val="both"/>
              <w:rPr>
                <w:rFonts w:ascii="Arial" w:hAnsi="Arial" w:cs="Arial"/>
                <w:sz w:val="20"/>
                <w:szCs w:val="20"/>
              </w:rPr>
            </w:pPr>
            <w:r w:rsidRPr="002748BF">
              <w:rPr>
                <w:rFonts w:ascii="Arial" w:hAnsi="Arial" w:cs="Arial"/>
                <w:sz w:val="20"/>
                <w:szCs w:val="20"/>
                <w:lang w:val="fr-BE"/>
              </w:rPr>
              <w:t xml:space="preserve">(Luxembourg) </w:t>
            </w:r>
            <w:proofErr w:type="gramStart"/>
            <w:r w:rsidRPr="002748BF">
              <w:rPr>
                <w:rFonts w:ascii="Arial" w:hAnsi="Arial" w:cs="Arial"/>
                <w:sz w:val="20"/>
                <w:szCs w:val="20"/>
                <w:lang w:val="fr-BE"/>
              </w:rPr>
              <w:t>S.A</w:t>
            </w:r>
            <w:proofErr w:type="gramEnd"/>
          </w:p>
        </w:tc>
      </w:tr>
    </w:tbl>
    <w:p w14:paraId="110ED5C8" w14:textId="77777777" w:rsidR="00EE4F25" w:rsidRPr="00EE4F25" w:rsidRDefault="00EE4F25" w:rsidP="00EE4F25">
      <w:pPr>
        <w:jc w:val="both"/>
        <w:rPr>
          <w:rFonts w:ascii="Arial" w:hAnsi="Arial" w:cs="Arial"/>
          <w:sz w:val="40"/>
          <w:szCs w:val="40"/>
        </w:rPr>
      </w:pPr>
    </w:p>
    <w:p w14:paraId="012C22DE" w14:textId="77777777" w:rsidR="00EE4F25" w:rsidRPr="00EE4F25" w:rsidRDefault="00EE4F25" w:rsidP="00EE4F25">
      <w:pPr>
        <w:jc w:val="both"/>
        <w:rPr>
          <w:rFonts w:ascii="Arial" w:hAnsi="Arial" w:cs="Arial"/>
          <w:sz w:val="40"/>
          <w:szCs w:val="40"/>
        </w:rPr>
      </w:pPr>
    </w:p>
    <w:p w14:paraId="08157131" w14:textId="39A42564" w:rsidR="00CB202F" w:rsidRPr="00EE4F25" w:rsidRDefault="00EE4F25" w:rsidP="00CB202F">
      <w:pPr>
        <w:rPr>
          <w:rFonts w:ascii="Arial" w:hAnsi="Arial" w:cs="Arial"/>
          <w:sz w:val="40"/>
          <w:szCs w:val="40"/>
        </w:rPr>
      </w:pPr>
      <w:r w:rsidRPr="00EE4F25">
        <w:rPr>
          <w:rFonts w:ascii="Arial" w:hAnsi="Arial" w:cs="Arial"/>
          <w:sz w:val="40"/>
          <w:szCs w:val="40"/>
        </w:rPr>
        <w:br w:type="page"/>
      </w:r>
    </w:p>
    <w:tbl>
      <w:tblPr>
        <w:tblStyle w:val="TableGrid"/>
        <w:tblW w:w="10916" w:type="dxa"/>
        <w:tblInd w:w="-856" w:type="dxa"/>
        <w:tblLook w:val="04A0" w:firstRow="1" w:lastRow="0" w:firstColumn="1" w:lastColumn="0" w:noHBand="0" w:noVBand="1"/>
      </w:tblPr>
      <w:tblGrid>
        <w:gridCol w:w="562"/>
        <w:gridCol w:w="10354"/>
      </w:tblGrid>
      <w:tr w:rsidR="00CF6EC8" w:rsidRPr="00F012F1" w14:paraId="7CD9EBD6" w14:textId="77777777" w:rsidTr="0065264E">
        <w:tc>
          <w:tcPr>
            <w:tcW w:w="562" w:type="dxa"/>
          </w:tcPr>
          <w:p w14:paraId="3155A895" w14:textId="35B426CD" w:rsidR="00CF6EC8" w:rsidRPr="00F012F1" w:rsidRDefault="00CF6EC8" w:rsidP="0065264E">
            <w:pPr>
              <w:rPr>
                <w:rFonts w:ascii="Arial" w:hAnsi="Arial" w:cs="Arial"/>
                <w:sz w:val="24"/>
                <w:szCs w:val="24"/>
                <w:lang w:val="en-US"/>
              </w:rPr>
            </w:pPr>
            <w:r w:rsidRPr="00F012F1">
              <w:rPr>
                <w:rFonts w:ascii="Arial" w:hAnsi="Arial" w:cs="Arial"/>
                <w:sz w:val="24"/>
                <w:szCs w:val="24"/>
                <w:lang w:val="en-US"/>
              </w:rPr>
              <w:lastRenderedPageBreak/>
              <w:t>A</w:t>
            </w:r>
          </w:p>
        </w:tc>
        <w:tc>
          <w:tcPr>
            <w:tcW w:w="10354" w:type="dxa"/>
          </w:tcPr>
          <w:p w14:paraId="3E311AB2" w14:textId="000E79E5" w:rsidR="00CF6EC8" w:rsidRPr="00F012F1" w:rsidRDefault="00CF6EC8" w:rsidP="0065264E">
            <w:pPr>
              <w:rPr>
                <w:rFonts w:ascii="Arial" w:hAnsi="Arial" w:cs="Arial"/>
                <w:sz w:val="24"/>
                <w:szCs w:val="24"/>
                <w:u w:val="single"/>
                <w:lang w:val="en-US"/>
              </w:rPr>
            </w:pPr>
            <w:r w:rsidRPr="00F012F1">
              <w:rPr>
                <w:rFonts w:ascii="Arial" w:hAnsi="Arial" w:cs="Arial"/>
                <w:sz w:val="24"/>
                <w:szCs w:val="24"/>
                <w:u w:val="single"/>
                <w:lang w:val="en-US"/>
              </w:rPr>
              <w:t>SUMMARY</w:t>
            </w:r>
          </w:p>
        </w:tc>
      </w:tr>
      <w:tr w:rsidR="00F012F1" w:rsidRPr="000D3B78" w14:paraId="3ED3D558" w14:textId="77777777" w:rsidTr="0065264E">
        <w:tc>
          <w:tcPr>
            <w:tcW w:w="562" w:type="dxa"/>
          </w:tcPr>
          <w:p w14:paraId="67519996" w14:textId="77777777" w:rsidR="00CF6EC8" w:rsidRPr="00F012F1" w:rsidRDefault="00CF6EC8" w:rsidP="0065264E">
            <w:pPr>
              <w:rPr>
                <w:rFonts w:ascii="Arial" w:hAnsi="Arial" w:cs="Arial"/>
                <w:sz w:val="24"/>
                <w:szCs w:val="24"/>
                <w:lang w:val="en-US"/>
              </w:rPr>
            </w:pPr>
          </w:p>
        </w:tc>
        <w:tc>
          <w:tcPr>
            <w:tcW w:w="10354" w:type="dxa"/>
          </w:tcPr>
          <w:p w14:paraId="50B9BE4C" w14:textId="511798B1" w:rsidR="00CF6EC8" w:rsidRPr="00F012F1" w:rsidRDefault="00CF6EC8" w:rsidP="0065264E">
            <w:pPr>
              <w:rPr>
                <w:rFonts w:ascii="Arial" w:hAnsi="Arial" w:cs="Arial"/>
                <w:sz w:val="24"/>
                <w:szCs w:val="24"/>
                <w:lang w:val="en-US"/>
              </w:rPr>
            </w:pPr>
          </w:p>
          <w:p w14:paraId="66B0137C" w14:textId="5FE9E4EE" w:rsidR="00F30ECC" w:rsidRDefault="00B150E1" w:rsidP="00F30ECC">
            <w:pPr>
              <w:jc w:val="both"/>
              <w:rPr>
                <w:rFonts w:ascii="Arial" w:hAnsi="Arial" w:cs="Arial"/>
                <w:sz w:val="24"/>
                <w:szCs w:val="24"/>
                <w:lang w:val="en-US"/>
              </w:rPr>
            </w:pPr>
            <w:proofErr w:type="spellStart"/>
            <w:r>
              <w:rPr>
                <w:rFonts w:ascii="Arial" w:hAnsi="Arial" w:cs="Arial"/>
                <w:sz w:val="24"/>
                <w:szCs w:val="24"/>
                <w:lang w:val="en-US"/>
              </w:rPr>
              <w:t>Capiva</w:t>
            </w:r>
            <w:proofErr w:type="spellEnd"/>
            <w:r>
              <w:rPr>
                <w:rFonts w:ascii="Arial" w:hAnsi="Arial" w:cs="Arial"/>
                <w:sz w:val="24"/>
                <w:szCs w:val="24"/>
                <w:lang w:val="en-US"/>
              </w:rPr>
              <w:t xml:space="preserve"> Plus Fund </w:t>
            </w:r>
            <w:proofErr w:type="spellStart"/>
            <w:r>
              <w:rPr>
                <w:rFonts w:ascii="Arial" w:hAnsi="Arial" w:cs="Arial"/>
                <w:sz w:val="24"/>
                <w:szCs w:val="24"/>
                <w:lang w:val="en-US"/>
              </w:rPr>
              <w:t>SCSp</w:t>
            </w:r>
            <w:proofErr w:type="spellEnd"/>
            <w:r w:rsidR="00F30ECC" w:rsidRPr="00F30ECC">
              <w:rPr>
                <w:rFonts w:ascii="Arial" w:hAnsi="Arial" w:cs="Arial"/>
                <w:sz w:val="24"/>
                <w:szCs w:val="24"/>
                <w:lang w:val="en-US"/>
              </w:rPr>
              <w:t xml:space="preserve"> promotes environmental and social characteristics by integrating ESG considerations into its investment strategy. </w:t>
            </w:r>
            <w:r w:rsidR="0065111B">
              <w:rPr>
                <w:rFonts w:ascii="Arial" w:hAnsi="Arial" w:cs="Arial"/>
                <w:sz w:val="24"/>
                <w:szCs w:val="24"/>
                <w:lang w:val="en-US"/>
              </w:rPr>
              <w:t xml:space="preserve">The Fund promotes environmental and social characteristics but does not make sustainable investments. </w:t>
            </w:r>
            <w:r w:rsidR="00F30ECC" w:rsidRPr="00F30ECC">
              <w:rPr>
                <w:rFonts w:ascii="Arial" w:hAnsi="Arial" w:cs="Arial"/>
                <w:sz w:val="24"/>
                <w:szCs w:val="24"/>
                <w:lang w:val="en-US"/>
              </w:rPr>
              <w:t xml:space="preserve">It applies negative screening to exclude activities that significantly harm sustainability objectives and </w:t>
            </w:r>
            <w:r w:rsidR="0065111B">
              <w:rPr>
                <w:rFonts w:ascii="Arial" w:hAnsi="Arial" w:cs="Arial"/>
                <w:sz w:val="24"/>
                <w:szCs w:val="24"/>
                <w:lang w:val="en-US"/>
              </w:rPr>
              <w:t>follows a value-weighted ESG integration approach across Real Estate, Private Equity and Private Debt, ensuring adherence to ESG criteria</w:t>
            </w:r>
            <w:r w:rsidR="009C1CC3">
              <w:rPr>
                <w:rFonts w:ascii="Arial" w:hAnsi="Arial" w:cs="Arial"/>
                <w:sz w:val="24"/>
                <w:szCs w:val="24"/>
                <w:lang w:val="en-US"/>
              </w:rPr>
              <w:t xml:space="preserve"> through targeted strategies that aim to deliver measurable environmental and social outcomes.</w:t>
            </w:r>
          </w:p>
          <w:p w14:paraId="5E53F01B" w14:textId="77777777" w:rsidR="0065111B" w:rsidRDefault="0065111B" w:rsidP="00F30ECC">
            <w:pPr>
              <w:jc w:val="both"/>
              <w:rPr>
                <w:rFonts w:ascii="Arial" w:hAnsi="Arial" w:cs="Arial"/>
                <w:sz w:val="24"/>
                <w:szCs w:val="24"/>
                <w:lang w:val="en-US"/>
              </w:rPr>
            </w:pPr>
          </w:p>
          <w:p w14:paraId="0FEBD87D" w14:textId="5EFDF090" w:rsidR="009C1CC3" w:rsidRDefault="0065111B" w:rsidP="00F30ECC">
            <w:pPr>
              <w:jc w:val="both"/>
              <w:rPr>
                <w:rFonts w:ascii="Arial" w:hAnsi="Arial" w:cs="Arial"/>
                <w:sz w:val="24"/>
                <w:szCs w:val="24"/>
                <w:lang w:val="en-US"/>
              </w:rPr>
            </w:pPr>
            <w:r>
              <w:rPr>
                <w:rFonts w:ascii="Arial" w:hAnsi="Arial" w:cs="Arial"/>
                <w:sz w:val="24"/>
                <w:szCs w:val="24"/>
                <w:lang w:val="en-US"/>
              </w:rPr>
              <w:t>The Fund monitors its environmental and social characteristics through sustainability indicators, regular reporting and engagement with portfolio companies. At least 85% of the Fund’s investments will be aligned with E/S characteristics</w:t>
            </w:r>
            <w:r w:rsidR="009C1CC3">
              <w:rPr>
                <w:rFonts w:ascii="Arial" w:hAnsi="Arial" w:cs="Arial"/>
                <w:sz w:val="24"/>
                <w:szCs w:val="24"/>
                <w:lang w:val="en-US"/>
              </w:rPr>
              <w:t xml:space="preserve"> and will adhere to certain environmental and social criteria, even though the Fund will not make any sustainable investments under SFDR definitions, the Fund will prioritize in this portion investments which have a positive contribution to environmental and social outcomes</w:t>
            </w:r>
            <w:r>
              <w:rPr>
                <w:rFonts w:ascii="Arial" w:hAnsi="Arial" w:cs="Arial"/>
                <w:sz w:val="24"/>
                <w:szCs w:val="24"/>
                <w:lang w:val="en-US"/>
              </w:rPr>
              <w:t xml:space="preserve">. </w:t>
            </w:r>
            <w:r w:rsidR="009C1CC3">
              <w:rPr>
                <w:rFonts w:ascii="Arial" w:hAnsi="Arial" w:cs="Arial"/>
                <w:sz w:val="24"/>
                <w:szCs w:val="24"/>
                <w:lang w:val="en-US"/>
              </w:rPr>
              <w:t xml:space="preserve">The remaining 15% of the Fund’s assets will be allocated to cash instruments and equivalents and investments which do not fully meet the Fund’s criteria or where there is not a possibility to collect relevant or significant data. </w:t>
            </w:r>
          </w:p>
          <w:p w14:paraId="6991E19B" w14:textId="77777777" w:rsidR="009C1CC3" w:rsidRDefault="009C1CC3" w:rsidP="00F30ECC">
            <w:pPr>
              <w:jc w:val="both"/>
              <w:rPr>
                <w:rFonts w:ascii="Arial" w:hAnsi="Arial" w:cs="Arial"/>
                <w:sz w:val="24"/>
                <w:szCs w:val="24"/>
                <w:lang w:val="en-US"/>
              </w:rPr>
            </w:pPr>
          </w:p>
          <w:p w14:paraId="0D7A8F28" w14:textId="65DCFAE4" w:rsidR="0065111B" w:rsidRDefault="0065111B" w:rsidP="00F30ECC">
            <w:pPr>
              <w:jc w:val="both"/>
              <w:rPr>
                <w:rFonts w:ascii="Arial" w:hAnsi="Arial" w:cs="Arial"/>
                <w:sz w:val="24"/>
                <w:szCs w:val="24"/>
                <w:lang w:val="en-US"/>
              </w:rPr>
            </w:pPr>
            <w:r>
              <w:rPr>
                <w:rFonts w:ascii="Arial" w:hAnsi="Arial" w:cs="Arial"/>
                <w:sz w:val="24"/>
                <w:szCs w:val="24"/>
                <w:lang w:val="en-US"/>
              </w:rPr>
              <w:t>The Fund has not designated a reference benchmark or index.</w:t>
            </w:r>
          </w:p>
          <w:p w14:paraId="2F753D73" w14:textId="77777777" w:rsidR="0065111B" w:rsidRDefault="0065111B" w:rsidP="00F30ECC">
            <w:pPr>
              <w:jc w:val="both"/>
              <w:rPr>
                <w:rFonts w:ascii="Arial" w:hAnsi="Arial" w:cs="Arial"/>
                <w:sz w:val="24"/>
                <w:szCs w:val="24"/>
                <w:lang w:val="en-US"/>
              </w:rPr>
            </w:pPr>
          </w:p>
          <w:p w14:paraId="407CA29D" w14:textId="00DA5068" w:rsidR="0065111B" w:rsidRPr="00F30ECC" w:rsidRDefault="0065111B" w:rsidP="00F30ECC">
            <w:pPr>
              <w:jc w:val="both"/>
              <w:rPr>
                <w:rFonts w:ascii="Arial" w:hAnsi="Arial" w:cs="Arial"/>
                <w:sz w:val="24"/>
                <w:szCs w:val="24"/>
                <w:lang w:val="en-US"/>
              </w:rPr>
            </w:pPr>
            <w:r>
              <w:rPr>
                <w:rFonts w:ascii="Arial" w:hAnsi="Arial" w:cs="Arial"/>
                <w:sz w:val="24"/>
                <w:szCs w:val="24"/>
                <w:lang w:val="en-US"/>
              </w:rPr>
              <w:t xml:space="preserve">The Fund has a structured investment strategy that will include </w:t>
            </w:r>
            <w:r w:rsidR="009C1CC3">
              <w:rPr>
                <w:rFonts w:ascii="Arial" w:hAnsi="Arial" w:cs="Arial"/>
                <w:sz w:val="24"/>
                <w:szCs w:val="24"/>
                <w:lang w:val="en-US"/>
              </w:rPr>
              <w:t xml:space="preserve">a preliminary Due Diligence approach where investments in certain sectors will be excluded, </w:t>
            </w:r>
            <w:r>
              <w:rPr>
                <w:rFonts w:ascii="Arial" w:hAnsi="Arial" w:cs="Arial"/>
                <w:sz w:val="24"/>
                <w:szCs w:val="24"/>
                <w:lang w:val="en-US"/>
              </w:rPr>
              <w:t>ESG due diligence, active engagement with the investee companies and implementation of governance policies to properly ensure compliance</w:t>
            </w:r>
            <w:r w:rsidR="009C1CC3">
              <w:rPr>
                <w:rFonts w:ascii="Arial" w:hAnsi="Arial" w:cs="Arial"/>
                <w:sz w:val="24"/>
                <w:szCs w:val="24"/>
                <w:lang w:val="en-US"/>
              </w:rPr>
              <w:t xml:space="preserve"> and alignment</w:t>
            </w:r>
            <w:r>
              <w:rPr>
                <w:rFonts w:ascii="Arial" w:hAnsi="Arial" w:cs="Arial"/>
                <w:sz w:val="24"/>
                <w:szCs w:val="24"/>
                <w:lang w:val="en-US"/>
              </w:rPr>
              <w:t xml:space="preserve"> with </w:t>
            </w:r>
            <w:r w:rsidR="009C1CC3">
              <w:rPr>
                <w:rFonts w:ascii="Arial" w:hAnsi="Arial" w:cs="Arial"/>
                <w:sz w:val="24"/>
                <w:szCs w:val="24"/>
                <w:lang w:val="en-US"/>
              </w:rPr>
              <w:t xml:space="preserve">the Fund’s </w:t>
            </w:r>
            <w:r>
              <w:rPr>
                <w:rFonts w:ascii="Arial" w:hAnsi="Arial" w:cs="Arial"/>
                <w:sz w:val="24"/>
                <w:szCs w:val="24"/>
                <w:lang w:val="en-US"/>
              </w:rPr>
              <w:t xml:space="preserve">ESG objectives. The Fund will measure </w:t>
            </w:r>
            <w:r w:rsidR="009C1CC3">
              <w:rPr>
                <w:rFonts w:ascii="Arial" w:hAnsi="Arial" w:cs="Arial"/>
                <w:sz w:val="24"/>
                <w:szCs w:val="24"/>
                <w:lang w:val="en-US"/>
              </w:rPr>
              <w:t xml:space="preserve">and monitor </w:t>
            </w:r>
            <w:r>
              <w:rPr>
                <w:rFonts w:ascii="Arial" w:hAnsi="Arial" w:cs="Arial"/>
                <w:sz w:val="24"/>
                <w:szCs w:val="24"/>
                <w:lang w:val="en-US"/>
              </w:rPr>
              <w:t xml:space="preserve">ESG performance, relying on verified data sources and acknowledging limitations. Monitoring efforts include tracking </w:t>
            </w:r>
            <w:r w:rsidR="009C1CC3">
              <w:rPr>
                <w:rFonts w:ascii="Arial" w:hAnsi="Arial" w:cs="Arial"/>
                <w:sz w:val="24"/>
                <w:szCs w:val="24"/>
                <w:lang w:val="en-US"/>
              </w:rPr>
              <w:t xml:space="preserve">the progression of </w:t>
            </w:r>
            <w:r>
              <w:rPr>
                <w:rFonts w:ascii="Arial" w:hAnsi="Arial" w:cs="Arial"/>
                <w:sz w:val="24"/>
                <w:szCs w:val="24"/>
                <w:lang w:val="en-US"/>
              </w:rPr>
              <w:t>sustainability indicators and Principal Adverse Impacts (PAIs). The Fund follows strong due diligence and engagement policies to support ESG integration across its portfolio.</w:t>
            </w:r>
          </w:p>
          <w:p w14:paraId="1149A81A" w14:textId="77777777" w:rsidR="005B3DB7" w:rsidRPr="00F012F1" w:rsidRDefault="005B3DB7" w:rsidP="0065264E">
            <w:pPr>
              <w:rPr>
                <w:rFonts w:ascii="Arial" w:hAnsi="Arial" w:cs="Arial"/>
                <w:sz w:val="24"/>
                <w:szCs w:val="24"/>
                <w:lang w:val="en-US"/>
              </w:rPr>
            </w:pPr>
          </w:p>
          <w:p w14:paraId="407E0D5F" w14:textId="445D7762" w:rsidR="00B85C60" w:rsidRPr="00F012F1" w:rsidRDefault="00B85C60" w:rsidP="0065264E">
            <w:pPr>
              <w:rPr>
                <w:rFonts w:ascii="Arial" w:hAnsi="Arial" w:cs="Arial"/>
                <w:sz w:val="24"/>
                <w:szCs w:val="24"/>
                <w:u w:val="single"/>
                <w:lang w:val="en-US"/>
              </w:rPr>
            </w:pPr>
          </w:p>
        </w:tc>
      </w:tr>
      <w:tr w:rsidR="00F012F1" w:rsidRPr="00F012F1" w14:paraId="27989498" w14:textId="77777777" w:rsidTr="0065264E">
        <w:tc>
          <w:tcPr>
            <w:tcW w:w="562" w:type="dxa"/>
          </w:tcPr>
          <w:p w14:paraId="443ECDBC" w14:textId="5B4169CA" w:rsidR="00D70F89" w:rsidRPr="00F012F1" w:rsidRDefault="00CF6EC8" w:rsidP="0065264E">
            <w:pPr>
              <w:rPr>
                <w:rFonts w:ascii="Arial" w:hAnsi="Arial" w:cs="Arial"/>
                <w:sz w:val="24"/>
                <w:szCs w:val="24"/>
                <w:lang w:val="en-US"/>
              </w:rPr>
            </w:pPr>
            <w:r w:rsidRPr="00F012F1">
              <w:rPr>
                <w:rFonts w:ascii="Arial" w:hAnsi="Arial" w:cs="Arial"/>
                <w:sz w:val="24"/>
                <w:szCs w:val="24"/>
                <w:lang w:val="en-US"/>
              </w:rPr>
              <w:t>B</w:t>
            </w:r>
          </w:p>
        </w:tc>
        <w:tc>
          <w:tcPr>
            <w:tcW w:w="10354" w:type="dxa"/>
          </w:tcPr>
          <w:p w14:paraId="38678475" w14:textId="165C2272" w:rsidR="00D70F89" w:rsidRPr="00F012F1" w:rsidRDefault="00CF6EC8" w:rsidP="0065264E">
            <w:pPr>
              <w:rPr>
                <w:rFonts w:ascii="Arial" w:hAnsi="Arial" w:cs="Arial"/>
                <w:sz w:val="24"/>
                <w:szCs w:val="24"/>
                <w:u w:val="single"/>
                <w:lang w:val="en-US"/>
              </w:rPr>
            </w:pPr>
            <w:r w:rsidRPr="00F012F1">
              <w:rPr>
                <w:rFonts w:ascii="Arial" w:hAnsi="Arial" w:cs="Arial"/>
                <w:sz w:val="24"/>
                <w:szCs w:val="24"/>
                <w:u w:val="single"/>
                <w:lang w:val="en-US"/>
              </w:rPr>
              <w:t xml:space="preserve">NO </w:t>
            </w:r>
            <w:r w:rsidR="00D70F89" w:rsidRPr="00F012F1">
              <w:rPr>
                <w:rFonts w:ascii="Arial" w:hAnsi="Arial" w:cs="Arial"/>
                <w:sz w:val="24"/>
                <w:szCs w:val="24"/>
                <w:u w:val="single"/>
                <w:lang w:val="en-US"/>
              </w:rPr>
              <w:t>SUSTAINABLE INVESTMENT OBJECTIVE</w:t>
            </w:r>
          </w:p>
          <w:p w14:paraId="76514A34" w14:textId="77777777" w:rsidR="00D70F89" w:rsidRPr="00F012F1" w:rsidRDefault="00D70F89" w:rsidP="0065264E">
            <w:pPr>
              <w:rPr>
                <w:rFonts w:ascii="Arial" w:hAnsi="Arial" w:cs="Arial"/>
                <w:sz w:val="24"/>
                <w:szCs w:val="24"/>
                <w:lang w:val="en-US"/>
              </w:rPr>
            </w:pPr>
          </w:p>
        </w:tc>
      </w:tr>
      <w:tr w:rsidR="00F012F1" w:rsidRPr="000D3B78" w14:paraId="592B2DA1" w14:textId="77777777" w:rsidTr="0065264E">
        <w:tc>
          <w:tcPr>
            <w:tcW w:w="562" w:type="dxa"/>
          </w:tcPr>
          <w:p w14:paraId="23894DAF" w14:textId="77777777" w:rsidR="00D70F89" w:rsidRPr="00F012F1" w:rsidRDefault="00D70F89" w:rsidP="0065264E">
            <w:pPr>
              <w:rPr>
                <w:rFonts w:ascii="Arial" w:hAnsi="Arial" w:cs="Arial"/>
                <w:sz w:val="24"/>
                <w:szCs w:val="24"/>
                <w:lang w:val="en-US"/>
              </w:rPr>
            </w:pPr>
          </w:p>
        </w:tc>
        <w:tc>
          <w:tcPr>
            <w:tcW w:w="10354" w:type="dxa"/>
          </w:tcPr>
          <w:p w14:paraId="3D93D4BC" w14:textId="0893F32B" w:rsidR="002F7D98" w:rsidRDefault="002F7D98" w:rsidP="0065264E">
            <w:pPr>
              <w:jc w:val="both"/>
              <w:rPr>
                <w:rFonts w:ascii="Arial" w:eastAsia="Open Sans" w:hAnsi="Arial" w:cs="Arial"/>
                <w:sz w:val="24"/>
                <w:szCs w:val="24"/>
                <w:lang w:val="en-US" w:eastAsia="en-GB"/>
              </w:rPr>
            </w:pPr>
            <w:r>
              <w:rPr>
                <w:rFonts w:ascii="Arial" w:eastAsia="Open Sans" w:hAnsi="Arial" w:cs="Arial"/>
                <w:sz w:val="24"/>
                <w:szCs w:val="24"/>
                <w:lang w:val="en-US" w:eastAsia="en-GB"/>
              </w:rPr>
              <w:t>The Fund promotes environmental and social characteristics by embedding ESG considerations throughout its investment strategy and will apply a value-weighted approach ensuring the larger investments are subject to more rigorous ESG objectives and active constant monitoring. ESG principles are integrated into all investment categories (Real Estate, Private Equity and Private Debt) through targeted strategies that aim to deliver measurable environmental and social outcomes.</w:t>
            </w:r>
          </w:p>
          <w:p w14:paraId="369B4799" w14:textId="77777777" w:rsidR="002F7D98" w:rsidRDefault="002F7D98" w:rsidP="0065264E">
            <w:pPr>
              <w:jc w:val="both"/>
              <w:rPr>
                <w:rFonts w:ascii="Arial" w:eastAsia="Open Sans" w:hAnsi="Arial" w:cs="Arial"/>
                <w:sz w:val="24"/>
                <w:szCs w:val="24"/>
                <w:lang w:val="en-US" w:eastAsia="en-GB"/>
              </w:rPr>
            </w:pPr>
          </w:p>
          <w:p w14:paraId="6575EA78" w14:textId="46080AD1" w:rsidR="00D70F89" w:rsidRDefault="00316C09" w:rsidP="0065264E">
            <w:pPr>
              <w:jc w:val="both"/>
              <w:rPr>
                <w:rFonts w:ascii="Arial" w:eastAsia="Open Sans" w:hAnsi="Arial" w:cs="Arial"/>
                <w:sz w:val="24"/>
                <w:szCs w:val="24"/>
                <w:lang w:val="en-US" w:eastAsia="en-GB"/>
              </w:rPr>
            </w:pPr>
            <w:r>
              <w:rPr>
                <w:rFonts w:ascii="Arial" w:eastAsia="Open Sans" w:hAnsi="Arial" w:cs="Arial"/>
                <w:sz w:val="24"/>
                <w:szCs w:val="24"/>
                <w:lang w:val="en-US" w:eastAsia="en-GB"/>
              </w:rPr>
              <w:t xml:space="preserve">The financial product does promote environmental or social </w:t>
            </w:r>
            <w:proofErr w:type="gramStart"/>
            <w:r>
              <w:rPr>
                <w:rFonts w:ascii="Arial" w:eastAsia="Open Sans" w:hAnsi="Arial" w:cs="Arial"/>
                <w:sz w:val="24"/>
                <w:szCs w:val="24"/>
                <w:lang w:val="en-US" w:eastAsia="en-GB"/>
              </w:rPr>
              <w:t>characteristics,</w:t>
            </w:r>
            <w:proofErr w:type="gramEnd"/>
            <w:r>
              <w:rPr>
                <w:rFonts w:ascii="Arial" w:eastAsia="Open Sans" w:hAnsi="Arial" w:cs="Arial"/>
                <w:sz w:val="24"/>
                <w:szCs w:val="24"/>
                <w:lang w:val="en-US" w:eastAsia="en-GB"/>
              </w:rPr>
              <w:t xml:space="preserve"> however, it does not have a sustainable investment objective</w:t>
            </w:r>
            <w:r w:rsidR="002F7D98">
              <w:rPr>
                <w:rFonts w:ascii="Arial" w:eastAsia="Open Sans" w:hAnsi="Arial" w:cs="Arial"/>
                <w:sz w:val="24"/>
                <w:szCs w:val="24"/>
                <w:lang w:val="en-US" w:eastAsia="en-GB"/>
              </w:rPr>
              <w:t>, and therefore, does not intend to make any “sustainable investments” as defined by SFDR regulations</w:t>
            </w:r>
            <w:r>
              <w:rPr>
                <w:rFonts w:ascii="Arial" w:eastAsia="Open Sans" w:hAnsi="Arial" w:cs="Arial"/>
                <w:sz w:val="24"/>
                <w:szCs w:val="24"/>
                <w:lang w:val="en-US" w:eastAsia="en-GB"/>
              </w:rPr>
              <w:t>.</w:t>
            </w:r>
          </w:p>
          <w:p w14:paraId="547FCDD3" w14:textId="77777777" w:rsidR="002F7D98" w:rsidRDefault="002F7D98" w:rsidP="0065264E">
            <w:pPr>
              <w:jc w:val="both"/>
              <w:rPr>
                <w:rFonts w:ascii="Arial" w:eastAsia="Open Sans" w:hAnsi="Arial" w:cs="Arial"/>
                <w:sz w:val="24"/>
                <w:szCs w:val="24"/>
                <w:lang w:val="en-US" w:eastAsia="en-GB"/>
              </w:rPr>
            </w:pPr>
          </w:p>
          <w:p w14:paraId="302A84F6" w14:textId="5438CF0D" w:rsidR="009C1CC3" w:rsidRDefault="009C1CC3" w:rsidP="0065264E">
            <w:pPr>
              <w:jc w:val="both"/>
              <w:rPr>
                <w:rFonts w:ascii="Arial" w:eastAsia="Open Sans" w:hAnsi="Arial" w:cs="Arial"/>
                <w:sz w:val="24"/>
                <w:szCs w:val="24"/>
                <w:lang w:val="en-US" w:eastAsia="en-GB"/>
              </w:rPr>
            </w:pPr>
            <w:r>
              <w:rPr>
                <w:rFonts w:ascii="Arial" w:eastAsia="Open Sans" w:hAnsi="Arial" w:cs="Arial"/>
                <w:sz w:val="24"/>
                <w:szCs w:val="24"/>
                <w:lang w:val="en-US" w:eastAsia="en-GB"/>
              </w:rPr>
              <w:t xml:space="preserve">The Fund will have 85% of its investments aligned with environmental and social characteristics, while the remaining 15% will be allocated to cash instruments or equivalent and investments which are not fully aligned with the Fund’s ESG objective or data collection is not possible due to lack of </w:t>
            </w:r>
            <w:r w:rsidR="007A2E5B">
              <w:rPr>
                <w:rFonts w:ascii="Arial" w:eastAsia="Open Sans" w:hAnsi="Arial" w:cs="Arial"/>
                <w:sz w:val="24"/>
                <w:szCs w:val="24"/>
                <w:lang w:val="en-US" w:eastAsia="en-GB"/>
              </w:rPr>
              <w:t xml:space="preserve">sufficient </w:t>
            </w:r>
            <w:r>
              <w:rPr>
                <w:rFonts w:ascii="Arial" w:eastAsia="Open Sans" w:hAnsi="Arial" w:cs="Arial"/>
                <w:sz w:val="24"/>
                <w:szCs w:val="24"/>
                <w:lang w:val="en-US" w:eastAsia="en-GB"/>
              </w:rPr>
              <w:t xml:space="preserve">data or data quality. </w:t>
            </w:r>
          </w:p>
          <w:p w14:paraId="3A33419A" w14:textId="6184F95B" w:rsidR="002F7D98" w:rsidRPr="00F012F1" w:rsidRDefault="002F7D98" w:rsidP="0065264E">
            <w:pPr>
              <w:jc w:val="both"/>
              <w:rPr>
                <w:rFonts w:ascii="Arial" w:eastAsia="Open Sans" w:hAnsi="Arial" w:cs="Arial"/>
                <w:sz w:val="24"/>
                <w:szCs w:val="24"/>
                <w:lang w:val="en-US" w:eastAsia="en-GB"/>
              </w:rPr>
            </w:pPr>
            <w:r>
              <w:rPr>
                <w:rFonts w:ascii="Arial" w:eastAsia="Open Sans" w:hAnsi="Arial" w:cs="Arial"/>
                <w:sz w:val="24"/>
                <w:szCs w:val="24"/>
                <w:lang w:val="en-US" w:eastAsia="en-GB"/>
              </w:rPr>
              <w:t xml:space="preserve">However, this remaining 15% will still be subject to minimum responsible safeguards, avoiding sectors or practices that could potentially affect environmental or social aspects. </w:t>
            </w:r>
          </w:p>
          <w:p w14:paraId="3561AFDA" w14:textId="77777777" w:rsidR="005B3DB7" w:rsidRPr="00F012F1" w:rsidRDefault="005B3DB7" w:rsidP="0065264E">
            <w:pPr>
              <w:jc w:val="both"/>
              <w:rPr>
                <w:rFonts w:ascii="Arial" w:eastAsia="Open Sans" w:hAnsi="Arial" w:cs="Arial"/>
                <w:sz w:val="24"/>
                <w:szCs w:val="24"/>
                <w:lang w:val="en-US" w:eastAsia="en-GB"/>
              </w:rPr>
            </w:pPr>
          </w:p>
          <w:p w14:paraId="77B0EAC3" w14:textId="77777777" w:rsidR="00D70F89" w:rsidRPr="00F012F1" w:rsidRDefault="00D70F89" w:rsidP="0065264E">
            <w:pPr>
              <w:rPr>
                <w:rFonts w:ascii="Arial" w:hAnsi="Arial" w:cs="Arial"/>
                <w:sz w:val="24"/>
                <w:szCs w:val="24"/>
                <w:lang w:val="en-US"/>
              </w:rPr>
            </w:pPr>
          </w:p>
        </w:tc>
      </w:tr>
      <w:tr w:rsidR="00F012F1" w:rsidRPr="000D3B78" w14:paraId="1DCA58B5" w14:textId="77777777" w:rsidTr="0065264E">
        <w:tc>
          <w:tcPr>
            <w:tcW w:w="562" w:type="dxa"/>
          </w:tcPr>
          <w:p w14:paraId="68825DD1" w14:textId="77844E56" w:rsidR="00D70F89" w:rsidRPr="00F012F1" w:rsidRDefault="00CF6EC8" w:rsidP="0065264E">
            <w:pPr>
              <w:rPr>
                <w:rFonts w:ascii="Arial" w:hAnsi="Arial" w:cs="Arial"/>
                <w:sz w:val="24"/>
                <w:szCs w:val="24"/>
                <w:lang w:val="en-US"/>
              </w:rPr>
            </w:pPr>
            <w:r w:rsidRPr="00F012F1">
              <w:rPr>
                <w:rFonts w:ascii="Arial" w:hAnsi="Arial" w:cs="Arial"/>
                <w:sz w:val="24"/>
                <w:szCs w:val="24"/>
                <w:lang w:val="en-US"/>
              </w:rPr>
              <w:lastRenderedPageBreak/>
              <w:t>C</w:t>
            </w:r>
          </w:p>
        </w:tc>
        <w:tc>
          <w:tcPr>
            <w:tcW w:w="10354" w:type="dxa"/>
          </w:tcPr>
          <w:p w14:paraId="6C55FD14" w14:textId="77777777" w:rsidR="00D70F89" w:rsidRPr="00F012F1" w:rsidRDefault="00D70F89" w:rsidP="0065264E">
            <w:pPr>
              <w:rPr>
                <w:rFonts w:ascii="Arial" w:hAnsi="Arial" w:cs="Arial"/>
                <w:sz w:val="24"/>
                <w:szCs w:val="24"/>
                <w:u w:val="single"/>
                <w:lang w:val="en-US"/>
              </w:rPr>
            </w:pPr>
            <w:r w:rsidRPr="00F012F1">
              <w:rPr>
                <w:rFonts w:ascii="Arial" w:hAnsi="Arial" w:cs="Arial"/>
                <w:sz w:val="24"/>
                <w:szCs w:val="24"/>
                <w:u w:val="single"/>
                <w:lang w:val="en-US"/>
              </w:rPr>
              <w:t>ENVIRONMENTAL OR SOCIAL CHARACTERISTICS OF THE FINANCIAL PRODUCT</w:t>
            </w:r>
          </w:p>
          <w:p w14:paraId="39DAE685" w14:textId="77777777" w:rsidR="00D70F89" w:rsidRPr="00F012F1" w:rsidRDefault="00D70F89" w:rsidP="0065264E">
            <w:pPr>
              <w:rPr>
                <w:rFonts w:ascii="Arial" w:hAnsi="Arial" w:cs="Arial"/>
                <w:sz w:val="24"/>
                <w:szCs w:val="24"/>
                <w:u w:val="single"/>
                <w:lang w:val="en-US"/>
              </w:rPr>
            </w:pPr>
          </w:p>
        </w:tc>
      </w:tr>
      <w:tr w:rsidR="00F012F1" w:rsidRPr="000D3B78" w14:paraId="558E37C5" w14:textId="77777777" w:rsidTr="0065264E">
        <w:tc>
          <w:tcPr>
            <w:tcW w:w="562" w:type="dxa"/>
          </w:tcPr>
          <w:p w14:paraId="76B9C9CE" w14:textId="77777777" w:rsidR="00D70F89" w:rsidRPr="00F012F1" w:rsidRDefault="00D70F89" w:rsidP="0065264E">
            <w:pPr>
              <w:rPr>
                <w:rFonts w:ascii="Arial" w:hAnsi="Arial" w:cs="Arial"/>
                <w:sz w:val="24"/>
                <w:szCs w:val="24"/>
                <w:lang w:val="en-US"/>
              </w:rPr>
            </w:pPr>
          </w:p>
        </w:tc>
        <w:tc>
          <w:tcPr>
            <w:tcW w:w="10354" w:type="dxa"/>
          </w:tcPr>
          <w:p w14:paraId="7665A055" w14:textId="7FA40F7D" w:rsidR="00D70F89" w:rsidRPr="00F012F1" w:rsidRDefault="00D70F89" w:rsidP="0065264E">
            <w:pPr>
              <w:jc w:val="both"/>
              <w:rPr>
                <w:rFonts w:ascii="Arial" w:eastAsia="Open Sans" w:hAnsi="Arial" w:cs="Arial"/>
                <w:sz w:val="24"/>
                <w:szCs w:val="24"/>
                <w:lang w:val="en-US" w:eastAsia="en-GB"/>
              </w:rPr>
            </w:pPr>
          </w:p>
          <w:p w14:paraId="2E4359C5" w14:textId="208C89CC" w:rsidR="00230666" w:rsidRDefault="00B150E1" w:rsidP="00230666">
            <w:pPr>
              <w:jc w:val="both"/>
              <w:rPr>
                <w:rFonts w:ascii="Arial" w:eastAsia="Open Sans" w:hAnsi="Arial" w:cs="Arial"/>
                <w:sz w:val="24"/>
                <w:szCs w:val="24"/>
                <w:lang w:val="en-US" w:eastAsia="en-GB"/>
              </w:rPr>
            </w:pPr>
            <w:proofErr w:type="spellStart"/>
            <w:r>
              <w:rPr>
                <w:rFonts w:ascii="Arial" w:eastAsia="Open Sans" w:hAnsi="Arial" w:cs="Arial"/>
                <w:sz w:val="24"/>
                <w:szCs w:val="24"/>
                <w:lang w:val="en-US" w:eastAsia="en-GB"/>
              </w:rPr>
              <w:t>Capiva</w:t>
            </w:r>
            <w:proofErr w:type="spellEnd"/>
            <w:r>
              <w:rPr>
                <w:rFonts w:ascii="Arial" w:eastAsia="Open Sans" w:hAnsi="Arial" w:cs="Arial"/>
                <w:sz w:val="24"/>
                <w:szCs w:val="24"/>
                <w:lang w:val="en-US" w:eastAsia="en-GB"/>
              </w:rPr>
              <w:t xml:space="preserve"> Plus Fund </w:t>
            </w:r>
            <w:proofErr w:type="spellStart"/>
            <w:r>
              <w:rPr>
                <w:rFonts w:ascii="Arial" w:eastAsia="Open Sans" w:hAnsi="Arial" w:cs="Arial"/>
                <w:sz w:val="24"/>
                <w:szCs w:val="24"/>
                <w:lang w:val="en-US" w:eastAsia="en-GB"/>
              </w:rPr>
              <w:t>SCSp</w:t>
            </w:r>
            <w:proofErr w:type="spellEnd"/>
            <w:r w:rsidR="00230666" w:rsidRPr="00230666">
              <w:rPr>
                <w:rFonts w:ascii="Arial" w:eastAsia="Open Sans" w:hAnsi="Arial" w:cs="Arial"/>
                <w:sz w:val="24"/>
                <w:szCs w:val="24"/>
                <w:lang w:val="en-US" w:eastAsia="en-GB"/>
              </w:rPr>
              <w:t xml:space="preserve"> promotes environmental characteristics by prioritizing investments that reduce emissions, enhance energy efficiency, and support the transition to a low-carbon economy. Social characteristics are </w:t>
            </w:r>
            <w:r w:rsidR="00230666">
              <w:rPr>
                <w:rFonts w:ascii="Arial" w:eastAsia="Open Sans" w:hAnsi="Arial" w:cs="Arial"/>
                <w:sz w:val="24"/>
                <w:szCs w:val="24"/>
                <w:lang w:val="en-US" w:eastAsia="en-GB"/>
              </w:rPr>
              <w:t>pursued</w:t>
            </w:r>
            <w:r w:rsidR="00230666" w:rsidRPr="00230666">
              <w:rPr>
                <w:rFonts w:ascii="Arial" w:eastAsia="Open Sans" w:hAnsi="Arial" w:cs="Arial"/>
                <w:sz w:val="24"/>
                <w:szCs w:val="24"/>
                <w:lang w:val="en-US" w:eastAsia="en-GB"/>
              </w:rPr>
              <w:t xml:space="preserve"> through commitments to gender equality, consumer safety, and adherence to internationally recognized human rights and ethical practices</w:t>
            </w:r>
            <w:r w:rsidR="00230666">
              <w:rPr>
                <w:rFonts w:ascii="Arial" w:eastAsia="Open Sans" w:hAnsi="Arial" w:cs="Arial"/>
                <w:sz w:val="24"/>
                <w:szCs w:val="24"/>
                <w:lang w:val="en-US" w:eastAsia="en-GB"/>
              </w:rPr>
              <w:t>.</w:t>
            </w:r>
            <w:r w:rsidR="00956A1C">
              <w:rPr>
                <w:rFonts w:ascii="Arial" w:eastAsia="Open Sans" w:hAnsi="Arial" w:cs="Arial"/>
                <w:sz w:val="24"/>
                <w:szCs w:val="24"/>
                <w:lang w:val="en-US" w:eastAsia="en-GB"/>
              </w:rPr>
              <w:t xml:space="preserve"> </w:t>
            </w:r>
            <w:proofErr w:type="gramStart"/>
            <w:r w:rsidR="00230666">
              <w:rPr>
                <w:rFonts w:ascii="Arial" w:eastAsia="Open Sans" w:hAnsi="Arial" w:cs="Arial"/>
                <w:sz w:val="24"/>
                <w:szCs w:val="24"/>
                <w:lang w:val="en-US" w:eastAsia="en-GB"/>
              </w:rPr>
              <w:t>In order to</w:t>
            </w:r>
            <w:proofErr w:type="gramEnd"/>
            <w:r w:rsidR="00230666">
              <w:rPr>
                <w:rFonts w:ascii="Arial" w:eastAsia="Open Sans" w:hAnsi="Arial" w:cs="Arial"/>
                <w:sz w:val="24"/>
                <w:szCs w:val="24"/>
                <w:lang w:val="en-US" w:eastAsia="en-GB"/>
              </w:rPr>
              <w:t xml:space="preserve"> ensure </w:t>
            </w:r>
            <w:r w:rsidR="00956A1C">
              <w:rPr>
                <w:rFonts w:ascii="Arial" w:eastAsia="Open Sans" w:hAnsi="Arial" w:cs="Arial"/>
                <w:sz w:val="24"/>
                <w:szCs w:val="24"/>
                <w:lang w:val="en-US" w:eastAsia="en-GB"/>
              </w:rPr>
              <w:t>the Fund is fully compliant with th</w:t>
            </w:r>
            <w:r w:rsidR="006B43CC">
              <w:rPr>
                <w:rFonts w:ascii="Arial" w:eastAsia="Open Sans" w:hAnsi="Arial" w:cs="Arial"/>
                <w:sz w:val="24"/>
                <w:szCs w:val="24"/>
                <w:lang w:val="en-US" w:eastAsia="en-GB"/>
              </w:rPr>
              <w:t>ese</w:t>
            </w:r>
            <w:r w:rsidR="00956A1C">
              <w:rPr>
                <w:rFonts w:ascii="Arial" w:eastAsia="Open Sans" w:hAnsi="Arial" w:cs="Arial"/>
                <w:sz w:val="24"/>
                <w:szCs w:val="24"/>
                <w:lang w:val="en-US" w:eastAsia="en-GB"/>
              </w:rPr>
              <w:t xml:space="preserve"> characteristics, investments are screened.</w:t>
            </w:r>
          </w:p>
          <w:p w14:paraId="6933168A" w14:textId="77777777" w:rsidR="007A2E5B" w:rsidRDefault="007A2E5B" w:rsidP="00230666">
            <w:pPr>
              <w:jc w:val="both"/>
              <w:rPr>
                <w:rFonts w:ascii="Arial" w:eastAsia="Open Sans" w:hAnsi="Arial" w:cs="Arial"/>
                <w:sz w:val="24"/>
                <w:szCs w:val="24"/>
                <w:lang w:val="en-US" w:eastAsia="en-GB"/>
              </w:rPr>
            </w:pPr>
          </w:p>
          <w:p w14:paraId="2E9E66C6" w14:textId="317747FD" w:rsidR="007A2E5B" w:rsidRDefault="007A2E5B" w:rsidP="00230666">
            <w:pPr>
              <w:jc w:val="both"/>
              <w:rPr>
                <w:rFonts w:ascii="Arial" w:eastAsia="Open Sans" w:hAnsi="Arial" w:cs="Arial"/>
                <w:sz w:val="24"/>
                <w:szCs w:val="24"/>
                <w:lang w:val="en-US" w:eastAsia="en-GB"/>
              </w:rPr>
            </w:pPr>
            <w:r>
              <w:rPr>
                <w:rFonts w:ascii="Arial" w:eastAsia="Open Sans" w:hAnsi="Arial" w:cs="Arial"/>
                <w:sz w:val="24"/>
                <w:szCs w:val="24"/>
                <w:lang w:val="en-US" w:eastAsia="en-GB"/>
              </w:rPr>
              <w:t xml:space="preserve">The Fund embeds environmental characteristics into all investment categories. For Real Estate Investments, </w:t>
            </w:r>
            <w:proofErr w:type="spellStart"/>
            <w:r>
              <w:rPr>
                <w:rFonts w:ascii="Arial" w:eastAsia="Open Sans" w:hAnsi="Arial" w:cs="Arial"/>
                <w:sz w:val="24"/>
                <w:szCs w:val="24"/>
                <w:lang w:val="en-US" w:eastAsia="en-GB"/>
              </w:rPr>
              <w:t>Capiva</w:t>
            </w:r>
            <w:proofErr w:type="spellEnd"/>
            <w:r>
              <w:rPr>
                <w:rFonts w:ascii="Arial" w:eastAsia="Open Sans" w:hAnsi="Arial" w:cs="Arial"/>
                <w:sz w:val="24"/>
                <w:szCs w:val="24"/>
                <w:lang w:val="en-US" w:eastAsia="en-GB"/>
              </w:rPr>
              <w:t xml:space="preserve"> will focus on reducing emissions and energy usage, as well as greenhouse gas emissions. The Fund supports investments that contribute to the transition to a low carbon economy.</w:t>
            </w:r>
          </w:p>
          <w:p w14:paraId="6442318F" w14:textId="77777777" w:rsidR="007A2E5B" w:rsidRDefault="007A2E5B" w:rsidP="00230666">
            <w:pPr>
              <w:jc w:val="both"/>
              <w:rPr>
                <w:rFonts w:ascii="Arial" w:eastAsia="Open Sans" w:hAnsi="Arial" w:cs="Arial"/>
                <w:sz w:val="24"/>
                <w:szCs w:val="24"/>
                <w:lang w:val="en-US" w:eastAsia="en-GB"/>
              </w:rPr>
            </w:pPr>
          </w:p>
          <w:p w14:paraId="6094DFB6" w14:textId="77777777" w:rsidR="002F7825" w:rsidRDefault="007A2E5B" w:rsidP="00230666">
            <w:pPr>
              <w:jc w:val="both"/>
              <w:rPr>
                <w:rFonts w:ascii="Arial" w:eastAsia="Open Sans" w:hAnsi="Arial" w:cs="Arial"/>
                <w:sz w:val="24"/>
                <w:szCs w:val="24"/>
                <w:lang w:val="en-US" w:eastAsia="en-GB"/>
              </w:rPr>
            </w:pPr>
            <w:r>
              <w:rPr>
                <w:rFonts w:ascii="Arial" w:eastAsia="Open Sans" w:hAnsi="Arial" w:cs="Arial"/>
                <w:sz w:val="24"/>
                <w:szCs w:val="24"/>
                <w:lang w:val="en-US" w:eastAsia="en-GB"/>
              </w:rPr>
              <w:t xml:space="preserve">For Private Equity Investments in Asset Managers, the Fund will use its ownership to influence their portfolio strategies. The Fund will use this influence to </w:t>
            </w:r>
            <w:r w:rsidR="002F7825">
              <w:rPr>
                <w:rFonts w:ascii="Arial" w:eastAsia="Open Sans" w:hAnsi="Arial" w:cs="Arial"/>
                <w:sz w:val="24"/>
                <w:szCs w:val="24"/>
                <w:lang w:val="en-US" w:eastAsia="en-GB"/>
              </w:rPr>
              <w:t xml:space="preserve">encourage portfolio managers to shift to an ESG-aligned mindset and start investing into ESG-aligned opportunities. </w:t>
            </w:r>
          </w:p>
          <w:p w14:paraId="0D1874D7" w14:textId="77777777" w:rsidR="002F7825" w:rsidRDefault="002F7825" w:rsidP="00230666">
            <w:pPr>
              <w:jc w:val="both"/>
              <w:rPr>
                <w:rFonts w:ascii="Arial" w:eastAsia="Open Sans" w:hAnsi="Arial" w:cs="Arial"/>
                <w:sz w:val="24"/>
                <w:szCs w:val="24"/>
                <w:lang w:val="en-US" w:eastAsia="en-GB"/>
              </w:rPr>
            </w:pPr>
          </w:p>
          <w:p w14:paraId="34C0FEDD" w14:textId="4C60A395" w:rsidR="007A2E5B" w:rsidRPr="00230666" w:rsidRDefault="002F7825" w:rsidP="00230666">
            <w:pPr>
              <w:jc w:val="both"/>
              <w:rPr>
                <w:rFonts w:ascii="Arial" w:eastAsia="Open Sans" w:hAnsi="Arial" w:cs="Arial"/>
                <w:sz w:val="24"/>
                <w:szCs w:val="24"/>
                <w:lang w:val="en-US" w:eastAsia="en-GB"/>
              </w:rPr>
            </w:pPr>
            <w:r>
              <w:rPr>
                <w:rFonts w:ascii="Arial" w:eastAsia="Open Sans" w:hAnsi="Arial" w:cs="Arial"/>
                <w:sz w:val="24"/>
                <w:szCs w:val="24"/>
                <w:lang w:val="en-US" w:eastAsia="en-GB"/>
              </w:rPr>
              <w:t>The Fund will exclude certain activities from its investment universe and will apply exclusions towards industries that are associated with significant environmental harm. This exclusion intends to make sure that the Fund stays within its ESG objectives and avoids sectors that contradict such objectives, such as fossil fuel extraction, controversial weapons and tobacco production.</w:t>
            </w:r>
          </w:p>
          <w:p w14:paraId="53F331AF" w14:textId="77777777" w:rsidR="005B3DB7" w:rsidRPr="00F012F1" w:rsidRDefault="005B3DB7" w:rsidP="0065264E">
            <w:pPr>
              <w:jc w:val="both"/>
              <w:rPr>
                <w:rFonts w:ascii="Arial" w:eastAsia="Open Sans" w:hAnsi="Arial" w:cs="Arial"/>
                <w:sz w:val="24"/>
                <w:szCs w:val="24"/>
                <w:lang w:val="en-US" w:eastAsia="en-GB"/>
              </w:rPr>
            </w:pPr>
          </w:p>
          <w:p w14:paraId="518AD15A" w14:textId="77777777" w:rsidR="00D70F89" w:rsidRPr="00F012F1" w:rsidRDefault="00D70F89" w:rsidP="0065264E">
            <w:pPr>
              <w:jc w:val="both"/>
              <w:rPr>
                <w:rFonts w:ascii="Arial" w:eastAsia="Open Sans" w:hAnsi="Arial" w:cs="Arial"/>
                <w:sz w:val="24"/>
                <w:szCs w:val="24"/>
                <w:lang w:val="en-US" w:eastAsia="en-GB"/>
              </w:rPr>
            </w:pPr>
          </w:p>
        </w:tc>
      </w:tr>
      <w:tr w:rsidR="00F012F1" w:rsidRPr="00F012F1" w14:paraId="33A17BB0" w14:textId="77777777" w:rsidTr="0065264E">
        <w:tc>
          <w:tcPr>
            <w:tcW w:w="562" w:type="dxa"/>
          </w:tcPr>
          <w:p w14:paraId="4BFE64BF" w14:textId="29BE1EEC" w:rsidR="00D70F89" w:rsidRPr="00F012F1" w:rsidRDefault="00CF6EC8" w:rsidP="0065264E">
            <w:pPr>
              <w:rPr>
                <w:rFonts w:ascii="Arial" w:hAnsi="Arial" w:cs="Arial"/>
                <w:sz w:val="24"/>
                <w:szCs w:val="24"/>
                <w:lang w:val="en-US"/>
              </w:rPr>
            </w:pPr>
            <w:r w:rsidRPr="00F012F1">
              <w:rPr>
                <w:rFonts w:ascii="Arial" w:hAnsi="Arial" w:cs="Arial"/>
                <w:sz w:val="24"/>
                <w:szCs w:val="24"/>
                <w:lang w:val="en-US"/>
              </w:rPr>
              <w:t>D</w:t>
            </w:r>
          </w:p>
        </w:tc>
        <w:tc>
          <w:tcPr>
            <w:tcW w:w="10354" w:type="dxa"/>
          </w:tcPr>
          <w:p w14:paraId="796BC79A" w14:textId="77777777" w:rsidR="00D70F89" w:rsidRPr="00F012F1" w:rsidRDefault="00D70F89" w:rsidP="0065264E">
            <w:pPr>
              <w:rPr>
                <w:rFonts w:ascii="Arial" w:hAnsi="Arial" w:cs="Arial"/>
                <w:sz w:val="24"/>
                <w:szCs w:val="24"/>
                <w:u w:val="single"/>
                <w:lang w:val="en-US"/>
              </w:rPr>
            </w:pPr>
            <w:r w:rsidRPr="00F012F1">
              <w:rPr>
                <w:rFonts w:ascii="Arial" w:hAnsi="Arial" w:cs="Arial"/>
                <w:sz w:val="24"/>
                <w:szCs w:val="24"/>
                <w:u w:val="single"/>
                <w:lang w:val="en-US"/>
              </w:rPr>
              <w:t>INVESTMENT STRATEGY</w:t>
            </w:r>
          </w:p>
          <w:p w14:paraId="36D56571" w14:textId="77777777" w:rsidR="00D70F89" w:rsidRPr="00F012F1" w:rsidRDefault="00D70F89" w:rsidP="0065264E">
            <w:pPr>
              <w:rPr>
                <w:rFonts w:ascii="Arial" w:hAnsi="Arial" w:cs="Arial"/>
                <w:sz w:val="24"/>
                <w:szCs w:val="24"/>
                <w:lang w:val="en-US"/>
              </w:rPr>
            </w:pPr>
          </w:p>
        </w:tc>
      </w:tr>
      <w:tr w:rsidR="00F012F1" w:rsidRPr="000D3B78" w14:paraId="7773AEFB" w14:textId="77777777" w:rsidTr="0065264E">
        <w:tc>
          <w:tcPr>
            <w:tcW w:w="562" w:type="dxa"/>
          </w:tcPr>
          <w:p w14:paraId="5512EE65" w14:textId="77777777" w:rsidR="00D70F89" w:rsidRPr="00F012F1" w:rsidRDefault="00D70F89" w:rsidP="0065264E">
            <w:pPr>
              <w:rPr>
                <w:rFonts w:ascii="Arial" w:hAnsi="Arial" w:cs="Arial"/>
                <w:sz w:val="24"/>
                <w:szCs w:val="24"/>
                <w:lang w:val="en-US"/>
              </w:rPr>
            </w:pPr>
          </w:p>
        </w:tc>
        <w:tc>
          <w:tcPr>
            <w:tcW w:w="10354" w:type="dxa"/>
          </w:tcPr>
          <w:p w14:paraId="6E10789C" w14:textId="33C5E968" w:rsidR="00D70F89" w:rsidRPr="00F012F1" w:rsidRDefault="00D70F89" w:rsidP="0065264E">
            <w:pPr>
              <w:jc w:val="both"/>
              <w:rPr>
                <w:rFonts w:ascii="Arial" w:eastAsia="Open Sans" w:hAnsi="Arial" w:cs="Arial"/>
                <w:sz w:val="24"/>
                <w:szCs w:val="24"/>
                <w:lang w:val="en-US" w:eastAsia="en-GB"/>
              </w:rPr>
            </w:pPr>
          </w:p>
          <w:p w14:paraId="1B2C434C" w14:textId="7A0D7871" w:rsidR="002F7825" w:rsidRDefault="002F7825" w:rsidP="00F82131">
            <w:pPr>
              <w:jc w:val="both"/>
              <w:rPr>
                <w:rFonts w:ascii="Arial" w:eastAsia="Open Sans" w:hAnsi="Arial" w:cs="Arial"/>
                <w:sz w:val="24"/>
                <w:szCs w:val="24"/>
                <w:lang w:val="en-US" w:eastAsia="en-GB"/>
              </w:rPr>
            </w:pPr>
            <w:r>
              <w:rPr>
                <w:rFonts w:ascii="Arial" w:eastAsia="Open Sans" w:hAnsi="Arial" w:cs="Arial"/>
                <w:sz w:val="24"/>
                <w:szCs w:val="24"/>
                <w:lang w:val="en-US" w:eastAsia="en-GB"/>
              </w:rPr>
              <w:t>The Fu</w:t>
            </w:r>
            <w:r w:rsidR="001418F0">
              <w:rPr>
                <w:rFonts w:ascii="Arial" w:eastAsia="Open Sans" w:hAnsi="Arial" w:cs="Arial"/>
                <w:sz w:val="24"/>
                <w:szCs w:val="24"/>
                <w:lang w:val="en-US" w:eastAsia="en-GB"/>
              </w:rPr>
              <w:t>nd</w:t>
            </w:r>
            <w:r>
              <w:rPr>
                <w:rFonts w:ascii="Arial" w:eastAsia="Open Sans" w:hAnsi="Arial" w:cs="Arial"/>
                <w:sz w:val="24"/>
                <w:szCs w:val="24"/>
                <w:lang w:val="en-US" w:eastAsia="en-GB"/>
              </w:rPr>
              <w:t xml:space="preserve"> aims to generate attractive returns by investing in Real Estate, Private Equity and Private Debt.  ESG considerations are integrated at every stage of the investment process ensuring that the promotion of ESG aspects is present in every step of the investment lifecycle.</w:t>
            </w:r>
          </w:p>
          <w:p w14:paraId="000AA36D" w14:textId="77777777" w:rsidR="002F7825" w:rsidRDefault="002F7825" w:rsidP="00F82131">
            <w:pPr>
              <w:jc w:val="both"/>
              <w:rPr>
                <w:rFonts w:ascii="Arial" w:eastAsia="Open Sans" w:hAnsi="Arial" w:cs="Arial"/>
                <w:sz w:val="24"/>
                <w:szCs w:val="24"/>
                <w:lang w:val="en-US" w:eastAsia="en-GB"/>
              </w:rPr>
            </w:pPr>
          </w:p>
          <w:p w14:paraId="4526F91E" w14:textId="1E43BFBA" w:rsidR="002F7825" w:rsidRDefault="002F7825" w:rsidP="00F82131">
            <w:pPr>
              <w:jc w:val="both"/>
              <w:rPr>
                <w:rFonts w:ascii="Arial" w:eastAsia="Open Sans" w:hAnsi="Arial" w:cs="Arial"/>
                <w:sz w:val="24"/>
                <w:szCs w:val="24"/>
                <w:lang w:val="en-US" w:eastAsia="en-GB"/>
              </w:rPr>
            </w:pPr>
            <w:r>
              <w:rPr>
                <w:rFonts w:ascii="Arial" w:eastAsia="Open Sans" w:hAnsi="Arial" w:cs="Arial"/>
                <w:sz w:val="24"/>
                <w:szCs w:val="24"/>
                <w:lang w:val="en-US" w:eastAsia="en-GB"/>
              </w:rPr>
              <w:t xml:space="preserve">The Fund follows a value-weighted strategy where larger investments are subject to more rigorous ESG objectives and monitoring. </w:t>
            </w:r>
            <w:r w:rsidR="001418F0">
              <w:rPr>
                <w:rFonts w:ascii="Arial" w:eastAsia="Open Sans" w:hAnsi="Arial" w:cs="Arial"/>
                <w:sz w:val="24"/>
                <w:szCs w:val="24"/>
                <w:lang w:val="en-US" w:eastAsia="en-GB"/>
              </w:rPr>
              <w:t xml:space="preserve">Real Estate investments will focus on reducing energy consumption and reducing emissions, while Private Equity Investments will prioritize the engagement with asset managers to increase their shit towards ESG-aligned investment opportunities. </w:t>
            </w:r>
          </w:p>
          <w:p w14:paraId="4664C0F2" w14:textId="77777777" w:rsidR="001418F0" w:rsidRDefault="001418F0" w:rsidP="00F82131">
            <w:pPr>
              <w:jc w:val="both"/>
              <w:rPr>
                <w:rFonts w:ascii="Arial" w:eastAsia="Open Sans" w:hAnsi="Arial" w:cs="Arial"/>
                <w:sz w:val="24"/>
                <w:szCs w:val="24"/>
                <w:lang w:val="en-US" w:eastAsia="en-GB"/>
              </w:rPr>
            </w:pPr>
          </w:p>
          <w:p w14:paraId="0B3321BD" w14:textId="4850C98D" w:rsidR="00F82131" w:rsidRPr="005F67F3" w:rsidRDefault="001418F0" w:rsidP="00F82131">
            <w:pPr>
              <w:jc w:val="both"/>
              <w:rPr>
                <w:rFonts w:ascii="Arial" w:eastAsia="Open Sans" w:hAnsi="Arial" w:cs="Arial"/>
                <w:sz w:val="24"/>
                <w:szCs w:val="24"/>
                <w:lang w:val="en-US" w:eastAsia="en-GB"/>
              </w:rPr>
            </w:pPr>
            <w:r>
              <w:rPr>
                <w:rFonts w:ascii="Arial" w:eastAsia="Open Sans" w:hAnsi="Arial" w:cs="Arial"/>
                <w:sz w:val="24"/>
                <w:szCs w:val="24"/>
                <w:lang w:val="en-US" w:eastAsia="en-GB"/>
              </w:rPr>
              <w:t>The Fund’s strategy will include the following aspects:</w:t>
            </w:r>
          </w:p>
          <w:p w14:paraId="46574E70" w14:textId="77777777" w:rsidR="00F82131" w:rsidRPr="00F82131" w:rsidRDefault="00F82131" w:rsidP="00F82131">
            <w:pPr>
              <w:jc w:val="both"/>
              <w:rPr>
                <w:rFonts w:ascii="Arial" w:eastAsia="Open Sans" w:hAnsi="Arial" w:cs="Arial"/>
                <w:sz w:val="24"/>
                <w:szCs w:val="24"/>
                <w:lang w:val="en-US" w:eastAsia="en-GB"/>
              </w:rPr>
            </w:pPr>
          </w:p>
          <w:p w14:paraId="43A213EC" w14:textId="02E4D6BB" w:rsidR="00F82131" w:rsidRDefault="00F82131" w:rsidP="00F82131">
            <w:pPr>
              <w:numPr>
                <w:ilvl w:val="0"/>
                <w:numId w:val="35"/>
              </w:numPr>
              <w:jc w:val="both"/>
              <w:rPr>
                <w:rFonts w:ascii="Arial" w:eastAsia="Open Sans" w:hAnsi="Arial" w:cs="Arial"/>
                <w:sz w:val="24"/>
                <w:szCs w:val="24"/>
                <w:lang w:val="en-US" w:eastAsia="en-GB"/>
              </w:rPr>
            </w:pPr>
            <w:r w:rsidRPr="00F82131">
              <w:rPr>
                <w:rFonts w:ascii="Arial" w:eastAsia="Open Sans" w:hAnsi="Arial" w:cs="Arial"/>
                <w:b/>
                <w:bCs/>
                <w:sz w:val="24"/>
                <w:szCs w:val="24"/>
                <w:lang w:val="en-US" w:eastAsia="en-GB"/>
              </w:rPr>
              <w:t>Exclusion</w:t>
            </w:r>
            <w:r w:rsidR="00A80E49">
              <w:rPr>
                <w:rFonts w:ascii="Arial" w:eastAsia="Open Sans" w:hAnsi="Arial" w:cs="Arial"/>
                <w:b/>
                <w:bCs/>
                <w:sz w:val="24"/>
                <w:szCs w:val="24"/>
                <w:lang w:val="en-US" w:eastAsia="en-GB"/>
              </w:rPr>
              <w:t>ary Screening</w:t>
            </w:r>
            <w:r w:rsidRPr="00F82131">
              <w:rPr>
                <w:rFonts w:ascii="Arial" w:eastAsia="Open Sans" w:hAnsi="Arial" w:cs="Arial"/>
                <w:b/>
                <w:bCs/>
                <w:sz w:val="24"/>
                <w:szCs w:val="24"/>
                <w:lang w:val="en-US" w:eastAsia="en-GB"/>
              </w:rPr>
              <w:t>:</w:t>
            </w:r>
            <w:r w:rsidRPr="00F82131">
              <w:rPr>
                <w:rFonts w:ascii="Arial" w:eastAsia="Open Sans" w:hAnsi="Arial" w:cs="Arial"/>
                <w:sz w:val="24"/>
                <w:szCs w:val="24"/>
                <w:lang w:val="en-US" w:eastAsia="en-GB"/>
              </w:rPr>
              <w:t xml:space="preserve"> </w:t>
            </w:r>
            <w:r w:rsidR="001418F0">
              <w:rPr>
                <w:rFonts w:ascii="Arial" w:eastAsia="Open Sans" w:hAnsi="Arial" w:cs="Arial"/>
                <w:sz w:val="24"/>
                <w:szCs w:val="24"/>
                <w:lang w:val="en-US" w:eastAsia="en-GB"/>
              </w:rPr>
              <w:t xml:space="preserve">The Fund has crafted an exclusion list and will avoid making any investments in the included industries or sectors. This list includes sectors related to controversial </w:t>
            </w:r>
            <w:proofErr w:type="gramStart"/>
            <w:r w:rsidR="001418F0">
              <w:rPr>
                <w:rFonts w:ascii="Arial" w:eastAsia="Open Sans" w:hAnsi="Arial" w:cs="Arial"/>
                <w:sz w:val="24"/>
                <w:szCs w:val="24"/>
                <w:lang w:val="en-US" w:eastAsia="en-GB"/>
              </w:rPr>
              <w:t>weapons,  coal</w:t>
            </w:r>
            <w:proofErr w:type="gramEnd"/>
            <w:r w:rsidR="001418F0">
              <w:rPr>
                <w:rFonts w:ascii="Arial" w:eastAsia="Open Sans" w:hAnsi="Arial" w:cs="Arial"/>
                <w:sz w:val="24"/>
                <w:szCs w:val="24"/>
                <w:lang w:val="en-US" w:eastAsia="en-GB"/>
              </w:rPr>
              <w:t>, oil sands and sectors that severely breach UN Global Compact principles or unsustainable practices.</w:t>
            </w:r>
          </w:p>
          <w:p w14:paraId="728D1487" w14:textId="77777777" w:rsidR="001418F0" w:rsidRPr="001418F0" w:rsidRDefault="003B736D" w:rsidP="001418F0">
            <w:pPr>
              <w:numPr>
                <w:ilvl w:val="0"/>
                <w:numId w:val="35"/>
              </w:numPr>
              <w:jc w:val="both"/>
              <w:rPr>
                <w:rFonts w:ascii="Arial" w:eastAsia="Open Sans" w:hAnsi="Arial" w:cs="Arial"/>
                <w:sz w:val="24"/>
                <w:szCs w:val="24"/>
                <w:lang w:val="en-GB" w:eastAsia="en-GB"/>
              </w:rPr>
            </w:pPr>
            <w:r>
              <w:rPr>
                <w:rFonts w:ascii="Arial" w:eastAsia="Open Sans" w:hAnsi="Arial" w:cs="Arial"/>
                <w:b/>
                <w:bCs/>
                <w:sz w:val="24"/>
                <w:szCs w:val="24"/>
                <w:lang w:val="en-US" w:eastAsia="en-GB"/>
              </w:rPr>
              <w:t>Positive screening:</w:t>
            </w:r>
            <w:r>
              <w:rPr>
                <w:rFonts w:ascii="Arial" w:eastAsia="Open Sans" w:hAnsi="Arial" w:cs="Arial"/>
                <w:sz w:val="24"/>
                <w:szCs w:val="24"/>
                <w:lang w:val="en-US" w:eastAsia="en-GB"/>
              </w:rPr>
              <w:t xml:space="preserve"> within its value-weighted strategy, the Fund will prioritize those investment opportunities </w:t>
            </w:r>
            <w:r w:rsidR="00E8614A">
              <w:rPr>
                <w:rFonts w:ascii="Arial" w:eastAsia="Open Sans" w:hAnsi="Arial" w:cs="Arial"/>
                <w:sz w:val="24"/>
                <w:szCs w:val="24"/>
                <w:lang w:val="en-US" w:eastAsia="en-GB"/>
              </w:rPr>
              <w:t>with a positive ESG performance relative to its peers.</w:t>
            </w:r>
            <w:r w:rsidR="001418F0">
              <w:rPr>
                <w:rFonts w:ascii="Arial" w:eastAsia="Open Sans" w:hAnsi="Arial" w:cs="Arial"/>
                <w:sz w:val="24"/>
                <w:szCs w:val="24"/>
                <w:lang w:val="en-US" w:eastAsia="en-GB"/>
              </w:rPr>
              <w:t xml:space="preserve"> </w:t>
            </w:r>
            <w:r w:rsidR="001418F0" w:rsidRPr="001418F0">
              <w:rPr>
                <w:rFonts w:ascii="Arial" w:eastAsia="Open Sans" w:hAnsi="Arial" w:cs="Arial"/>
                <w:sz w:val="24"/>
                <w:szCs w:val="24"/>
                <w:lang w:val="en-GB" w:eastAsia="en-GB"/>
              </w:rPr>
              <w:t xml:space="preserve">As part of the selection process, an initial ESG questionnaire will be sent to prospective investments during due diligence. This step gathers data on governance structures, policies, and </w:t>
            </w:r>
            <w:r w:rsidR="001418F0" w:rsidRPr="001418F0">
              <w:rPr>
                <w:rFonts w:ascii="Arial" w:eastAsia="Open Sans" w:hAnsi="Arial" w:cs="Arial"/>
                <w:sz w:val="24"/>
                <w:szCs w:val="24"/>
                <w:lang w:val="en-GB" w:eastAsia="en-GB"/>
              </w:rPr>
              <w:lastRenderedPageBreak/>
              <w:t>practices to assess alignment with the Fund’s ESG objectives. The collected data will be evaluated against defined ESG standards to inform investment decisions.</w:t>
            </w:r>
          </w:p>
          <w:p w14:paraId="39D9E4F2" w14:textId="2959652C" w:rsidR="003B736D" w:rsidRPr="00F82131" w:rsidRDefault="003B736D" w:rsidP="001418F0">
            <w:pPr>
              <w:ind w:left="720"/>
              <w:jc w:val="both"/>
              <w:rPr>
                <w:rFonts w:ascii="Arial" w:eastAsia="Open Sans" w:hAnsi="Arial" w:cs="Arial"/>
                <w:sz w:val="24"/>
                <w:szCs w:val="24"/>
                <w:lang w:val="en-US" w:eastAsia="en-GB"/>
              </w:rPr>
            </w:pPr>
          </w:p>
          <w:p w14:paraId="3BE30A6B" w14:textId="012840CA" w:rsidR="00F82131" w:rsidRPr="00F82131" w:rsidRDefault="00F82131" w:rsidP="00F82131">
            <w:pPr>
              <w:numPr>
                <w:ilvl w:val="0"/>
                <w:numId w:val="35"/>
              </w:numPr>
              <w:jc w:val="both"/>
              <w:rPr>
                <w:rFonts w:ascii="Arial" w:eastAsia="Open Sans" w:hAnsi="Arial" w:cs="Arial"/>
                <w:sz w:val="24"/>
                <w:szCs w:val="24"/>
                <w:lang w:val="en-US" w:eastAsia="en-GB"/>
              </w:rPr>
            </w:pPr>
            <w:r w:rsidRPr="00F82131">
              <w:rPr>
                <w:rFonts w:ascii="Arial" w:eastAsia="Open Sans" w:hAnsi="Arial" w:cs="Arial"/>
                <w:b/>
                <w:bCs/>
                <w:sz w:val="24"/>
                <w:szCs w:val="24"/>
                <w:lang w:val="en-US" w:eastAsia="en-GB"/>
              </w:rPr>
              <w:t>ESG Due Diligence:</w:t>
            </w:r>
            <w:r w:rsidRPr="00F82131">
              <w:rPr>
                <w:rFonts w:ascii="Arial" w:eastAsia="Open Sans" w:hAnsi="Arial" w:cs="Arial"/>
                <w:sz w:val="24"/>
                <w:szCs w:val="24"/>
                <w:lang w:val="en-US" w:eastAsia="en-GB"/>
              </w:rPr>
              <w:t xml:space="preserve"> Assessing potential investments for sustainability risks and governance practices</w:t>
            </w:r>
            <w:r w:rsidR="00E8614A">
              <w:rPr>
                <w:rFonts w:ascii="Arial" w:eastAsia="Open Sans" w:hAnsi="Arial" w:cs="Arial"/>
                <w:sz w:val="24"/>
                <w:szCs w:val="24"/>
                <w:lang w:val="en-US" w:eastAsia="en-GB"/>
              </w:rPr>
              <w:t xml:space="preserve"> ensuring the Fund </w:t>
            </w:r>
            <w:r w:rsidR="00490BAB">
              <w:rPr>
                <w:rFonts w:ascii="Arial" w:eastAsia="Open Sans" w:hAnsi="Arial" w:cs="Arial"/>
                <w:sz w:val="24"/>
                <w:szCs w:val="24"/>
                <w:lang w:val="en-US" w:eastAsia="en-GB"/>
              </w:rPr>
              <w:t>focuses on those opportunities that align with evolving environmental and social dynamics</w:t>
            </w:r>
            <w:r w:rsidRPr="00F82131">
              <w:rPr>
                <w:rFonts w:ascii="Arial" w:eastAsia="Open Sans" w:hAnsi="Arial" w:cs="Arial"/>
                <w:sz w:val="24"/>
                <w:szCs w:val="24"/>
                <w:lang w:val="en-US" w:eastAsia="en-GB"/>
              </w:rPr>
              <w:t>.</w:t>
            </w:r>
            <w:r w:rsidR="001418F0" w:rsidRPr="001418F0">
              <w:rPr>
                <w:rFonts w:ascii="Calibri" w:eastAsia="Calibri" w:hAnsi="Calibri"/>
                <w:noProof/>
                <w:lang w:val="en-US"/>
              </w:rPr>
              <w:t xml:space="preserve"> </w:t>
            </w:r>
            <w:r w:rsidR="001418F0" w:rsidRPr="001418F0">
              <w:rPr>
                <w:rFonts w:ascii="Arial" w:eastAsia="Open Sans" w:hAnsi="Arial" w:cs="Arial"/>
                <w:sz w:val="24"/>
                <w:szCs w:val="24"/>
                <w:lang w:val="en-US" w:eastAsia="en-GB"/>
              </w:rPr>
              <w:t xml:space="preserve">Each potential investment undergoes an ESG evaluation to identify material sustainability risks. If risks are identified, the Fund considers mitigation measures where the opportunity aligns with evolving environmental and social priorities. </w:t>
            </w:r>
            <w:r w:rsidR="001418F0" w:rsidRPr="001418F0">
              <w:rPr>
                <w:rFonts w:ascii="Arial" w:eastAsia="Open Sans" w:hAnsi="Arial" w:cs="Arial"/>
                <w:sz w:val="24"/>
                <w:szCs w:val="24"/>
                <w:lang w:eastAsia="en-GB"/>
              </w:rPr>
              <w:t xml:space="preserve">Investments </w:t>
            </w:r>
            <w:proofErr w:type="spellStart"/>
            <w:r w:rsidR="001418F0" w:rsidRPr="001418F0">
              <w:rPr>
                <w:rFonts w:ascii="Arial" w:eastAsia="Open Sans" w:hAnsi="Arial" w:cs="Arial"/>
                <w:sz w:val="24"/>
                <w:szCs w:val="24"/>
                <w:lang w:eastAsia="en-GB"/>
              </w:rPr>
              <w:t>with</w:t>
            </w:r>
            <w:proofErr w:type="spellEnd"/>
            <w:r w:rsidR="001418F0" w:rsidRPr="001418F0">
              <w:rPr>
                <w:rFonts w:ascii="Arial" w:eastAsia="Open Sans" w:hAnsi="Arial" w:cs="Arial"/>
                <w:sz w:val="24"/>
                <w:szCs w:val="24"/>
                <w:lang w:eastAsia="en-GB"/>
              </w:rPr>
              <w:t xml:space="preserve"> </w:t>
            </w:r>
            <w:proofErr w:type="spellStart"/>
            <w:r w:rsidR="001418F0" w:rsidRPr="001418F0">
              <w:rPr>
                <w:rFonts w:ascii="Arial" w:eastAsia="Open Sans" w:hAnsi="Arial" w:cs="Arial"/>
                <w:sz w:val="24"/>
                <w:szCs w:val="24"/>
                <w:lang w:eastAsia="en-GB"/>
              </w:rPr>
              <w:t>risks</w:t>
            </w:r>
            <w:proofErr w:type="spellEnd"/>
            <w:r w:rsidR="001418F0" w:rsidRPr="001418F0">
              <w:rPr>
                <w:rFonts w:ascii="Arial" w:eastAsia="Open Sans" w:hAnsi="Arial" w:cs="Arial"/>
                <w:sz w:val="24"/>
                <w:szCs w:val="24"/>
                <w:lang w:eastAsia="en-GB"/>
              </w:rPr>
              <w:t xml:space="preserve"> </w:t>
            </w:r>
            <w:proofErr w:type="spellStart"/>
            <w:r w:rsidR="001418F0" w:rsidRPr="001418F0">
              <w:rPr>
                <w:rFonts w:ascii="Arial" w:eastAsia="Open Sans" w:hAnsi="Arial" w:cs="Arial"/>
                <w:sz w:val="24"/>
                <w:szCs w:val="24"/>
                <w:lang w:eastAsia="en-GB"/>
              </w:rPr>
              <w:t>deemed</w:t>
            </w:r>
            <w:proofErr w:type="spellEnd"/>
            <w:r w:rsidR="001418F0" w:rsidRPr="001418F0">
              <w:rPr>
                <w:rFonts w:ascii="Arial" w:eastAsia="Open Sans" w:hAnsi="Arial" w:cs="Arial"/>
                <w:sz w:val="24"/>
                <w:szCs w:val="24"/>
                <w:lang w:eastAsia="en-GB"/>
              </w:rPr>
              <w:t xml:space="preserve"> excessive are </w:t>
            </w:r>
            <w:proofErr w:type="spellStart"/>
            <w:r w:rsidR="001418F0" w:rsidRPr="001418F0">
              <w:rPr>
                <w:rFonts w:ascii="Arial" w:eastAsia="Open Sans" w:hAnsi="Arial" w:cs="Arial"/>
                <w:sz w:val="24"/>
                <w:szCs w:val="24"/>
                <w:lang w:eastAsia="en-GB"/>
              </w:rPr>
              <w:t>excluded</w:t>
            </w:r>
            <w:proofErr w:type="spellEnd"/>
            <w:r w:rsidR="001418F0" w:rsidRPr="001418F0">
              <w:rPr>
                <w:rFonts w:ascii="Arial" w:eastAsia="Open Sans" w:hAnsi="Arial" w:cs="Arial"/>
                <w:sz w:val="24"/>
                <w:szCs w:val="24"/>
                <w:lang w:eastAsia="en-GB"/>
              </w:rPr>
              <w:t>.</w:t>
            </w:r>
          </w:p>
          <w:p w14:paraId="101381DE" w14:textId="67BDC5A7" w:rsidR="00F82131" w:rsidRPr="00F82131" w:rsidRDefault="00F82131" w:rsidP="00F82131">
            <w:pPr>
              <w:numPr>
                <w:ilvl w:val="0"/>
                <w:numId w:val="35"/>
              </w:numPr>
              <w:jc w:val="both"/>
              <w:rPr>
                <w:rFonts w:ascii="Arial" w:eastAsia="Open Sans" w:hAnsi="Arial" w:cs="Arial"/>
                <w:sz w:val="24"/>
                <w:szCs w:val="24"/>
                <w:lang w:val="en-US" w:eastAsia="en-GB"/>
              </w:rPr>
            </w:pPr>
            <w:r w:rsidRPr="00F82131">
              <w:rPr>
                <w:rFonts w:ascii="Arial" w:eastAsia="Open Sans" w:hAnsi="Arial" w:cs="Arial"/>
                <w:b/>
                <w:bCs/>
                <w:sz w:val="24"/>
                <w:szCs w:val="24"/>
                <w:lang w:val="en-US" w:eastAsia="en-GB"/>
              </w:rPr>
              <w:t>Active Engagement:</w:t>
            </w:r>
            <w:r w:rsidRPr="00F82131">
              <w:rPr>
                <w:rFonts w:ascii="Arial" w:eastAsia="Open Sans" w:hAnsi="Arial" w:cs="Arial"/>
                <w:sz w:val="24"/>
                <w:szCs w:val="24"/>
                <w:lang w:val="en-US" w:eastAsia="en-GB"/>
              </w:rPr>
              <w:t xml:space="preserve"> Influencing portfolio companies to adopt ESG-aligned strategies, especially within Private Equity.</w:t>
            </w:r>
            <w:r w:rsidR="00C4524B">
              <w:rPr>
                <w:rFonts w:ascii="Arial" w:eastAsia="Open Sans" w:hAnsi="Arial" w:cs="Arial"/>
                <w:sz w:val="24"/>
                <w:szCs w:val="24"/>
                <w:lang w:val="en-US" w:eastAsia="en-GB"/>
              </w:rPr>
              <w:t xml:space="preserve"> </w:t>
            </w:r>
            <w:r w:rsidR="007B223D">
              <w:rPr>
                <w:rFonts w:ascii="Arial" w:eastAsia="Open Sans" w:hAnsi="Arial" w:cs="Arial"/>
                <w:sz w:val="24"/>
                <w:szCs w:val="24"/>
                <w:lang w:val="en-US" w:eastAsia="en-GB"/>
              </w:rPr>
              <w:t xml:space="preserve">Through active engagement, the Fund encourages the investments to transition to ESG-aligned </w:t>
            </w:r>
            <w:r w:rsidR="00017F4D">
              <w:rPr>
                <w:rFonts w:ascii="Arial" w:eastAsia="Open Sans" w:hAnsi="Arial" w:cs="Arial"/>
                <w:sz w:val="24"/>
                <w:szCs w:val="24"/>
                <w:lang w:val="en-US" w:eastAsia="en-GB"/>
              </w:rPr>
              <w:t>opportunities.</w:t>
            </w:r>
            <w:r w:rsidR="001418F0">
              <w:rPr>
                <w:rFonts w:ascii="Arial" w:eastAsia="Open Sans" w:hAnsi="Arial" w:cs="Arial"/>
                <w:sz w:val="24"/>
                <w:szCs w:val="24"/>
                <w:lang w:val="en-US" w:eastAsia="en-GB"/>
              </w:rPr>
              <w:t xml:space="preserve"> </w:t>
            </w:r>
            <w:r w:rsidR="001418F0" w:rsidRPr="001418F0">
              <w:rPr>
                <w:rFonts w:ascii="Arial" w:eastAsia="Open Sans" w:hAnsi="Arial" w:cs="Arial"/>
                <w:sz w:val="24"/>
                <w:szCs w:val="24"/>
                <w:lang w:val="en-US" w:eastAsia="en-GB"/>
              </w:rPr>
              <w:t>This involves reiterating the importance of sustainability and setting clear data points for measuring progress on ESG objectives and PAIs. The emphasis on accurate disclosures ensures ongoing alignment with the Fund’s goals.</w:t>
            </w:r>
          </w:p>
          <w:p w14:paraId="4A9804A9" w14:textId="77777777" w:rsidR="005B3DB7" w:rsidRPr="00F012F1" w:rsidRDefault="005B3DB7" w:rsidP="0065264E">
            <w:pPr>
              <w:jc w:val="both"/>
              <w:rPr>
                <w:rFonts w:ascii="Arial" w:eastAsia="Open Sans" w:hAnsi="Arial" w:cs="Arial"/>
                <w:sz w:val="24"/>
                <w:szCs w:val="24"/>
                <w:lang w:val="en-US" w:eastAsia="en-GB"/>
              </w:rPr>
            </w:pPr>
          </w:p>
          <w:p w14:paraId="08EFED6A" w14:textId="77777777" w:rsidR="00D70F89" w:rsidRPr="00F012F1" w:rsidRDefault="00D70F89" w:rsidP="0065264E">
            <w:pPr>
              <w:jc w:val="both"/>
              <w:rPr>
                <w:rFonts w:ascii="Arial" w:eastAsia="Open Sans" w:hAnsi="Arial" w:cs="Arial"/>
                <w:sz w:val="24"/>
                <w:szCs w:val="24"/>
                <w:lang w:val="en-US" w:eastAsia="en-GB"/>
              </w:rPr>
            </w:pPr>
          </w:p>
        </w:tc>
      </w:tr>
      <w:tr w:rsidR="00CF6EC8" w:rsidRPr="00F012F1" w14:paraId="507499F9" w14:textId="77777777" w:rsidTr="0065264E">
        <w:tc>
          <w:tcPr>
            <w:tcW w:w="562" w:type="dxa"/>
          </w:tcPr>
          <w:p w14:paraId="73FBDC24" w14:textId="7DB509F0" w:rsidR="00CF6EC8" w:rsidRPr="00F012F1" w:rsidRDefault="00CF6EC8" w:rsidP="0065264E">
            <w:pPr>
              <w:rPr>
                <w:rFonts w:ascii="Arial" w:hAnsi="Arial" w:cs="Arial"/>
                <w:sz w:val="24"/>
                <w:szCs w:val="24"/>
                <w:lang w:val="en-US"/>
              </w:rPr>
            </w:pPr>
            <w:r w:rsidRPr="00F012F1">
              <w:rPr>
                <w:rFonts w:ascii="Arial" w:hAnsi="Arial" w:cs="Arial"/>
                <w:sz w:val="24"/>
                <w:szCs w:val="24"/>
                <w:lang w:val="en-US"/>
              </w:rPr>
              <w:lastRenderedPageBreak/>
              <w:t>E</w:t>
            </w:r>
          </w:p>
        </w:tc>
        <w:tc>
          <w:tcPr>
            <w:tcW w:w="10354" w:type="dxa"/>
          </w:tcPr>
          <w:p w14:paraId="20394764" w14:textId="46D159C8" w:rsidR="00CF6EC8" w:rsidRPr="00F012F1" w:rsidRDefault="00CF6EC8" w:rsidP="0065264E">
            <w:pPr>
              <w:rPr>
                <w:rFonts w:ascii="Arial" w:hAnsi="Arial" w:cs="Arial"/>
                <w:sz w:val="24"/>
                <w:szCs w:val="24"/>
                <w:u w:val="single"/>
                <w:lang w:val="en-US"/>
              </w:rPr>
            </w:pPr>
            <w:r w:rsidRPr="00F012F1">
              <w:rPr>
                <w:rFonts w:ascii="Arial" w:hAnsi="Arial" w:cs="Arial"/>
                <w:sz w:val="24"/>
                <w:szCs w:val="24"/>
                <w:u w:val="single"/>
                <w:lang w:val="en-US"/>
              </w:rPr>
              <w:t>PROPORTION OF INVESTMENTS</w:t>
            </w:r>
          </w:p>
        </w:tc>
      </w:tr>
      <w:tr w:rsidR="00CF6EC8" w:rsidRPr="000D3B78" w14:paraId="2430E5FA" w14:textId="77777777" w:rsidTr="0065264E">
        <w:tc>
          <w:tcPr>
            <w:tcW w:w="562" w:type="dxa"/>
          </w:tcPr>
          <w:p w14:paraId="2443CCB6" w14:textId="77777777" w:rsidR="00CF6EC8" w:rsidRPr="00F012F1" w:rsidRDefault="00CF6EC8" w:rsidP="0065264E">
            <w:pPr>
              <w:rPr>
                <w:rFonts w:ascii="Arial" w:hAnsi="Arial" w:cs="Arial"/>
                <w:sz w:val="24"/>
                <w:szCs w:val="24"/>
                <w:lang w:val="en-US"/>
              </w:rPr>
            </w:pPr>
          </w:p>
        </w:tc>
        <w:tc>
          <w:tcPr>
            <w:tcW w:w="10354" w:type="dxa"/>
          </w:tcPr>
          <w:p w14:paraId="411428A1" w14:textId="77777777" w:rsidR="00835B28" w:rsidRDefault="00835B28" w:rsidP="00835B28">
            <w:pPr>
              <w:rPr>
                <w:rFonts w:ascii="Arial" w:hAnsi="Arial" w:cs="Arial"/>
                <w:sz w:val="24"/>
                <w:szCs w:val="24"/>
                <w:lang w:val="en-US"/>
              </w:rPr>
            </w:pPr>
          </w:p>
          <w:p w14:paraId="5C3D136B" w14:textId="77777777" w:rsidR="001418F0" w:rsidRDefault="00835B28" w:rsidP="00835B28">
            <w:pPr>
              <w:rPr>
                <w:rFonts w:ascii="Arial" w:hAnsi="Arial" w:cs="Arial"/>
                <w:sz w:val="24"/>
                <w:szCs w:val="24"/>
                <w:lang w:val="en-US"/>
              </w:rPr>
            </w:pPr>
            <w:r w:rsidRPr="00835B28">
              <w:rPr>
                <w:rFonts w:ascii="Arial" w:hAnsi="Arial" w:cs="Arial"/>
                <w:sz w:val="24"/>
                <w:szCs w:val="24"/>
                <w:lang w:val="en-US"/>
              </w:rPr>
              <w:t>At least 85% of the Fund’s investments are aligned with its environmental and social characteristics, focusing on Real Estate, Private Equity, and Private Debt.</w:t>
            </w:r>
            <w:r w:rsidR="00C0180D">
              <w:rPr>
                <w:rFonts w:ascii="Arial" w:hAnsi="Arial" w:cs="Arial"/>
                <w:sz w:val="24"/>
                <w:szCs w:val="24"/>
                <w:lang w:val="en-US"/>
              </w:rPr>
              <w:t xml:space="preserve"> </w:t>
            </w:r>
          </w:p>
          <w:p w14:paraId="1CB888F7" w14:textId="25128344" w:rsidR="00835B28" w:rsidRPr="00835B28" w:rsidRDefault="00AE250A" w:rsidP="00835B28">
            <w:pPr>
              <w:rPr>
                <w:rFonts w:ascii="Arial" w:hAnsi="Arial" w:cs="Arial"/>
                <w:sz w:val="24"/>
                <w:szCs w:val="24"/>
                <w:lang w:val="en-US"/>
              </w:rPr>
            </w:pPr>
            <w:r>
              <w:rPr>
                <w:rFonts w:ascii="Arial" w:hAnsi="Arial" w:cs="Arial"/>
                <w:sz w:val="24"/>
                <w:szCs w:val="24"/>
                <w:lang w:val="en-US"/>
              </w:rPr>
              <w:t xml:space="preserve">These investments will adhere to certain environmental and social </w:t>
            </w:r>
            <w:proofErr w:type="gramStart"/>
            <w:r>
              <w:rPr>
                <w:rFonts w:ascii="Arial" w:hAnsi="Arial" w:cs="Arial"/>
                <w:sz w:val="24"/>
                <w:szCs w:val="24"/>
                <w:lang w:val="en-US"/>
              </w:rPr>
              <w:t>criteria</w:t>
            </w:r>
            <w:r w:rsidR="00063922">
              <w:rPr>
                <w:rFonts w:ascii="Arial" w:hAnsi="Arial" w:cs="Arial"/>
                <w:sz w:val="24"/>
                <w:szCs w:val="24"/>
                <w:lang w:val="en-US"/>
              </w:rPr>
              <w:t>,</w:t>
            </w:r>
            <w:proofErr w:type="gramEnd"/>
            <w:r w:rsidR="00063922">
              <w:rPr>
                <w:rFonts w:ascii="Arial" w:hAnsi="Arial" w:cs="Arial"/>
                <w:sz w:val="24"/>
                <w:szCs w:val="24"/>
                <w:lang w:val="en-US"/>
              </w:rPr>
              <w:t xml:space="preserve"> however, no investments will be classified as “sustainable investments”</w:t>
            </w:r>
            <w:r w:rsidR="00835B28" w:rsidRPr="00835B28">
              <w:rPr>
                <w:rFonts w:ascii="Arial" w:hAnsi="Arial" w:cs="Arial"/>
                <w:sz w:val="24"/>
                <w:szCs w:val="24"/>
                <w:lang w:val="en-US"/>
              </w:rPr>
              <w:t xml:space="preserve"> </w:t>
            </w:r>
            <w:r w:rsidR="001418F0">
              <w:rPr>
                <w:rFonts w:ascii="Arial" w:hAnsi="Arial" w:cs="Arial"/>
                <w:sz w:val="24"/>
                <w:szCs w:val="24"/>
                <w:lang w:val="en-US"/>
              </w:rPr>
              <w:t xml:space="preserve">as defined by SFDR regulations. </w:t>
            </w:r>
            <w:r w:rsidR="00835B28" w:rsidRPr="00835B28">
              <w:rPr>
                <w:rFonts w:ascii="Arial" w:hAnsi="Arial" w:cs="Arial"/>
                <w:sz w:val="24"/>
                <w:szCs w:val="24"/>
                <w:lang w:val="en-US"/>
              </w:rPr>
              <w:t>The remaining 15% is allocated to cash and cash equivalents or investments that meet basic values-based standards</w:t>
            </w:r>
            <w:r w:rsidR="001418F0">
              <w:rPr>
                <w:rFonts w:ascii="Arial" w:hAnsi="Arial" w:cs="Arial"/>
                <w:sz w:val="24"/>
                <w:szCs w:val="24"/>
                <w:lang w:val="en-US"/>
              </w:rPr>
              <w:t>, but that might not fully meet the Fund’s E/S criteria or where data collection in this regard is not possible due to lack of data or data quality</w:t>
            </w:r>
            <w:r w:rsidR="00835B28" w:rsidRPr="00835B28">
              <w:rPr>
                <w:rFonts w:ascii="Arial" w:hAnsi="Arial" w:cs="Arial"/>
                <w:sz w:val="24"/>
                <w:szCs w:val="24"/>
                <w:lang w:val="en-US"/>
              </w:rPr>
              <w:t>.</w:t>
            </w:r>
          </w:p>
          <w:p w14:paraId="665274C5" w14:textId="44F7A4FB" w:rsidR="00CF6EC8" w:rsidRPr="00F012F1" w:rsidRDefault="00CF6EC8" w:rsidP="0065264E">
            <w:pPr>
              <w:rPr>
                <w:rFonts w:ascii="Arial" w:hAnsi="Arial" w:cs="Arial"/>
                <w:sz w:val="24"/>
                <w:szCs w:val="24"/>
                <w:lang w:val="en-US"/>
              </w:rPr>
            </w:pPr>
          </w:p>
          <w:p w14:paraId="6B810600" w14:textId="77777777" w:rsidR="005B3DB7" w:rsidRPr="00F012F1" w:rsidRDefault="005B3DB7" w:rsidP="0065264E">
            <w:pPr>
              <w:rPr>
                <w:rFonts w:ascii="Arial" w:hAnsi="Arial" w:cs="Arial"/>
                <w:sz w:val="24"/>
                <w:szCs w:val="24"/>
                <w:lang w:val="en-US"/>
              </w:rPr>
            </w:pPr>
          </w:p>
          <w:p w14:paraId="58112121" w14:textId="686E30C9" w:rsidR="00CF6EC8" w:rsidRPr="00F012F1" w:rsidRDefault="00CF6EC8" w:rsidP="0065264E">
            <w:pPr>
              <w:rPr>
                <w:rFonts w:ascii="Arial" w:hAnsi="Arial" w:cs="Arial"/>
                <w:sz w:val="24"/>
                <w:szCs w:val="24"/>
                <w:u w:val="single"/>
                <w:lang w:val="en-US"/>
              </w:rPr>
            </w:pPr>
          </w:p>
        </w:tc>
      </w:tr>
      <w:tr w:rsidR="00F012F1" w:rsidRPr="000D3B78" w14:paraId="0B3A6238" w14:textId="77777777" w:rsidTr="0065264E">
        <w:tc>
          <w:tcPr>
            <w:tcW w:w="562" w:type="dxa"/>
          </w:tcPr>
          <w:p w14:paraId="2C0CCB38" w14:textId="254B43F6" w:rsidR="00D70F89" w:rsidRPr="00F012F1" w:rsidRDefault="00CF6EC8" w:rsidP="0065264E">
            <w:pPr>
              <w:rPr>
                <w:rFonts w:ascii="Arial" w:hAnsi="Arial" w:cs="Arial"/>
                <w:sz w:val="24"/>
                <w:szCs w:val="24"/>
                <w:lang w:val="en-US"/>
              </w:rPr>
            </w:pPr>
            <w:r w:rsidRPr="00F012F1">
              <w:rPr>
                <w:rFonts w:ascii="Arial" w:hAnsi="Arial" w:cs="Arial"/>
                <w:sz w:val="24"/>
                <w:szCs w:val="24"/>
                <w:lang w:val="en-US"/>
              </w:rPr>
              <w:t>F</w:t>
            </w:r>
          </w:p>
        </w:tc>
        <w:tc>
          <w:tcPr>
            <w:tcW w:w="10354" w:type="dxa"/>
          </w:tcPr>
          <w:p w14:paraId="01DCFCE3" w14:textId="77777777" w:rsidR="00D70F89" w:rsidRPr="00F012F1" w:rsidRDefault="00D70F89" w:rsidP="0065264E">
            <w:pPr>
              <w:rPr>
                <w:rFonts w:ascii="Arial" w:hAnsi="Arial" w:cs="Arial"/>
                <w:sz w:val="24"/>
                <w:szCs w:val="24"/>
                <w:u w:val="single"/>
                <w:lang w:val="en-US"/>
              </w:rPr>
            </w:pPr>
            <w:r w:rsidRPr="00F012F1">
              <w:rPr>
                <w:rFonts w:ascii="Arial" w:hAnsi="Arial" w:cs="Arial"/>
                <w:sz w:val="24"/>
                <w:szCs w:val="24"/>
                <w:u w:val="single"/>
                <w:lang w:val="en-US"/>
              </w:rPr>
              <w:t>MONITORING OF ENVIRONMENTAL OR SOCIAL CHARACTERISTICS</w:t>
            </w:r>
          </w:p>
          <w:p w14:paraId="15DE4644" w14:textId="77777777" w:rsidR="00D70F89" w:rsidRPr="00F012F1" w:rsidRDefault="00D70F89" w:rsidP="0065264E">
            <w:pPr>
              <w:rPr>
                <w:rFonts w:ascii="Arial" w:hAnsi="Arial" w:cs="Arial"/>
                <w:sz w:val="24"/>
                <w:szCs w:val="24"/>
                <w:u w:val="single"/>
                <w:lang w:val="en-US"/>
              </w:rPr>
            </w:pPr>
          </w:p>
        </w:tc>
      </w:tr>
      <w:tr w:rsidR="00F012F1" w:rsidRPr="000D3B78" w14:paraId="35E6AD23" w14:textId="77777777" w:rsidTr="0065264E">
        <w:tc>
          <w:tcPr>
            <w:tcW w:w="562" w:type="dxa"/>
          </w:tcPr>
          <w:p w14:paraId="59D6BBB5" w14:textId="77777777" w:rsidR="00D70F89" w:rsidRPr="00F012F1" w:rsidRDefault="00D70F89" w:rsidP="0065264E">
            <w:pPr>
              <w:rPr>
                <w:rFonts w:ascii="Arial" w:hAnsi="Arial" w:cs="Arial"/>
                <w:sz w:val="24"/>
                <w:szCs w:val="24"/>
                <w:lang w:val="en-US"/>
              </w:rPr>
            </w:pPr>
          </w:p>
        </w:tc>
        <w:tc>
          <w:tcPr>
            <w:tcW w:w="10354" w:type="dxa"/>
          </w:tcPr>
          <w:p w14:paraId="4EC558D3" w14:textId="4FD01F84" w:rsidR="00D70F89" w:rsidRPr="00F012F1" w:rsidRDefault="00D70F89" w:rsidP="0065264E">
            <w:pPr>
              <w:rPr>
                <w:rFonts w:ascii="Arial" w:hAnsi="Arial" w:cs="Arial"/>
                <w:sz w:val="24"/>
                <w:szCs w:val="24"/>
                <w:lang w:val="en-US"/>
              </w:rPr>
            </w:pPr>
          </w:p>
          <w:p w14:paraId="7657C0AE" w14:textId="3AF0D246" w:rsidR="00C22A6B" w:rsidRDefault="00C22A6B" w:rsidP="00BC1A37">
            <w:pPr>
              <w:rPr>
                <w:rFonts w:ascii="Arial" w:hAnsi="Arial" w:cs="Arial"/>
                <w:sz w:val="24"/>
                <w:szCs w:val="24"/>
                <w:lang w:val="en-US"/>
              </w:rPr>
            </w:pPr>
            <w:r>
              <w:rPr>
                <w:rFonts w:ascii="Arial" w:hAnsi="Arial" w:cs="Arial"/>
                <w:sz w:val="24"/>
                <w:szCs w:val="24"/>
                <w:lang w:val="en-US"/>
              </w:rPr>
              <w:t>The Fund will actively monitor ESG performance during the investment period and will use for this purpose qualitative and quantitative measures.</w:t>
            </w:r>
          </w:p>
          <w:p w14:paraId="3125B85B" w14:textId="77777777" w:rsidR="00C22A6B" w:rsidRDefault="00C22A6B" w:rsidP="00BC1A37">
            <w:pPr>
              <w:rPr>
                <w:rFonts w:ascii="Arial" w:hAnsi="Arial" w:cs="Arial"/>
                <w:sz w:val="24"/>
                <w:szCs w:val="24"/>
                <w:lang w:val="en-US"/>
              </w:rPr>
            </w:pPr>
          </w:p>
          <w:p w14:paraId="2972678D" w14:textId="2EB6AD5E" w:rsidR="00C22A6B" w:rsidRDefault="00C22A6B" w:rsidP="00BC1A37">
            <w:pPr>
              <w:rPr>
                <w:rFonts w:ascii="Arial" w:hAnsi="Arial" w:cs="Arial"/>
                <w:sz w:val="24"/>
                <w:szCs w:val="24"/>
                <w:lang w:val="en-US"/>
              </w:rPr>
            </w:pPr>
            <w:r>
              <w:rPr>
                <w:rFonts w:ascii="Arial" w:hAnsi="Arial" w:cs="Arial"/>
                <w:sz w:val="24"/>
                <w:szCs w:val="24"/>
                <w:lang w:val="en-US"/>
              </w:rPr>
              <w:t>T</w:t>
            </w:r>
            <w:r w:rsidRPr="00C22A6B">
              <w:rPr>
                <w:rFonts w:ascii="Arial" w:hAnsi="Arial" w:cs="Arial"/>
                <w:sz w:val="24"/>
                <w:szCs w:val="24"/>
                <w:lang w:val="en-US"/>
              </w:rPr>
              <w:t xml:space="preserve">he monitoring of these objectives is carried out by tracking the progression of the Principal Adverse Indicators (PAIs). Generally, </w:t>
            </w:r>
            <w:proofErr w:type="spellStart"/>
            <w:r w:rsidRPr="00C22A6B">
              <w:rPr>
                <w:rFonts w:ascii="Arial" w:hAnsi="Arial" w:cs="Arial"/>
                <w:sz w:val="24"/>
                <w:szCs w:val="24"/>
                <w:lang w:val="en-US"/>
              </w:rPr>
              <w:t>Capiva</w:t>
            </w:r>
            <w:proofErr w:type="spellEnd"/>
            <w:r w:rsidRPr="00C22A6B">
              <w:rPr>
                <w:rFonts w:ascii="Arial" w:hAnsi="Arial" w:cs="Arial"/>
                <w:sz w:val="24"/>
                <w:szCs w:val="24"/>
                <w:lang w:val="en-US"/>
              </w:rPr>
              <w:t xml:space="preserve"> Plus Fund aims to assess most of the PAIs, depending on the relevance and availability of the underlying data. </w:t>
            </w:r>
          </w:p>
          <w:p w14:paraId="589BE71C" w14:textId="77777777" w:rsidR="00C22A6B" w:rsidRDefault="00C22A6B" w:rsidP="00BC1A37">
            <w:pPr>
              <w:rPr>
                <w:rFonts w:ascii="Arial" w:hAnsi="Arial" w:cs="Arial"/>
                <w:sz w:val="24"/>
                <w:szCs w:val="24"/>
                <w:lang w:val="en-US"/>
              </w:rPr>
            </w:pPr>
          </w:p>
          <w:p w14:paraId="2351C6BA" w14:textId="16A574A3" w:rsidR="00BC1A37" w:rsidRPr="00BC1A37" w:rsidRDefault="00BC1A37" w:rsidP="00BC1A37">
            <w:pPr>
              <w:rPr>
                <w:rFonts w:ascii="Arial" w:hAnsi="Arial" w:cs="Arial"/>
                <w:sz w:val="24"/>
                <w:szCs w:val="24"/>
                <w:lang w:val="en-US"/>
              </w:rPr>
            </w:pPr>
            <w:r w:rsidRPr="00BC1A37">
              <w:rPr>
                <w:rFonts w:ascii="Arial" w:hAnsi="Arial" w:cs="Arial"/>
                <w:sz w:val="24"/>
                <w:szCs w:val="24"/>
                <w:lang w:val="en-US"/>
              </w:rPr>
              <w:t>The Fund continuously monitors the attainment of environmental and social characteristics through:</w:t>
            </w:r>
          </w:p>
          <w:p w14:paraId="13419D26" w14:textId="777C4B13" w:rsidR="00BC1A37" w:rsidRPr="00C22A6B" w:rsidRDefault="00BC1A37" w:rsidP="00C22A6B">
            <w:pPr>
              <w:numPr>
                <w:ilvl w:val="0"/>
                <w:numId w:val="36"/>
              </w:numPr>
              <w:rPr>
                <w:rFonts w:ascii="Arial" w:hAnsi="Arial" w:cs="Arial"/>
                <w:sz w:val="24"/>
                <w:szCs w:val="24"/>
                <w:lang w:val="en-GB"/>
              </w:rPr>
            </w:pPr>
            <w:r w:rsidRPr="00BC1A37">
              <w:rPr>
                <w:rFonts w:ascii="Arial" w:hAnsi="Arial" w:cs="Arial"/>
                <w:b/>
                <w:bCs/>
                <w:sz w:val="24"/>
                <w:szCs w:val="24"/>
                <w:lang w:val="en-US"/>
              </w:rPr>
              <w:t>Sustainability Indicators:</w:t>
            </w:r>
            <w:r w:rsidRPr="00BC1A37">
              <w:rPr>
                <w:rFonts w:ascii="Arial" w:hAnsi="Arial" w:cs="Arial"/>
                <w:sz w:val="24"/>
                <w:szCs w:val="24"/>
                <w:lang w:val="en-US"/>
              </w:rPr>
              <w:t xml:space="preserve"> Tracking metrics such as GHG emissions, energy consumption, and gender diversity.</w:t>
            </w:r>
            <w:r w:rsidR="00C22A6B">
              <w:rPr>
                <w:rFonts w:ascii="Arial" w:hAnsi="Arial" w:cs="Arial"/>
                <w:sz w:val="24"/>
                <w:szCs w:val="24"/>
                <w:lang w:val="en-US"/>
              </w:rPr>
              <w:t xml:space="preserve"> </w:t>
            </w:r>
            <w:proofErr w:type="gramStart"/>
            <w:r w:rsidR="00C22A6B">
              <w:rPr>
                <w:rFonts w:ascii="Arial" w:hAnsi="Arial" w:cs="Arial"/>
                <w:sz w:val="24"/>
                <w:szCs w:val="24"/>
                <w:lang w:val="en-US"/>
              </w:rPr>
              <w:t>For the purpose of</w:t>
            </w:r>
            <w:proofErr w:type="gramEnd"/>
            <w:r w:rsidR="00C22A6B">
              <w:rPr>
                <w:rFonts w:ascii="Arial" w:hAnsi="Arial" w:cs="Arial"/>
                <w:sz w:val="24"/>
                <w:szCs w:val="24"/>
                <w:lang w:val="en-US"/>
              </w:rPr>
              <w:t xml:space="preserve"> this data collection, </w:t>
            </w:r>
            <w:r w:rsidR="00C22A6B" w:rsidRPr="00C22A6B">
              <w:rPr>
                <w:rFonts w:ascii="Arial" w:hAnsi="Arial" w:cs="Arial"/>
                <w:sz w:val="24"/>
                <w:szCs w:val="24"/>
                <w:lang w:val="en-GB"/>
              </w:rPr>
              <w:t>Portfolio companies utilize a dedicated ESG software platform that enables them to report, monitor, and improve ESG performance in line with industry standards. This includes tracking emissions, energy consumption, and other key metrics. This will be used to monitor performance of port</w:t>
            </w:r>
            <w:r w:rsidR="00C22A6B">
              <w:rPr>
                <w:rFonts w:ascii="Arial" w:hAnsi="Arial" w:cs="Arial"/>
                <w:sz w:val="24"/>
                <w:szCs w:val="24"/>
                <w:lang w:val="en-GB"/>
              </w:rPr>
              <w:t>f</w:t>
            </w:r>
            <w:r w:rsidR="00C22A6B" w:rsidRPr="00C22A6B">
              <w:rPr>
                <w:rFonts w:ascii="Arial" w:hAnsi="Arial" w:cs="Arial"/>
                <w:sz w:val="24"/>
                <w:szCs w:val="24"/>
                <w:lang w:val="en-GB"/>
              </w:rPr>
              <w:t xml:space="preserve">olio on PAIs. </w:t>
            </w:r>
          </w:p>
          <w:p w14:paraId="5DA1D84B" w14:textId="7E4D6140" w:rsidR="00BC1A37" w:rsidRPr="00BC1A37" w:rsidRDefault="00BC1A37" w:rsidP="00BC1A37">
            <w:pPr>
              <w:numPr>
                <w:ilvl w:val="0"/>
                <w:numId w:val="36"/>
              </w:numPr>
              <w:rPr>
                <w:rFonts w:ascii="Arial" w:hAnsi="Arial" w:cs="Arial"/>
                <w:sz w:val="24"/>
                <w:szCs w:val="24"/>
                <w:lang w:val="en-US"/>
              </w:rPr>
            </w:pPr>
            <w:r w:rsidRPr="00BC1A37">
              <w:rPr>
                <w:rFonts w:ascii="Arial" w:hAnsi="Arial" w:cs="Arial"/>
                <w:b/>
                <w:bCs/>
                <w:sz w:val="24"/>
                <w:szCs w:val="24"/>
                <w:lang w:val="en-US"/>
              </w:rPr>
              <w:t>Regular Reporting:</w:t>
            </w:r>
            <w:r w:rsidRPr="00BC1A37">
              <w:rPr>
                <w:rFonts w:ascii="Arial" w:hAnsi="Arial" w:cs="Arial"/>
                <w:sz w:val="24"/>
                <w:szCs w:val="24"/>
                <w:lang w:val="en-US"/>
              </w:rPr>
              <w:t xml:space="preserve"> </w:t>
            </w:r>
            <w:r w:rsidR="00C22A6B">
              <w:rPr>
                <w:rFonts w:ascii="Arial" w:hAnsi="Arial" w:cs="Arial"/>
                <w:sz w:val="24"/>
                <w:szCs w:val="24"/>
                <w:lang w:val="en-US"/>
              </w:rPr>
              <w:t>The PAI-related data collection on the selected PAIs will be made available on an annual basis in the Quarterly Investor Reporting and in the audited financial report.</w:t>
            </w:r>
          </w:p>
          <w:p w14:paraId="7E55EBFB" w14:textId="77777777" w:rsidR="005B3DB7" w:rsidRPr="00F012F1" w:rsidRDefault="005B3DB7" w:rsidP="0065264E">
            <w:pPr>
              <w:rPr>
                <w:rFonts w:ascii="Arial" w:hAnsi="Arial" w:cs="Arial"/>
                <w:sz w:val="24"/>
                <w:szCs w:val="24"/>
                <w:lang w:val="en-US"/>
              </w:rPr>
            </w:pPr>
          </w:p>
          <w:p w14:paraId="06DBB620" w14:textId="53C01339" w:rsidR="00D70F89" w:rsidRPr="00F012F1" w:rsidRDefault="00D70F89" w:rsidP="00D70F89">
            <w:pPr>
              <w:rPr>
                <w:rFonts w:ascii="Arial" w:hAnsi="Arial" w:cs="Arial"/>
                <w:sz w:val="24"/>
                <w:szCs w:val="24"/>
                <w:lang w:val="en-US"/>
              </w:rPr>
            </w:pPr>
          </w:p>
        </w:tc>
      </w:tr>
      <w:tr w:rsidR="00F012F1" w:rsidRPr="00F012F1" w14:paraId="1586EFC3" w14:textId="77777777" w:rsidTr="0065264E">
        <w:tc>
          <w:tcPr>
            <w:tcW w:w="562" w:type="dxa"/>
          </w:tcPr>
          <w:p w14:paraId="6D8CE470" w14:textId="537AECF0" w:rsidR="00D70F89" w:rsidRPr="00F012F1" w:rsidRDefault="00CF6EC8" w:rsidP="0065264E">
            <w:pPr>
              <w:rPr>
                <w:rFonts w:ascii="Arial" w:hAnsi="Arial" w:cs="Arial"/>
                <w:sz w:val="24"/>
                <w:szCs w:val="24"/>
                <w:lang w:val="en-US"/>
              </w:rPr>
            </w:pPr>
            <w:r w:rsidRPr="00F012F1">
              <w:rPr>
                <w:rFonts w:ascii="Arial" w:hAnsi="Arial" w:cs="Arial"/>
                <w:sz w:val="24"/>
                <w:szCs w:val="24"/>
                <w:lang w:val="en-US"/>
              </w:rPr>
              <w:lastRenderedPageBreak/>
              <w:t>G</w:t>
            </w:r>
          </w:p>
        </w:tc>
        <w:tc>
          <w:tcPr>
            <w:tcW w:w="10354" w:type="dxa"/>
          </w:tcPr>
          <w:p w14:paraId="51249CE4" w14:textId="77777777" w:rsidR="00D70F89" w:rsidRPr="00F012F1" w:rsidRDefault="00D70F89" w:rsidP="0065264E">
            <w:pPr>
              <w:rPr>
                <w:rFonts w:ascii="Arial" w:hAnsi="Arial" w:cs="Arial"/>
                <w:sz w:val="24"/>
                <w:szCs w:val="24"/>
                <w:u w:val="single"/>
                <w:lang w:val="en-US"/>
              </w:rPr>
            </w:pPr>
            <w:r w:rsidRPr="00F012F1">
              <w:rPr>
                <w:rFonts w:ascii="Arial" w:hAnsi="Arial" w:cs="Arial"/>
                <w:sz w:val="24"/>
                <w:szCs w:val="24"/>
                <w:u w:val="single"/>
                <w:lang w:val="en-US"/>
              </w:rPr>
              <w:t xml:space="preserve">METHODOLOGIES </w:t>
            </w:r>
          </w:p>
          <w:p w14:paraId="04A3A894" w14:textId="77777777" w:rsidR="00D70F89" w:rsidRPr="00F012F1" w:rsidRDefault="00D70F89" w:rsidP="0065264E">
            <w:pPr>
              <w:rPr>
                <w:rFonts w:ascii="Arial" w:hAnsi="Arial" w:cs="Arial"/>
                <w:sz w:val="24"/>
                <w:szCs w:val="24"/>
                <w:u w:val="single"/>
                <w:lang w:val="en-US"/>
              </w:rPr>
            </w:pPr>
          </w:p>
        </w:tc>
      </w:tr>
      <w:tr w:rsidR="00F012F1" w:rsidRPr="000D3B78" w14:paraId="52B9DD6B" w14:textId="77777777" w:rsidTr="0065264E">
        <w:tc>
          <w:tcPr>
            <w:tcW w:w="562" w:type="dxa"/>
          </w:tcPr>
          <w:p w14:paraId="74A8D5F1" w14:textId="77777777" w:rsidR="00D70F89" w:rsidRPr="00F012F1" w:rsidRDefault="00D70F89" w:rsidP="0065264E">
            <w:pPr>
              <w:rPr>
                <w:rFonts w:ascii="Arial" w:hAnsi="Arial" w:cs="Arial"/>
                <w:sz w:val="24"/>
                <w:szCs w:val="24"/>
                <w:lang w:val="en-US"/>
              </w:rPr>
            </w:pPr>
          </w:p>
        </w:tc>
        <w:tc>
          <w:tcPr>
            <w:tcW w:w="10354" w:type="dxa"/>
          </w:tcPr>
          <w:p w14:paraId="0C24710B" w14:textId="414B0501" w:rsidR="00D70F89" w:rsidRPr="00F012F1" w:rsidRDefault="00D70F89" w:rsidP="0065264E">
            <w:pPr>
              <w:rPr>
                <w:rFonts w:ascii="Arial" w:hAnsi="Arial" w:cs="Arial"/>
                <w:sz w:val="24"/>
                <w:szCs w:val="24"/>
                <w:lang w:val="en-US"/>
              </w:rPr>
            </w:pPr>
          </w:p>
          <w:p w14:paraId="0AB06C56" w14:textId="77777777" w:rsidR="00C22A6B" w:rsidRDefault="00B150E1" w:rsidP="000C4C4A">
            <w:pPr>
              <w:rPr>
                <w:rFonts w:ascii="Arial" w:hAnsi="Arial" w:cs="Arial"/>
                <w:sz w:val="24"/>
                <w:szCs w:val="24"/>
                <w:lang w:val="en-US"/>
              </w:rPr>
            </w:pPr>
            <w:proofErr w:type="spellStart"/>
            <w:r>
              <w:rPr>
                <w:rFonts w:ascii="Arial" w:hAnsi="Arial" w:cs="Arial"/>
                <w:sz w:val="24"/>
                <w:szCs w:val="24"/>
                <w:lang w:val="en-US"/>
              </w:rPr>
              <w:t>Capiva</w:t>
            </w:r>
            <w:proofErr w:type="spellEnd"/>
            <w:r>
              <w:rPr>
                <w:rFonts w:ascii="Arial" w:hAnsi="Arial" w:cs="Arial"/>
                <w:sz w:val="24"/>
                <w:szCs w:val="24"/>
                <w:lang w:val="en-US"/>
              </w:rPr>
              <w:t xml:space="preserve"> Plus Fund </w:t>
            </w:r>
            <w:proofErr w:type="spellStart"/>
            <w:r>
              <w:rPr>
                <w:rFonts w:ascii="Arial" w:hAnsi="Arial" w:cs="Arial"/>
                <w:sz w:val="24"/>
                <w:szCs w:val="24"/>
                <w:lang w:val="en-US"/>
              </w:rPr>
              <w:t>SCSp</w:t>
            </w:r>
            <w:proofErr w:type="spellEnd"/>
            <w:r w:rsidR="000C4C4A" w:rsidRPr="000C4C4A">
              <w:rPr>
                <w:rFonts w:ascii="Arial" w:hAnsi="Arial" w:cs="Arial"/>
                <w:sz w:val="24"/>
                <w:szCs w:val="24"/>
                <w:lang w:val="en-US"/>
              </w:rPr>
              <w:t xml:space="preserve"> utilizes robust methodologies to measure ESG performance, including quantitative metrics (e.g., GHG emissions</w:t>
            </w:r>
            <w:r w:rsidR="000C4C4A">
              <w:rPr>
                <w:rFonts w:ascii="Arial" w:hAnsi="Arial" w:cs="Arial"/>
                <w:sz w:val="24"/>
                <w:szCs w:val="24"/>
                <w:lang w:val="en-US"/>
              </w:rPr>
              <w:t xml:space="preserve">, </w:t>
            </w:r>
            <w:r w:rsidR="004B3B14">
              <w:rPr>
                <w:rFonts w:ascii="Arial" w:hAnsi="Arial" w:cs="Arial"/>
                <w:sz w:val="24"/>
                <w:szCs w:val="24"/>
                <w:lang w:val="en-US"/>
              </w:rPr>
              <w:t>energy consumption…</w:t>
            </w:r>
            <w:r w:rsidR="000C4C4A" w:rsidRPr="000C4C4A">
              <w:rPr>
                <w:rFonts w:ascii="Arial" w:hAnsi="Arial" w:cs="Arial"/>
                <w:sz w:val="24"/>
                <w:szCs w:val="24"/>
                <w:lang w:val="en-US"/>
              </w:rPr>
              <w:t xml:space="preserve">) and qualitative assessments of governance and social practices. </w:t>
            </w:r>
          </w:p>
          <w:p w14:paraId="2D38CE13" w14:textId="4538B019" w:rsidR="00C22A6B" w:rsidRDefault="00C22A6B" w:rsidP="00C22A6B">
            <w:pPr>
              <w:rPr>
                <w:rFonts w:ascii="Arial" w:hAnsi="Arial" w:cs="Arial"/>
                <w:sz w:val="24"/>
                <w:szCs w:val="24"/>
                <w:lang w:val="en-US"/>
              </w:rPr>
            </w:pPr>
            <w:r>
              <w:rPr>
                <w:rFonts w:ascii="Arial" w:hAnsi="Arial" w:cs="Arial"/>
                <w:sz w:val="24"/>
                <w:szCs w:val="24"/>
                <w:lang w:val="en-US"/>
              </w:rPr>
              <w:t>T</w:t>
            </w:r>
            <w:r w:rsidRPr="00C22A6B">
              <w:rPr>
                <w:rFonts w:ascii="Arial" w:hAnsi="Arial" w:cs="Arial"/>
                <w:sz w:val="24"/>
                <w:szCs w:val="24"/>
                <w:lang w:val="en-US"/>
              </w:rPr>
              <w:t xml:space="preserve">he monitoring of </w:t>
            </w:r>
            <w:r>
              <w:rPr>
                <w:rFonts w:ascii="Arial" w:hAnsi="Arial" w:cs="Arial"/>
                <w:sz w:val="24"/>
                <w:szCs w:val="24"/>
                <w:lang w:val="en-US"/>
              </w:rPr>
              <w:t>ESG performance</w:t>
            </w:r>
            <w:r w:rsidRPr="00C22A6B">
              <w:rPr>
                <w:rFonts w:ascii="Arial" w:hAnsi="Arial" w:cs="Arial"/>
                <w:sz w:val="24"/>
                <w:szCs w:val="24"/>
                <w:lang w:val="en-US"/>
              </w:rPr>
              <w:t xml:space="preserve"> is carried out by tracking the progression of the Principal Adverse Indicators (PAIs). Generally, </w:t>
            </w:r>
            <w:proofErr w:type="spellStart"/>
            <w:r w:rsidRPr="00C22A6B">
              <w:rPr>
                <w:rFonts w:ascii="Arial" w:hAnsi="Arial" w:cs="Arial"/>
                <w:sz w:val="24"/>
                <w:szCs w:val="24"/>
                <w:lang w:val="en-US"/>
              </w:rPr>
              <w:t>Capiva</w:t>
            </w:r>
            <w:proofErr w:type="spellEnd"/>
            <w:r w:rsidRPr="00C22A6B">
              <w:rPr>
                <w:rFonts w:ascii="Arial" w:hAnsi="Arial" w:cs="Arial"/>
                <w:sz w:val="24"/>
                <w:szCs w:val="24"/>
                <w:lang w:val="en-US"/>
              </w:rPr>
              <w:t xml:space="preserve"> Plus Fund aims to assess most of the PAIs, depending on the relevance and availability of the underlying data. </w:t>
            </w:r>
          </w:p>
          <w:p w14:paraId="47D2F7D7" w14:textId="77777777" w:rsidR="00C22A6B" w:rsidRDefault="00C22A6B" w:rsidP="00C22A6B">
            <w:pPr>
              <w:rPr>
                <w:rFonts w:ascii="Arial" w:hAnsi="Arial" w:cs="Arial"/>
                <w:sz w:val="24"/>
                <w:szCs w:val="24"/>
                <w:lang w:val="en-US"/>
              </w:rPr>
            </w:pPr>
          </w:p>
          <w:p w14:paraId="188E17AB" w14:textId="01EDA90E" w:rsidR="00C22A6B" w:rsidRPr="00C22A6B" w:rsidRDefault="00C22A6B" w:rsidP="00C22A6B">
            <w:pPr>
              <w:rPr>
                <w:rFonts w:ascii="Arial" w:hAnsi="Arial" w:cs="Arial"/>
                <w:sz w:val="24"/>
                <w:szCs w:val="24"/>
                <w:lang w:val="en-US"/>
              </w:rPr>
            </w:pPr>
            <w:r>
              <w:rPr>
                <w:rFonts w:ascii="Arial" w:hAnsi="Arial" w:cs="Arial"/>
                <w:sz w:val="24"/>
                <w:szCs w:val="24"/>
                <w:lang w:val="en-US"/>
              </w:rPr>
              <w:t xml:space="preserve">The Fund will collect ESG-related data points through </w:t>
            </w:r>
            <w:proofErr w:type="gramStart"/>
            <w:r>
              <w:rPr>
                <w:rFonts w:ascii="Arial" w:hAnsi="Arial" w:cs="Arial"/>
                <w:sz w:val="24"/>
                <w:szCs w:val="24"/>
                <w:lang w:val="en-US"/>
              </w:rPr>
              <w:t>an</w:t>
            </w:r>
            <w:proofErr w:type="gramEnd"/>
            <w:r>
              <w:rPr>
                <w:rFonts w:ascii="Arial" w:hAnsi="Arial" w:cs="Arial"/>
                <w:sz w:val="24"/>
                <w:szCs w:val="24"/>
                <w:lang w:val="en-US"/>
              </w:rPr>
              <w:t xml:space="preserve"> specific ESG software platform </w:t>
            </w:r>
            <w:r w:rsidRPr="00C22A6B">
              <w:rPr>
                <w:rFonts w:ascii="Arial" w:hAnsi="Arial" w:cs="Arial"/>
                <w:sz w:val="24"/>
                <w:szCs w:val="24"/>
                <w:lang w:val="en-US"/>
              </w:rPr>
              <w:t>that enables them to report, monitor, and improve ESG performance in line with industry standards</w:t>
            </w:r>
            <w:r>
              <w:rPr>
                <w:rFonts w:ascii="Arial" w:hAnsi="Arial" w:cs="Arial"/>
                <w:sz w:val="24"/>
                <w:szCs w:val="24"/>
                <w:lang w:val="en-US"/>
              </w:rPr>
              <w:t>.</w:t>
            </w:r>
          </w:p>
          <w:p w14:paraId="6E36843A" w14:textId="66A72B02" w:rsidR="000C4C4A" w:rsidRPr="000C4C4A" w:rsidRDefault="000C4C4A" w:rsidP="000C4C4A">
            <w:pPr>
              <w:rPr>
                <w:rFonts w:ascii="Arial" w:hAnsi="Arial" w:cs="Arial"/>
                <w:sz w:val="24"/>
                <w:szCs w:val="24"/>
                <w:lang w:val="en-US"/>
              </w:rPr>
            </w:pPr>
            <w:r w:rsidRPr="000C4C4A">
              <w:rPr>
                <w:rFonts w:ascii="Arial" w:hAnsi="Arial" w:cs="Arial"/>
                <w:sz w:val="24"/>
                <w:szCs w:val="24"/>
                <w:lang w:val="en-US"/>
              </w:rPr>
              <w:t xml:space="preserve">The integration of these methodologies ensures consistency with the Fund’s </w:t>
            </w:r>
            <w:r w:rsidR="00C22A6B">
              <w:rPr>
                <w:rFonts w:ascii="Arial" w:hAnsi="Arial" w:cs="Arial"/>
                <w:sz w:val="24"/>
                <w:szCs w:val="24"/>
                <w:lang w:val="en-US"/>
              </w:rPr>
              <w:t xml:space="preserve">ESG </w:t>
            </w:r>
            <w:r w:rsidRPr="000C4C4A">
              <w:rPr>
                <w:rFonts w:ascii="Arial" w:hAnsi="Arial" w:cs="Arial"/>
                <w:sz w:val="24"/>
                <w:szCs w:val="24"/>
                <w:lang w:val="en-US"/>
              </w:rPr>
              <w:t>objectives.</w:t>
            </w:r>
          </w:p>
          <w:p w14:paraId="007264F7" w14:textId="77777777" w:rsidR="00C22A6B" w:rsidRPr="00F012F1" w:rsidRDefault="00C22A6B" w:rsidP="0065264E">
            <w:pPr>
              <w:rPr>
                <w:rFonts w:ascii="Arial" w:hAnsi="Arial" w:cs="Arial"/>
                <w:sz w:val="24"/>
                <w:szCs w:val="24"/>
                <w:lang w:val="en-US"/>
              </w:rPr>
            </w:pPr>
          </w:p>
          <w:p w14:paraId="6D117B73" w14:textId="77777777" w:rsidR="00D70F89" w:rsidRPr="00F012F1" w:rsidRDefault="00D70F89" w:rsidP="0065264E">
            <w:pPr>
              <w:rPr>
                <w:rFonts w:ascii="Arial" w:hAnsi="Arial" w:cs="Arial"/>
                <w:sz w:val="24"/>
                <w:szCs w:val="24"/>
                <w:lang w:val="en-US"/>
              </w:rPr>
            </w:pPr>
          </w:p>
        </w:tc>
      </w:tr>
      <w:tr w:rsidR="00F012F1" w:rsidRPr="00F012F1" w14:paraId="33687D3C" w14:textId="77777777" w:rsidTr="0065264E">
        <w:tc>
          <w:tcPr>
            <w:tcW w:w="562" w:type="dxa"/>
          </w:tcPr>
          <w:p w14:paraId="3F70286A" w14:textId="2DE09259" w:rsidR="00D70F89" w:rsidRPr="00F012F1" w:rsidRDefault="00CF6EC8" w:rsidP="0065264E">
            <w:pPr>
              <w:rPr>
                <w:rFonts w:ascii="Arial" w:hAnsi="Arial" w:cs="Arial"/>
                <w:sz w:val="24"/>
                <w:szCs w:val="24"/>
                <w:lang w:val="en-US"/>
              </w:rPr>
            </w:pPr>
            <w:r w:rsidRPr="00F012F1">
              <w:rPr>
                <w:rFonts w:ascii="Arial" w:hAnsi="Arial" w:cs="Arial"/>
                <w:sz w:val="24"/>
                <w:szCs w:val="24"/>
                <w:lang w:val="en-US"/>
              </w:rPr>
              <w:t>H</w:t>
            </w:r>
          </w:p>
        </w:tc>
        <w:tc>
          <w:tcPr>
            <w:tcW w:w="10354" w:type="dxa"/>
          </w:tcPr>
          <w:p w14:paraId="4CCB3C7B" w14:textId="77777777" w:rsidR="00D70F89" w:rsidRPr="00F012F1" w:rsidRDefault="00D70F89" w:rsidP="0065264E">
            <w:pPr>
              <w:rPr>
                <w:rFonts w:ascii="Arial" w:hAnsi="Arial" w:cs="Arial"/>
                <w:sz w:val="24"/>
                <w:szCs w:val="24"/>
                <w:u w:val="single"/>
                <w:lang w:val="en-US"/>
              </w:rPr>
            </w:pPr>
            <w:r w:rsidRPr="00F012F1">
              <w:rPr>
                <w:rFonts w:ascii="Arial" w:hAnsi="Arial" w:cs="Arial"/>
                <w:sz w:val="24"/>
                <w:szCs w:val="24"/>
                <w:u w:val="single"/>
                <w:lang w:val="en-US"/>
              </w:rPr>
              <w:t>DATA SOURCES AND PROCESSING</w:t>
            </w:r>
          </w:p>
          <w:p w14:paraId="2BDC0996" w14:textId="77777777" w:rsidR="00D70F89" w:rsidRPr="00F012F1" w:rsidRDefault="00D70F89" w:rsidP="0065264E">
            <w:pPr>
              <w:rPr>
                <w:rFonts w:ascii="Arial" w:hAnsi="Arial" w:cs="Arial"/>
                <w:sz w:val="24"/>
                <w:szCs w:val="24"/>
                <w:lang w:val="en-US"/>
              </w:rPr>
            </w:pPr>
          </w:p>
        </w:tc>
      </w:tr>
      <w:tr w:rsidR="00F012F1" w:rsidRPr="000D3B78" w14:paraId="186B3C8E" w14:textId="77777777" w:rsidTr="0065264E">
        <w:tc>
          <w:tcPr>
            <w:tcW w:w="562" w:type="dxa"/>
          </w:tcPr>
          <w:p w14:paraId="4A99340C" w14:textId="77777777" w:rsidR="00D70F89" w:rsidRPr="00F012F1" w:rsidRDefault="00D70F89" w:rsidP="0065264E">
            <w:pPr>
              <w:rPr>
                <w:rFonts w:ascii="Arial" w:hAnsi="Arial" w:cs="Arial"/>
                <w:sz w:val="24"/>
                <w:szCs w:val="24"/>
                <w:lang w:val="en-US"/>
              </w:rPr>
            </w:pPr>
          </w:p>
        </w:tc>
        <w:tc>
          <w:tcPr>
            <w:tcW w:w="10354" w:type="dxa"/>
          </w:tcPr>
          <w:p w14:paraId="4FFD3CD3" w14:textId="6AC5B22A" w:rsidR="00D70F89" w:rsidRPr="00B415BA" w:rsidRDefault="004144CB" w:rsidP="004144CB">
            <w:pPr>
              <w:jc w:val="both"/>
              <w:rPr>
                <w:rFonts w:ascii="Arial" w:hAnsi="Arial" w:cs="Arial"/>
                <w:sz w:val="24"/>
                <w:szCs w:val="24"/>
                <w:lang w:val="en-US"/>
              </w:rPr>
            </w:pPr>
            <w:r w:rsidRPr="00B415BA">
              <w:rPr>
                <w:rFonts w:ascii="Arial" w:hAnsi="Arial" w:cs="Arial"/>
                <w:sz w:val="24"/>
                <w:szCs w:val="24"/>
                <w:lang w:val="en-US"/>
              </w:rPr>
              <w:t xml:space="preserve">The Fund collects </w:t>
            </w:r>
            <w:r w:rsidR="00F313AB">
              <w:rPr>
                <w:rFonts w:ascii="Arial" w:hAnsi="Arial" w:cs="Arial"/>
                <w:sz w:val="24"/>
                <w:szCs w:val="24"/>
                <w:lang w:val="en-US"/>
              </w:rPr>
              <w:t xml:space="preserve">qualitative and quantitative </w:t>
            </w:r>
            <w:r w:rsidRPr="00B415BA">
              <w:rPr>
                <w:rFonts w:ascii="Arial" w:hAnsi="Arial" w:cs="Arial"/>
                <w:sz w:val="24"/>
                <w:szCs w:val="24"/>
                <w:lang w:val="en-US"/>
              </w:rPr>
              <w:t xml:space="preserve">data directly from investee companies through standardized </w:t>
            </w:r>
            <w:r w:rsidR="006B333F" w:rsidRPr="00B415BA">
              <w:rPr>
                <w:rFonts w:ascii="Arial" w:hAnsi="Arial" w:cs="Arial"/>
                <w:sz w:val="24"/>
                <w:szCs w:val="24"/>
                <w:lang w:val="en-US"/>
              </w:rPr>
              <w:t>questionnaires and ESG reporting platforms</w:t>
            </w:r>
            <w:r w:rsidR="00F313AB">
              <w:rPr>
                <w:rFonts w:ascii="Arial" w:hAnsi="Arial" w:cs="Arial"/>
                <w:sz w:val="24"/>
                <w:szCs w:val="24"/>
                <w:lang w:val="en-US"/>
              </w:rPr>
              <w:t xml:space="preserve"> that will collect information on their governance policies, relevant ESG factors and will help monitor ESG performance</w:t>
            </w:r>
            <w:r w:rsidR="006B333F" w:rsidRPr="00B415BA">
              <w:rPr>
                <w:rFonts w:ascii="Arial" w:hAnsi="Arial" w:cs="Arial"/>
                <w:sz w:val="24"/>
                <w:szCs w:val="24"/>
                <w:lang w:val="en-US"/>
              </w:rPr>
              <w:t>.</w:t>
            </w:r>
            <w:r w:rsidRPr="00B415BA">
              <w:rPr>
                <w:rFonts w:ascii="Arial" w:hAnsi="Arial" w:cs="Arial"/>
                <w:sz w:val="24"/>
                <w:szCs w:val="24"/>
                <w:lang w:val="en-US"/>
              </w:rPr>
              <w:t xml:space="preserve"> </w:t>
            </w:r>
            <w:r w:rsidR="006B333F" w:rsidRPr="00B415BA">
              <w:rPr>
                <w:rFonts w:ascii="Arial" w:hAnsi="Arial" w:cs="Arial"/>
                <w:sz w:val="24"/>
                <w:szCs w:val="24"/>
                <w:lang w:val="en-US"/>
              </w:rPr>
              <w:t xml:space="preserve">The Fund will also rely on publicly available information and information obtained by all parties. </w:t>
            </w:r>
          </w:p>
          <w:p w14:paraId="4D968C69" w14:textId="6897C76D" w:rsidR="00B415BA" w:rsidRDefault="006B333F" w:rsidP="00D70F89">
            <w:pPr>
              <w:jc w:val="both"/>
              <w:rPr>
                <w:rFonts w:ascii="Arial" w:hAnsi="Arial" w:cs="Arial"/>
                <w:sz w:val="24"/>
                <w:szCs w:val="24"/>
                <w:lang w:val="en-US"/>
              </w:rPr>
            </w:pPr>
            <w:r>
              <w:rPr>
                <w:rFonts w:ascii="Arial" w:hAnsi="Arial" w:cs="Arial"/>
                <w:sz w:val="24"/>
                <w:szCs w:val="24"/>
                <w:lang w:val="en-US"/>
              </w:rPr>
              <w:t>These data sources are used to assess the Fund’s environmental and social characteristics to ensure compliance with ESG objectives</w:t>
            </w:r>
            <w:r w:rsidR="00F313AB">
              <w:rPr>
                <w:rFonts w:ascii="Arial" w:hAnsi="Arial" w:cs="Arial"/>
                <w:sz w:val="24"/>
                <w:szCs w:val="24"/>
                <w:lang w:val="en-US"/>
              </w:rPr>
              <w:t xml:space="preserve"> by tracking aspects such as emissions, energy consumption and other key related metrics</w:t>
            </w:r>
            <w:r>
              <w:rPr>
                <w:rFonts w:ascii="Arial" w:hAnsi="Arial" w:cs="Arial"/>
                <w:sz w:val="24"/>
                <w:szCs w:val="24"/>
                <w:lang w:val="en-US"/>
              </w:rPr>
              <w:t>.</w:t>
            </w:r>
          </w:p>
          <w:p w14:paraId="333F5CC9" w14:textId="5AB73FE8" w:rsidR="005B3DB7" w:rsidRDefault="005B3DB7" w:rsidP="00D70F89">
            <w:pPr>
              <w:jc w:val="both"/>
              <w:rPr>
                <w:rFonts w:ascii="Arial" w:hAnsi="Arial" w:cs="Arial"/>
                <w:sz w:val="24"/>
                <w:szCs w:val="24"/>
                <w:lang w:val="en-US"/>
              </w:rPr>
            </w:pPr>
          </w:p>
          <w:p w14:paraId="7ACC9030" w14:textId="41137F3A" w:rsidR="00B415BA" w:rsidRDefault="00B415BA" w:rsidP="00D70F89">
            <w:pPr>
              <w:jc w:val="both"/>
              <w:rPr>
                <w:rFonts w:ascii="Arial" w:hAnsi="Arial" w:cs="Arial"/>
                <w:sz w:val="24"/>
                <w:szCs w:val="24"/>
                <w:lang w:val="en-US"/>
              </w:rPr>
            </w:pPr>
            <w:r>
              <w:rPr>
                <w:rFonts w:ascii="Arial" w:hAnsi="Arial" w:cs="Arial"/>
                <w:sz w:val="24"/>
                <w:szCs w:val="24"/>
                <w:lang w:val="en-US"/>
              </w:rPr>
              <w:t xml:space="preserve">The Fund is dependent mainly on the information provided by investee companies and even though, the Fund will actively support investee companies in the information sourcing processes, the Fund will not take responsibility for the accuracy of such </w:t>
            </w:r>
            <w:proofErr w:type="gramStart"/>
            <w:r>
              <w:rPr>
                <w:rFonts w:ascii="Arial" w:hAnsi="Arial" w:cs="Arial"/>
                <w:sz w:val="24"/>
                <w:szCs w:val="24"/>
                <w:lang w:val="en-US"/>
              </w:rPr>
              <w:t>information, but</w:t>
            </w:r>
            <w:proofErr w:type="gramEnd"/>
            <w:r>
              <w:rPr>
                <w:rFonts w:ascii="Arial" w:hAnsi="Arial" w:cs="Arial"/>
                <w:sz w:val="24"/>
                <w:szCs w:val="24"/>
                <w:lang w:val="en-US"/>
              </w:rPr>
              <w:t xml:space="preserve"> will actively try to ensure accuracy as much as possible by comparing the information against publicly available information and directly engaging with such companies. </w:t>
            </w:r>
          </w:p>
          <w:p w14:paraId="75B887F1" w14:textId="77777777" w:rsidR="00F313AB" w:rsidRDefault="00F313AB" w:rsidP="00D70F89">
            <w:pPr>
              <w:jc w:val="both"/>
              <w:rPr>
                <w:rFonts w:ascii="Arial" w:hAnsi="Arial" w:cs="Arial"/>
                <w:sz w:val="24"/>
                <w:szCs w:val="24"/>
                <w:lang w:val="en-US"/>
              </w:rPr>
            </w:pPr>
          </w:p>
          <w:p w14:paraId="29CADB34" w14:textId="5F35CFDB" w:rsidR="00F313AB" w:rsidRPr="00F012F1" w:rsidRDefault="00F313AB" w:rsidP="00D70F89">
            <w:pPr>
              <w:jc w:val="both"/>
              <w:rPr>
                <w:rFonts w:ascii="Arial" w:hAnsi="Arial" w:cs="Arial"/>
                <w:sz w:val="24"/>
                <w:szCs w:val="24"/>
                <w:lang w:val="en-US"/>
              </w:rPr>
            </w:pPr>
            <w:r>
              <w:rPr>
                <w:rFonts w:ascii="Arial" w:hAnsi="Arial" w:cs="Arial"/>
                <w:sz w:val="24"/>
                <w:szCs w:val="24"/>
                <w:lang w:val="en-US"/>
              </w:rPr>
              <w:t xml:space="preserve">The Fund will also make sure to reiterate the importance of sustainability and setting clear data points for measuring progress on ESG objectives and PAIs, this will </w:t>
            </w:r>
            <w:r w:rsidR="00CC11B5">
              <w:rPr>
                <w:rFonts w:ascii="Arial" w:hAnsi="Arial" w:cs="Arial"/>
                <w:sz w:val="24"/>
                <w:szCs w:val="24"/>
                <w:lang w:val="en-US"/>
              </w:rPr>
              <w:t>enable to</w:t>
            </w:r>
            <w:r>
              <w:rPr>
                <w:rFonts w:ascii="Arial" w:hAnsi="Arial" w:cs="Arial"/>
                <w:sz w:val="24"/>
                <w:szCs w:val="24"/>
                <w:lang w:val="en-US"/>
              </w:rPr>
              <w:t xml:space="preserve"> retrieve accurate data which will help ensure full alignment and compliance with the Fund’s environmental and social goals. </w:t>
            </w:r>
          </w:p>
          <w:p w14:paraId="281067CF" w14:textId="58DDCC8E" w:rsidR="00D70F89" w:rsidRPr="00F012F1" w:rsidRDefault="00D70F89" w:rsidP="00D70F89">
            <w:pPr>
              <w:jc w:val="both"/>
              <w:rPr>
                <w:rFonts w:ascii="Arial" w:hAnsi="Arial" w:cs="Arial"/>
                <w:sz w:val="24"/>
                <w:szCs w:val="24"/>
                <w:lang w:val="en-US"/>
              </w:rPr>
            </w:pPr>
          </w:p>
        </w:tc>
      </w:tr>
      <w:tr w:rsidR="00F012F1" w:rsidRPr="000D3B78" w14:paraId="73EE36D7" w14:textId="77777777" w:rsidTr="0065264E">
        <w:tc>
          <w:tcPr>
            <w:tcW w:w="562" w:type="dxa"/>
          </w:tcPr>
          <w:p w14:paraId="24ACB323" w14:textId="3E020ED9" w:rsidR="00CF6EC8" w:rsidRPr="00F012F1" w:rsidRDefault="00CF6EC8" w:rsidP="0065264E">
            <w:pPr>
              <w:rPr>
                <w:rFonts w:ascii="Arial" w:hAnsi="Arial" w:cs="Arial"/>
                <w:sz w:val="24"/>
                <w:szCs w:val="24"/>
                <w:lang w:val="en-US"/>
              </w:rPr>
            </w:pPr>
            <w:r w:rsidRPr="00F012F1">
              <w:rPr>
                <w:rFonts w:ascii="Arial" w:hAnsi="Arial" w:cs="Arial"/>
                <w:sz w:val="24"/>
                <w:szCs w:val="24"/>
                <w:lang w:val="en-US"/>
              </w:rPr>
              <w:t>I</w:t>
            </w:r>
          </w:p>
        </w:tc>
        <w:tc>
          <w:tcPr>
            <w:tcW w:w="10354" w:type="dxa"/>
          </w:tcPr>
          <w:p w14:paraId="1060FD9D" w14:textId="42C3FB7A" w:rsidR="00CF6EC8" w:rsidRPr="00F012F1" w:rsidRDefault="00CF6EC8" w:rsidP="0065264E">
            <w:pPr>
              <w:rPr>
                <w:rFonts w:ascii="Arial" w:hAnsi="Arial" w:cs="Arial"/>
                <w:sz w:val="24"/>
                <w:szCs w:val="24"/>
                <w:u w:val="single"/>
                <w:lang w:val="en-US"/>
              </w:rPr>
            </w:pPr>
            <w:r w:rsidRPr="00F012F1">
              <w:rPr>
                <w:rFonts w:ascii="Arial" w:hAnsi="Arial" w:cs="Arial"/>
                <w:sz w:val="24"/>
                <w:szCs w:val="24"/>
                <w:u w:val="single"/>
                <w:lang w:val="en-US"/>
              </w:rPr>
              <w:t>LIMITATIONS TO METHODOLOGIES AND DATA</w:t>
            </w:r>
          </w:p>
        </w:tc>
      </w:tr>
      <w:tr w:rsidR="00F012F1" w:rsidRPr="000D3B78" w14:paraId="61741979" w14:textId="77777777" w:rsidTr="0065264E">
        <w:tc>
          <w:tcPr>
            <w:tcW w:w="562" w:type="dxa"/>
          </w:tcPr>
          <w:p w14:paraId="14BAC8E6" w14:textId="77777777" w:rsidR="00CF6EC8" w:rsidRPr="00F012F1" w:rsidRDefault="00CF6EC8" w:rsidP="0065264E">
            <w:pPr>
              <w:rPr>
                <w:rFonts w:ascii="Arial" w:hAnsi="Arial" w:cs="Arial"/>
                <w:sz w:val="24"/>
                <w:szCs w:val="24"/>
                <w:lang w:val="en-US"/>
              </w:rPr>
            </w:pPr>
          </w:p>
        </w:tc>
        <w:tc>
          <w:tcPr>
            <w:tcW w:w="10354" w:type="dxa"/>
          </w:tcPr>
          <w:p w14:paraId="741EB8C0" w14:textId="091556A3" w:rsidR="00CF6EC8" w:rsidRDefault="00732DAC" w:rsidP="00CF6EC8">
            <w:pPr>
              <w:jc w:val="both"/>
              <w:rPr>
                <w:rFonts w:ascii="Arial" w:hAnsi="Arial" w:cs="Arial"/>
                <w:sz w:val="24"/>
                <w:szCs w:val="24"/>
                <w:lang w:val="en-US"/>
              </w:rPr>
            </w:pPr>
            <w:r w:rsidRPr="00732DAC">
              <w:rPr>
                <w:rFonts w:ascii="Arial" w:hAnsi="Arial" w:cs="Arial"/>
                <w:sz w:val="24"/>
                <w:szCs w:val="24"/>
                <w:lang w:val="en-US"/>
              </w:rPr>
              <w:t>While the Fund strives for accuracy, limitations may arise from incomplete data or varying ESG standards across sectors. Such limitations are mitigated by applying conservative assumptions and prioritizing transparency in reporting.</w:t>
            </w:r>
          </w:p>
          <w:p w14:paraId="1F4E2D2B" w14:textId="681289FC" w:rsidR="00CC11B5" w:rsidRPr="00F012F1" w:rsidRDefault="00CC11B5" w:rsidP="00CF6EC8">
            <w:pPr>
              <w:jc w:val="both"/>
              <w:rPr>
                <w:rFonts w:ascii="Arial" w:hAnsi="Arial" w:cs="Arial"/>
                <w:sz w:val="24"/>
                <w:szCs w:val="24"/>
                <w:lang w:val="en-US"/>
              </w:rPr>
            </w:pPr>
            <w:r>
              <w:rPr>
                <w:rFonts w:ascii="Arial" w:hAnsi="Arial" w:cs="Arial"/>
                <w:sz w:val="24"/>
                <w:szCs w:val="24"/>
                <w:lang w:val="en-US"/>
              </w:rPr>
              <w:t>The Fund will also make sure to reiterate the importance of sustainability and setting clear data points for measuring progress on ESG objectives and PAIs.</w:t>
            </w:r>
          </w:p>
          <w:p w14:paraId="7F28E16A" w14:textId="77777777" w:rsidR="005B3DB7" w:rsidRPr="00F012F1" w:rsidRDefault="005B3DB7" w:rsidP="00CF6EC8">
            <w:pPr>
              <w:jc w:val="both"/>
              <w:rPr>
                <w:rFonts w:ascii="Arial" w:hAnsi="Arial" w:cs="Arial"/>
                <w:sz w:val="24"/>
                <w:szCs w:val="24"/>
                <w:lang w:val="en-US"/>
              </w:rPr>
            </w:pPr>
          </w:p>
          <w:p w14:paraId="5CB9DD85" w14:textId="7393472F" w:rsidR="00CF6EC8" w:rsidRPr="00F012F1" w:rsidRDefault="00CF6EC8" w:rsidP="0065264E">
            <w:pPr>
              <w:rPr>
                <w:rFonts w:ascii="Arial" w:hAnsi="Arial" w:cs="Arial"/>
                <w:sz w:val="24"/>
                <w:szCs w:val="24"/>
                <w:u w:val="single"/>
                <w:lang w:val="en-US"/>
              </w:rPr>
            </w:pPr>
          </w:p>
        </w:tc>
      </w:tr>
      <w:tr w:rsidR="00B85C60" w:rsidRPr="00F012F1" w14:paraId="51ACD40B" w14:textId="77777777" w:rsidTr="0065264E">
        <w:tc>
          <w:tcPr>
            <w:tcW w:w="562" w:type="dxa"/>
          </w:tcPr>
          <w:p w14:paraId="15078D36" w14:textId="65A88E5C" w:rsidR="00B85C60" w:rsidRPr="00F012F1" w:rsidRDefault="00815EB9" w:rsidP="0065264E">
            <w:pPr>
              <w:rPr>
                <w:rFonts w:ascii="Arial" w:hAnsi="Arial" w:cs="Arial"/>
                <w:sz w:val="24"/>
                <w:szCs w:val="24"/>
                <w:lang w:val="en-US"/>
              </w:rPr>
            </w:pPr>
            <w:r>
              <w:rPr>
                <w:rFonts w:ascii="Arial" w:hAnsi="Arial" w:cs="Arial"/>
                <w:sz w:val="24"/>
                <w:szCs w:val="24"/>
                <w:lang w:val="en-US"/>
              </w:rPr>
              <w:t>J</w:t>
            </w:r>
          </w:p>
        </w:tc>
        <w:tc>
          <w:tcPr>
            <w:tcW w:w="10354" w:type="dxa"/>
          </w:tcPr>
          <w:p w14:paraId="5DC10A16" w14:textId="5686EE35" w:rsidR="00B85C60" w:rsidRPr="00F012F1" w:rsidRDefault="00B85C60" w:rsidP="0065264E">
            <w:pPr>
              <w:rPr>
                <w:rFonts w:ascii="Arial" w:hAnsi="Arial" w:cs="Arial"/>
                <w:sz w:val="24"/>
                <w:szCs w:val="24"/>
                <w:u w:val="single"/>
                <w:lang w:val="en-US"/>
              </w:rPr>
            </w:pPr>
            <w:r w:rsidRPr="00F012F1">
              <w:rPr>
                <w:rFonts w:ascii="Arial" w:hAnsi="Arial" w:cs="Arial"/>
                <w:sz w:val="24"/>
                <w:szCs w:val="24"/>
                <w:u w:val="single"/>
                <w:lang w:val="en-US"/>
              </w:rPr>
              <w:t>DUE DILIGENCE</w:t>
            </w:r>
          </w:p>
        </w:tc>
      </w:tr>
      <w:tr w:rsidR="00B85C60" w:rsidRPr="000D3B78" w14:paraId="34D19BD0" w14:textId="77777777" w:rsidTr="0065264E">
        <w:tc>
          <w:tcPr>
            <w:tcW w:w="562" w:type="dxa"/>
          </w:tcPr>
          <w:p w14:paraId="6E4F92F8" w14:textId="77777777" w:rsidR="00B85C60" w:rsidRPr="00F012F1" w:rsidRDefault="00B85C60" w:rsidP="0065264E">
            <w:pPr>
              <w:rPr>
                <w:rFonts w:ascii="Arial" w:hAnsi="Arial" w:cs="Arial"/>
                <w:sz w:val="24"/>
                <w:szCs w:val="24"/>
                <w:lang w:val="en-US"/>
              </w:rPr>
            </w:pPr>
          </w:p>
        </w:tc>
        <w:tc>
          <w:tcPr>
            <w:tcW w:w="10354" w:type="dxa"/>
          </w:tcPr>
          <w:p w14:paraId="5F392556" w14:textId="77777777" w:rsidR="00026FAD" w:rsidRPr="00026FAD" w:rsidRDefault="00026FAD" w:rsidP="00026FAD">
            <w:pPr>
              <w:rPr>
                <w:rFonts w:ascii="Arial" w:hAnsi="Arial" w:cs="Arial"/>
                <w:sz w:val="24"/>
                <w:szCs w:val="24"/>
                <w:lang w:val="en-US"/>
              </w:rPr>
            </w:pPr>
            <w:r w:rsidRPr="00026FAD">
              <w:rPr>
                <w:rFonts w:ascii="Arial" w:hAnsi="Arial" w:cs="Arial"/>
                <w:sz w:val="24"/>
                <w:szCs w:val="24"/>
                <w:lang w:val="en-US"/>
              </w:rPr>
              <w:t>The Fund’s due diligence includes:</w:t>
            </w:r>
          </w:p>
          <w:p w14:paraId="2E5A489B" w14:textId="2407F680" w:rsidR="00026FAD" w:rsidRPr="00026FAD" w:rsidRDefault="00026FAD" w:rsidP="00026FAD">
            <w:pPr>
              <w:numPr>
                <w:ilvl w:val="0"/>
                <w:numId w:val="38"/>
              </w:numPr>
              <w:rPr>
                <w:rFonts w:ascii="Arial" w:hAnsi="Arial" w:cs="Arial"/>
                <w:sz w:val="24"/>
                <w:szCs w:val="24"/>
                <w:lang w:val="en-US"/>
              </w:rPr>
            </w:pPr>
            <w:r w:rsidRPr="00026FAD">
              <w:rPr>
                <w:rFonts w:ascii="Arial" w:hAnsi="Arial" w:cs="Arial"/>
                <w:b/>
                <w:bCs/>
                <w:sz w:val="24"/>
                <w:szCs w:val="24"/>
                <w:lang w:val="en-US"/>
              </w:rPr>
              <w:lastRenderedPageBreak/>
              <w:t>Pre-Investment Screening:</w:t>
            </w:r>
            <w:r w:rsidRPr="00026FAD">
              <w:rPr>
                <w:rFonts w:ascii="Arial" w:hAnsi="Arial" w:cs="Arial"/>
                <w:sz w:val="24"/>
                <w:szCs w:val="24"/>
                <w:lang w:val="en-US"/>
              </w:rPr>
              <w:t xml:space="preserve"> </w:t>
            </w:r>
            <w:r w:rsidR="00A8314E">
              <w:rPr>
                <w:rFonts w:ascii="Arial" w:hAnsi="Arial" w:cs="Arial"/>
                <w:sz w:val="24"/>
                <w:szCs w:val="24"/>
                <w:lang w:val="en-US"/>
              </w:rPr>
              <w:t>the Fund will screen potential investment opportunities against industries and activities included in the exclusion list and will avoid investments in such sectors or industries.</w:t>
            </w:r>
          </w:p>
          <w:p w14:paraId="58A03F85" w14:textId="06F89C12" w:rsidR="00026FAD" w:rsidRDefault="00A8314E" w:rsidP="00026FAD">
            <w:pPr>
              <w:numPr>
                <w:ilvl w:val="0"/>
                <w:numId w:val="38"/>
              </w:numPr>
              <w:rPr>
                <w:rFonts w:ascii="Arial" w:hAnsi="Arial" w:cs="Arial"/>
                <w:sz w:val="24"/>
                <w:szCs w:val="24"/>
                <w:lang w:val="en-US"/>
              </w:rPr>
            </w:pPr>
            <w:r>
              <w:rPr>
                <w:rFonts w:ascii="Arial" w:hAnsi="Arial" w:cs="Arial"/>
                <w:b/>
                <w:bCs/>
                <w:sz w:val="24"/>
                <w:szCs w:val="24"/>
                <w:lang w:val="en-US"/>
              </w:rPr>
              <w:t>Risk Assessment</w:t>
            </w:r>
            <w:r w:rsidR="00026FAD" w:rsidRPr="00026FAD">
              <w:rPr>
                <w:rFonts w:ascii="Arial" w:hAnsi="Arial" w:cs="Arial"/>
                <w:b/>
                <w:bCs/>
                <w:sz w:val="24"/>
                <w:szCs w:val="24"/>
                <w:lang w:val="en-US"/>
              </w:rPr>
              <w:t>:</w:t>
            </w:r>
            <w:r w:rsidR="00026FAD" w:rsidRPr="00026FAD">
              <w:rPr>
                <w:rFonts w:ascii="Arial" w:hAnsi="Arial" w:cs="Arial"/>
                <w:sz w:val="24"/>
                <w:szCs w:val="24"/>
                <w:lang w:val="en-US"/>
              </w:rPr>
              <w:t xml:space="preserve"> </w:t>
            </w:r>
            <w:r>
              <w:rPr>
                <w:rFonts w:ascii="Arial" w:hAnsi="Arial" w:cs="Arial"/>
                <w:sz w:val="24"/>
                <w:szCs w:val="24"/>
                <w:lang w:val="en-US"/>
              </w:rPr>
              <w:t>an ESG evaluation will be carried out on all potential investments to identify any material sustainability risks. If any risks are identified in the process, the Fund will analyze any mitigation measures where the opportunity aligns with evolving environmental and social priorities. If risks are deemed excessive, the investment will be excluded.</w:t>
            </w:r>
          </w:p>
          <w:p w14:paraId="26BA51F0" w14:textId="0941D0AC" w:rsidR="00A8314E" w:rsidRPr="00A8314E" w:rsidRDefault="00A8314E" w:rsidP="00A8314E">
            <w:pPr>
              <w:ind w:left="720"/>
              <w:rPr>
                <w:rFonts w:ascii="Arial" w:hAnsi="Arial" w:cs="Arial"/>
                <w:sz w:val="24"/>
                <w:szCs w:val="24"/>
                <w:lang w:val="en-US"/>
              </w:rPr>
            </w:pPr>
            <w:r w:rsidRPr="00A8314E">
              <w:rPr>
                <w:rFonts w:ascii="Arial" w:hAnsi="Arial" w:cs="Arial"/>
                <w:sz w:val="24"/>
                <w:szCs w:val="24"/>
                <w:lang w:val="en-US"/>
              </w:rPr>
              <w:t>The Fund will also send out an initial ESG questionnaire to target investments and will gather relevant information on governance policies and other relevant ESG factors.</w:t>
            </w:r>
          </w:p>
          <w:p w14:paraId="20EF4BBC" w14:textId="6B6291F7" w:rsidR="005B3DB7" w:rsidRPr="00B415BA" w:rsidRDefault="00026FAD" w:rsidP="0065264E">
            <w:pPr>
              <w:numPr>
                <w:ilvl w:val="0"/>
                <w:numId w:val="38"/>
              </w:numPr>
              <w:rPr>
                <w:rFonts w:ascii="Arial" w:hAnsi="Arial" w:cs="Arial"/>
                <w:sz w:val="24"/>
                <w:szCs w:val="24"/>
                <w:lang w:val="en-US"/>
              </w:rPr>
            </w:pPr>
            <w:r w:rsidRPr="00026FAD">
              <w:rPr>
                <w:rFonts w:ascii="Arial" w:hAnsi="Arial" w:cs="Arial"/>
                <w:b/>
                <w:bCs/>
                <w:sz w:val="24"/>
                <w:szCs w:val="24"/>
                <w:lang w:val="en-US"/>
              </w:rPr>
              <w:t>Ongoing Monitoring:</w:t>
            </w:r>
            <w:r w:rsidRPr="00026FAD">
              <w:rPr>
                <w:rFonts w:ascii="Arial" w:hAnsi="Arial" w:cs="Arial"/>
                <w:sz w:val="24"/>
                <w:szCs w:val="24"/>
                <w:lang w:val="en-US"/>
              </w:rPr>
              <w:t xml:space="preserve"> </w:t>
            </w:r>
            <w:r w:rsidR="00A8314E">
              <w:rPr>
                <w:rFonts w:ascii="Arial" w:hAnsi="Arial" w:cs="Arial"/>
                <w:sz w:val="24"/>
                <w:szCs w:val="24"/>
                <w:lang w:val="en-US"/>
              </w:rPr>
              <w:t xml:space="preserve">The Fund will actively engage with investee companies and will carry out regular data collection exercises. This data collection will be carried out through a ESG software platform that enables them to </w:t>
            </w:r>
            <w:r w:rsidR="00A8314E" w:rsidRPr="00A8314E">
              <w:rPr>
                <w:rFonts w:ascii="Arial" w:hAnsi="Arial" w:cs="Arial"/>
                <w:sz w:val="24"/>
                <w:szCs w:val="24"/>
                <w:lang w:val="en-US"/>
              </w:rPr>
              <w:t xml:space="preserve">report, monitor, and improve ESG performance in line with industry standards. This includes tracking emissions, energy consumption, and other key metrics. This will be used to monitor performance of </w:t>
            </w:r>
            <w:proofErr w:type="spellStart"/>
            <w:r w:rsidR="00A8314E" w:rsidRPr="00A8314E">
              <w:rPr>
                <w:rFonts w:ascii="Arial" w:hAnsi="Arial" w:cs="Arial"/>
                <w:sz w:val="24"/>
                <w:szCs w:val="24"/>
                <w:lang w:val="en-US"/>
              </w:rPr>
              <w:t>portolio</w:t>
            </w:r>
            <w:proofErr w:type="spellEnd"/>
            <w:r w:rsidR="00A8314E" w:rsidRPr="00A8314E">
              <w:rPr>
                <w:rFonts w:ascii="Arial" w:hAnsi="Arial" w:cs="Arial"/>
                <w:sz w:val="24"/>
                <w:szCs w:val="24"/>
                <w:lang w:val="en-US"/>
              </w:rPr>
              <w:t xml:space="preserve"> on PAIs.</w:t>
            </w:r>
          </w:p>
          <w:p w14:paraId="7DC62049" w14:textId="116D4E49" w:rsidR="00B85C60" w:rsidRPr="00F012F1" w:rsidRDefault="00B85C60" w:rsidP="0065264E">
            <w:pPr>
              <w:rPr>
                <w:rFonts w:ascii="Arial" w:hAnsi="Arial" w:cs="Arial"/>
                <w:sz w:val="24"/>
                <w:szCs w:val="24"/>
                <w:u w:val="single"/>
                <w:lang w:val="en-US"/>
              </w:rPr>
            </w:pPr>
          </w:p>
        </w:tc>
      </w:tr>
      <w:tr w:rsidR="00B85C60" w:rsidRPr="00F012F1" w14:paraId="7B752811" w14:textId="77777777" w:rsidTr="0065264E">
        <w:tc>
          <w:tcPr>
            <w:tcW w:w="562" w:type="dxa"/>
          </w:tcPr>
          <w:p w14:paraId="61564FF7" w14:textId="0E6A4075" w:rsidR="00B85C60" w:rsidRPr="00F012F1" w:rsidRDefault="00815EB9" w:rsidP="0065264E">
            <w:pPr>
              <w:rPr>
                <w:rFonts w:ascii="Arial" w:hAnsi="Arial" w:cs="Arial"/>
                <w:sz w:val="24"/>
                <w:szCs w:val="24"/>
                <w:lang w:val="en-US"/>
              </w:rPr>
            </w:pPr>
            <w:r>
              <w:rPr>
                <w:rFonts w:ascii="Arial" w:hAnsi="Arial" w:cs="Arial"/>
                <w:sz w:val="24"/>
                <w:szCs w:val="24"/>
                <w:lang w:val="en-US"/>
              </w:rPr>
              <w:lastRenderedPageBreak/>
              <w:t>K</w:t>
            </w:r>
          </w:p>
        </w:tc>
        <w:tc>
          <w:tcPr>
            <w:tcW w:w="10354" w:type="dxa"/>
          </w:tcPr>
          <w:p w14:paraId="4746A001" w14:textId="5CC69CE6" w:rsidR="00B85C60" w:rsidRPr="00F012F1" w:rsidRDefault="00B85C60" w:rsidP="0065264E">
            <w:pPr>
              <w:rPr>
                <w:rFonts w:ascii="Arial" w:hAnsi="Arial" w:cs="Arial"/>
                <w:sz w:val="24"/>
                <w:szCs w:val="24"/>
                <w:u w:val="single"/>
                <w:lang w:val="en-US"/>
              </w:rPr>
            </w:pPr>
            <w:r w:rsidRPr="00F012F1">
              <w:rPr>
                <w:rFonts w:ascii="Arial" w:hAnsi="Arial" w:cs="Arial"/>
                <w:sz w:val="24"/>
                <w:szCs w:val="24"/>
                <w:u w:val="single"/>
                <w:lang w:val="en-US"/>
              </w:rPr>
              <w:t>ENGAGEMENT POLICIES</w:t>
            </w:r>
          </w:p>
        </w:tc>
      </w:tr>
      <w:tr w:rsidR="00F012F1" w:rsidRPr="000D3B78" w14:paraId="15CB41C8" w14:textId="77777777" w:rsidTr="0065264E">
        <w:tc>
          <w:tcPr>
            <w:tcW w:w="562" w:type="dxa"/>
          </w:tcPr>
          <w:p w14:paraId="588F0EFB" w14:textId="77777777" w:rsidR="00B85C60" w:rsidRPr="00F012F1" w:rsidRDefault="00B85C60" w:rsidP="0065264E">
            <w:pPr>
              <w:rPr>
                <w:rFonts w:ascii="Arial" w:hAnsi="Arial" w:cs="Arial"/>
                <w:sz w:val="24"/>
                <w:szCs w:val="24"/>
                <w:lang w:val="en-US"/>
              </w:rPr>
            </w:pPr>
          </w:p>
        </w:tc>
        <w:tc>
          <w:tcPr>
            <w:tcW w:w="10354" w:type="dxa"/>
          </w:tcPr>
          <w:p w14:paraId="5FBF2E3B" w14:textId="6BA6B6F1" w:rsidR="00B85C60" w:rsidRPr="00F012F1" w:rsidRDefault="00B85C60" w:rsidP="0065264E">
            <w:pPr>
              <w:rPr>
                <w:rFonts w:ascii="Arial" w:hAnsi="Arial" w:cs="Arial"/>
                <w:sz w:val="24"/>
                <w:szCs w:val="24"/>
                <w:lang w:val="en-US"/>
              </w:rPr>
            </w:pPr>
          </w:p>
          <w:p w14:paraId="54BB9F5F" w14:textId="0162EFBA" w:rsidR="0076120F" w:rsidRDefault="00B150E1" w:rsidP="0076120F">
            <w:pPr>
              <w:rPr>
                <w:rFonts w:ascii="Arial" w:hAnsi="Arial" w:cs="Arial"/>
                <w:sz w:val="24"/>
                <w:szCs w:val="24"/>
                <w:lang w:val="en-US"/>
              </w:rPr>
            </w:pPr>
            <w:proofErr w:type="spellStart"/>
            <w:r>
              <w:rPr>
                <w:rFonts w:ascii="Arial" w:hAnsi="Arial" w:cs="Arial"/>
                <w:sz w:val="24"/>
                <w:szCs w:val="24"/>
                <w:lang w:val="en-US"/>
              </w:rPr>
              <w:t>Capiva</w:t>
            </w:r>
            <w:proofErr w:type="spellEnd"/>
            <w:r>
              <w:rPr>
                <w:rFonts w:ascii="Arial" w:hAnsi="Arial" w:cs="Arial"/>
                <w:sz w:val="24"/>
                <w:szCs w:val="24"/>
                <w:lang w:val="en-US"/>
              </w:rPr>
              <w:t xml:space="preserve"> Plus Fund </w:t>
            </w:r>
            <w:proofErr w:type="spellStart"/>
            <w:r>
              <w:rPr>
                <w:rFonts w:ascii="Arial" w:hAnsi="Arial" w:cs="Arial"/>
                <w:sz w:val="24"/>
                <w:szCs w:val="24"/>
                <w:lang w:val="en-US"/>
              </w:rPr>
              <w:t>SCSp</w:t>
            </w:r>
            <w:proofErr w:type="spellEnd"/>
            <w:r w:rsidR="0076120F" w:rsidRPr="0076120F">
              <w:rPr>
                <w:rFonts w:ascii="Arial" w:hAnsi="Arial" w:cs="Arial"/>
                <w:sz w:val="24"/>
                <w:szCs w:val="24"/>
                <w:lang w:val="en-US"/>
              </w:rPr>
              <w:t xml:space="preserve"> </w:t>
            </w:r>
            <w:r w:rsidR="00A8314E" w:rsidRPr="00A8314E">
              <w:rPr>
                <w:rFonts w:ascii="Arial" w:hAnsi="Arial" w:cs="Arial"/>
                <w:sz w:val="24"/>
                <w:szCs w:val="24"/>
                <w:lang w:val="en-US"/>
              </w:rPr>
              <w:t>employs a range of binding elements on a best-effort basis to ensure that the environmental and social characteristics it promotes are consistently integrated into its investment process</w:t>
            </w:r>
            <w:r w:rsidR="00A8314E">
              <w:rPr>
                <w:rFonts w:ascii="Arial" w:hAnsi="Arial" w:cs="Arial"/>
                <w:sz w:val="24"/>
                <w:szCs w:val="24"/>
                <w:lang w:val="en-US"/>
              </w:rPr>
              <w:t xml:space="preserve">. </w:t>
            </w:r>
          </w:p>
          <w:p w14:paraId="7129073F" w14:textId="1B5446FA" w:rsidR="00A8314E" w:rsidRDefault="00A8314E" w:rsidP="0076120F">
            <w:pPr>
              <w:rPr>
                <w:rFonts w:ascii="Arial" w:hAnsi="Arial" w:cs="Arial"/>
                <w:sz w:val="24"/>
                <w:szCs w:val="24"/>
                <w:lang w:val="en-US"/>
              </w:rPr>
            </w:pPr>
            <w:r>
              <w:rPr>
                <w:rFonts w:ascii="Arial" w:hAnsi="Arial" w:cs="Arial"/>
                <w:sz w:val="24"/>
                <w:szCs w:val="24"/>
                <w:lang w:val="en-US"/>
              </w:rPr>
              <w:t>The Fund will directly engage with investee companies to ensure proper alignment with the Fund’s ESG objective and criteria. The Fund will approach this engagement in the following manner:</w:t>
            </w:r>
          </w:p>
          <w:p w14:paraId="565DA228" w14:textId="77777777" w:rsidR="00A8314E" w:rsidRPr="00A8314E" w:rsidRDefault="00A8314E" w:rsidP="0076120F">
            <w:pPr>
              <w:rPr>
                <w:rFonts w:ascii="Arial" w:hAnsi="Arial" w:cs="Arial"/>
                <w:sz w:val="24"/>
                <w:szCs w:val="24"/>
                <w:lang w:val="en-US"/>
              </w:rPr>
            </w:pPr>
          </w:p>
          <w:p w14:paraId="3CDDDA2D" w14:textId="2B44BCD8" w:rsidR="0076120F" w:rsidRPr="0076120F" w:rsidRDefault="00A8314E" w:rsidP="0076120F">
            <w:pPr>
              <w:numPr>
                <w:ilvl w:val="0"/>
                <w:numId w:val="39"/>
              </w:numPr>
              <w:rPr>
                <w:rFonts w:ascii="Arial" w:hAnsi="Arial" w:cs="Arial"/>
                <w:sz w:val="24"/>
                <w:szCs w:val="24"/>
                <w:lang w:val="en-US"/>
              </w:rPr>
            </w:pPr>
            <w:r>
              <w:rPr>
                <w:rFonts w:ascii="Arial" w:hAnsi="Arial" w:cs="Arial"/>
                <w:sz w:val="24"/>
                <w:szCs w:val="24"/>
                <w:lang w:val="en-US"/>
              </w:rPr>
              <w:t xml:space="preserve">The Fund will directly liaise with management teams and will point out the importance of an ESG shift in the investment portfolios. The Fund </w:t>
            </w:r>
            <w:r w:rsidR="007C0792">
              <w:rPr>
                <w:rFonts w:ascii="Arial" w:hAnsi="Arial" w:cs="Arial"/>
                <w:sz w:val="24"/>
                <w:szCs w:val="24"/>
                <w:lang w:val="en-US"/>
              </w:rPr>
              <w:t xml:space="preserve">works </w:t>
            </w:r>
            <w:r w:rsidR="00B43AB6">
              <w:rPr>
                <w:rFonts w:ascii="Arial" w:hAnsi="Arial" w:cs="Arial"/>
                <w:sz w:val="24"/>
                <w:szCs w:val="24"/>
                <w:lang w:val="en-US"/>
              </w:rPr>
              <w:t>closely with management teams</w:t>
            </w:r>
            <w:r w:rsidR="007C0792">
              <w:rPr>
                <w:rFonts w:ascii="Arial" w:hAnsi="Arial" w:cs="Arial"/>
                <w:sz w:val="24"/>
                <w:szCs w:val="24"/>
                <w:lang w:val="en-US"/>
              </w:rPr>
              <w:t xml:space="preserve"> and will seek to cultivate an ESG mindset. </w:t>
            </w:r>
            <w:r w:rsidR="007C0792" w:rsidRPr="007C0792">
              <w:rPr>
                <w:rFonts w:ascii="Arial" w:hAnsi="Arial" w:cs="Arial"/>
                <w:sz w:val="24"/>
                <w:szCs w:val="24"/>
                <w:lang w:val="en-US"/>
              </w:rPr>
              <w:t xml:space="preserve">This involves reiterating the importance of sustainability </w:t>
            </w:r>
            <w:r w:rsidR="007C0792">
              <w:rPr>
                <w:rFonts w:ascii="Arial" w:hAnsi="Arial" w:cs="Arial"/>
                <w:sz w:val="24"/>
                <w:szCs w:val="24"/>
                <w:lang w:val="en-US"/>
              </w:rPr>
              <w:t>and alignment with the Fund’s investment objective</w:t>
            </w:r>
          </w:p>
          <w:p w14:paraId="1DEAAD08" w14:textId="19670C2B" w:rsidR="005B2276" w:rsidRPr="0076120F" w:rsidRDefault="0076120F" w:rsidP="005B2276">
            <w:pPr>
              <w:numPr>
                <w:ilvl w:val="0"/>
                <w:numId w:val="39"/>
              </w:numPr>
              <w:rPr>
                <w:rFonts w:ascii="Arial" w:hAnsi="Arial" w:cs="Arial"/>
                <w:sz w:val="24"/>
                <w:szCs w:val="24"/>
                <w:lang w:val="en-US"/>
              </w:rPr>
            </w:pPr>
            <w:r w:rsidRPr="0076120F">
              <w:rPr>
                <w:rFonts w:ascii="Arial" w:hAnsi="Arial" w:cs="Arial"/>
                <w:sz w:val="24"/>
                <w:szCs w:val="24"/>
                <w:lang w:val="en-US"/>
              </w:rPr>
              <w:t>Address sustainability-related controversies</w:t>
            </w:r>
            <w:r w:rsidR="00B43AB6" w:rsidRPr="00B43AB6">
              <w:rPr>
                <w:rFonts w:ascii="Arial" w:hAnsi="Arial" w:cs="Arial"/>
                <w:sz w:val="24"/>
                <w:szCs w:val="24"/>
                <w:lang w:val="en-US"/>
              </w:rPr>
              <w:t xml:space="preserve"> a</w:t>
            </w:r>
            <w:r w:rsidR="00B43AB6">
              <w:rPr>
                <w:rFonts w:ascii="Arial" w:hAnsi="Arial" w:cs="Arial"/>
                <w:sz w:val="24"/>
                <w:szCs w:val="24"/>
                <w:lang w:val="en-US"/>
              </w:rPr>
              <w:t xml:space="preserve">nd set clear data points for measuring </w:t>
            </w:r>
            <w:r w:rsidR="005B2276">
              <w:rPr>
                <w:rFonts w:ascii="Arial" w:hAnsi="Arial" w:cs="Arial"/>
                <w:sz w:val="24"/>
                <w:szCs w:val="24"/>
                <w:lang w:val="en-US"/>
              </w:rPr>
              <w:t>progress on ESG objectives and PAIs</w:t>
            </w:r>
            <w:r w:rsidR="007C0792">
              <w:rPr>
                <w:rFonts w:ascii="Arial" w:hAnsi="Arial" w:cs="Arial"/>
                <w:sz w:val="24"/>
                <w:szCs w:val="24"/>
                <w:lang w:val="en-US"/>
              </w:rPr>
              <w:t xml:space="preserve">. The Fund will put its efforts into </w:t>
            </w:r>
            <w:r w:rsidR="007C0792" w:rsidRPr="007C0792">
              <w:rPr>
                <w:rFonts w:ascii="Arial" w:hAnsi="Arial" w:cs="Arial"/>
                <w:sz w:val="24"/>
                <w:szCs w:val="24"/>
                <w:lang w:val="en-US"/>
              </w:rPr>
              <w:t>setting clear data points for measuring progress on ESG objectives and PAIs. The emphasis on accurate disclosures ensures ongoing alignment with the Fund’s goals</w:t>
            </w:r>
            <w:r w:rsidR="007C0792">
              <w:rPr>
                <w:rFonts w:ascii="Arial" w:hAnsi="Arial" w:cs="Arial"/>
                <w:sz w:val="24"/>
                <w:szCs w:val="24"/>
                <w:lang w:val="en-US"/>
              </w:rPr>
              <w:t>.</w:t>
            </w:r>
          </w:p>
          <w:p w14:paraId="12A83357" w14:textId="40DF5A25" w:rsidR="0076120F" w:rsidRPr="007C0792" w:rsidRDefault="0076120F" w:rsidP="0076120F">
            <w:pPr>
              <w:numPr>
                <w:ilvl w:val="0"/>
                <w:numId w:val="39"/>
              </w:numPr>
              <w:rPr>
                <w:rFonts w:ascii="Arial" w:hAnsi="Arial" w:cs="Arial"/>
                <w:sz w:val="24"/>
                <w:szCs w:val="24"/>
                <w:lang w:val="en-US"/>
              </w:rPr>
            </w:pPr>
            <w:r w:rsidRPr="007C0792">
              <w:rPr>
                <w:rFonts w:ascii="Arial" w:hAnsi="Arial" w:cs="Arial"/>
                <w:sz w:val="24"/>
                <w:szCs w:val="24"/>
                <w:lang w:val="en-US"/>
              </w:rPr>
              <w:t>Encourage continuous improvement in environmental and social performance</w:t>
            </w:r>
            <w:r w:rsidR="007C0792" w:rsidRPr="007C0792">
              <w:rPr>
                <w:rFonts w:ascii="Arial" w:hAnsi="Arial" w:cs="Arial"/>
                <w:sz w:val="24"/>
                <w:szCs w:val="24"/>
                <w:lang w:val="en-US"/>
              </w:rPr>
              <w:t>, as ESG co</w:t>
            </w:r>
            <w:r w:rsidR="007C0792">
              <w:rPr>
                <w:rFonts w:ascii="Arial" w:hAnsi="Arial" w:cs="Arial"/>
                <w:sz w:val="24"/>
                <w:szCs w:val="24"/>
                <w:lang w:val="en-US"/>
              </w:rPr>
              <w:t>nsiderations play a decisive role in the Fund’s follow-on investment decisions. The Fund will prioritize those investments that demonstrate a strong ESG performance and continuous ESG related refinement.</w:t>
            </w:r>
          </w:p>
          <w:p w14:paraId="75C53BC0" w14:textId="77777777" w:rsidR="005B3DB7" w:rsidRPr="00F012F1" w:rsidRDefault="005B3DB7" w:rsidP="0065264E">
            <w:pPr>
              <w:rPr>
                <w:rFonts w:ascii="Arial" w:hAnsi="Arial" w:cs="Arial"/>
                <w:sz w:val="24"/>
                <w:szCs w:val="24"/>
                <w:lang w:val="en-US"/>
              </w:rPr>
            </w:pPr>
          </w:p>
          <w:p w14:paraId="033EA84D" w14:textId="17392119" w:rsidR="005B3DB7" w:rsidRPr="00F012F1" w:rsidRDefault="005B3DB7" w:rsidP="0065264E">
            <w:pPr>
              <w:rPr>
                <w:rFonts w:ascii="Arial" w:hAnsi="Arial" w:cs="Arial"/>
                <w:sz w:val="24"/>
                <w:szCs w:val="24"/>
                <w:u w:val="single"/>
                <w:lang w:val="en-US"/>
              </w:rPr>
            </w:pPr>
          </w:p>
        </w:tc>
      </w:tr>
      <w:tr w:rsidR="00F012F1" w:rsidRPr="00F012F1" w14:paraId="47DE5871" w14:textId="77777777" w:rsidTr="0065264E">
        <w:tc>
          <w:tcPr>
            <w:tcW w:w="562" w:type="dxa"/>
          </w:tcPr>
          <w:p w14:paraId="64FECA95" w14:textId="1D378499" w:rsidR="00D70F89" w:rsidRPr="00F012F1" w:rsidRDefault="00815EB9" w:rsidP="0065264E">
            <w:pPr>
              <w:rPr>
                <w:rFonts w:ascii="Arial" w:hAnsi="Arial" w:cs="Arial"/>
                <w:sz w:val="24"/>
                <w:szCs w:val="24"/>
                <w:lang w:val="en-US"/>
              </w:rPr>
            </w:pPr>
            <w:r>
              <w:rPr>
                <w:rFonts w:ascii="Arial" w:hAnsi="Arial" w:cs="Arial"/>
                <w:sz w:val="24"/>
                <w:szCs w:val="24"/>
                <w:lang w:val="en-US"/>
              </w:rPr>
              <w:t>L</w:t>
            </w:r>
          </w:p>
        </w:tc>
        <w:tc>
          <w:tcPr>
            <w:tcW w:w="10354" w:type="dxa"/>
          </w:tcPr>
          <w:p w14:paraId="1DAE9C69" w14:textId="77777777" w:rsidR="00D70F89" w:rsidRPr="00F012F1" w:rsidRDefault="00D70F89" w:rsidP="0065264E">
            <w:pPr>
              <w:rPr>
                <w:rFonts w:ascii="Arial" w:hAnsi="Arial" w:cs="Arial"/>
                <w:sz w:val="24"/>
                <w:szCs w:val="24"/>
                <w:u w:val="single"/>
                <w:lang w:val="en-US"/>
              </w:rPr>
            </w:pPr>
            <w:r w:rsidRPr="00F012F1">
              <w:rPr>
                <w:rFonts w:ascii="Arial" w:hAnsi="Arial" w:cs="Arial"/>
                <w:sz w:val="24"/>
                <w:szCs w:val="24"/>
                <w:u w:val="single"/>
                <w:lang w:val="en-US"/>
              </w:rPr>
              <w:t>DESIGNATED REFERENCE BENCHMARK</w:t>
            </w:r>
          </w:p>
          <w:p w14:paraId="4EB3194C" w14:textId="77777777" w:rsidR="00D70F89" w:rsidRPr="00F012F1" w:rsidRDefault="00D70F89" w:rsidP="0065264E">
            <w:pPr>
              <w:rPr>
                <w:rFonts w:ascii="Arial" w:hAnsi="Arial" w:cs="Arial"/>
                <w:sz w:val="24"/>
                <w:szCs w:val="24"/>
                <w:lang w:val="en-US"/>
              </w:rPr>
            </w:pPr>
          </w:p>
        </w:tc>
      </w:tr>
      <w:tr w:rsidR="00F012F1" w:rsidRPr="000D3B78" w14:paraId="2225311B" w14:textId="77777777" w:rsidTr="0065264E">
        <w:tc>
          <w:tcPr>
            <w:tcW w:w="562" w:type="dxa"/>
          </w:tcPr>
          <w:p w14:paraId="37F3CD1B" w14:textId="77777777" w:rsidR="00D70F89" w:rsidRPr="00F012F1" w:rsidRDefault="00D70F89" w:rsidP="0065264E">
            <w:pPr>
              <w:rPr>
                <w:rFonts w:ascii="Arial" w:hAnsi="Arial" w:cs="Arial"/>
                <w:sz w:val="24"/>
                <w:szCs w:val="24"/>
                <w:lang w:val="en-US"/>
              </w:rPr>
            </w:pPr>
          </w:p>
        </w:tc>
        <w:tc>
          <w:tcPr>
            <w:tcW w:w="10354" w:type="dxa"/>
          </w:tcPr>
          <w:p w14:paraId="1D22F155" w14:textId="60743152" w:rsidR="00D70F89" w:rsidRPr="00F012F1" w:rsidRDefault="0014118E" w:rsidP="00D70F89">
            <w:pPr>
              <w:jc w:val="both"/>
              <w:rPr>
                <w:rFonts w:ascii="Arial" w:eastAsia="Open Sans" w:hAnsi="Arial" w:cs="Arial"/>
                <w:sz w:val="24"/>
                <w:szCs w:val="24"/>
                <w:lang w:val="en-US" w:eastAsia="en-GB"/>
              </w:rPr>
            </w:pPr>
            <w:r w:rsidRPr="0014118E">
              <w:rPr>
                <w:rFonts w:ascii="Arial" w:eastAsia="Open Sans" w:hAnsi="Arial" w:cs="Arial"/>
                <w:sz w:val="24"/>
                <w:szCs w:val="24"/>
                <w:lang w:val="en-US" w:eastAsia="en-GB"/>
              </w:rPr>
              <w:t>No specific index is used as a reference benchmark to measure the attainment of the environmental or social characteristics promoted by this financial product.</w:t>
            </w:r>
          </w:p>
          <w:p w14:paraId="44CFD45B" w14:textId="77777777" w:rsidR="005B3DB7" w:rsidRPr="00F012F1" w:rsidRDefault="005B3DB7" w:rsidP="00D70F89">
            <w:pPr>
              <w:jc w:val="both"/>
              <w:rPr>
                <w:rFonts w:ascii="Arial" w:eastAsia="Open Sans" w:hAnsi="Arial" w:cs="Arial"/>
                <w:sz w:val="24"/>
                <w:szCs w:val="24"/>
                <w:lang w:val="en-US" w:eastAsia="en-GB"/>
              </w:rPr>
            </w:pPr>
          </w:p>
          <w:p w14:paraId="4E90C011" w14:textId="4113514E" w:rsidR="00D70F89" w:rsidRPr="00F012F1" w:rsidRDefault="00D70F89" w:rsidP="00D70F89">
            <w:pPr>
              <w:jc w:val="both"/>
              <w:rPr>
                <w:rFonts w:ascii="Arial" w:eastAsia="Open Sans" w:hAnsi="Arial" w:cs="Arial"/>
                <w:sz w:val="24"/>
                <w:szCs w:val="24"/>
                <w:lang w:val="en-US" w:eastAsia="en-GB"/>
              </w:rPr>
            </w:pPr>
          </w:p>
        </w:tc>
      </w:tr>
    </w:tbl>
    <w:p w14:paraId="653B4722" w14:textId="1346C387" w:rsidR="00F70522" w:rsidRPr="00F012F1" w:rsidRDefault="00F70522" w:rsidP="00D70F89">
      <w:pPr>
        <w:rPr>
          <w:rFonts w:ascii="Arial" w:hAnsi="Arial" w:cs="Arial"/>
          <w:sz w:val="24"/>
          <w:szCs w:val="24"/>
          <w:lang w:val="en-US"/>
        </w:rPr>
      </w:pPr>
    </w:p>
    <w:p w14:paraId="0A579DCB" w14:textId="4447EFAE" w:rsidR="00F70522" w:rsidRPr="00EE4F25" w:rsidRDefault="00F70522">
      <w:pPr>
        <w:rPr>
          <w:rFonts w:ascii="Arial" w:hAnsi="Arial" w:cs="Arial"/>
          <w:sz w:val="24"/>
          <w:szCs w:val="24"/>
        </w:rPr>
      </w:pPr>
      <w:r w:rsidRPr="000D3B78">
        <w:rPr>
          <w:rFonts w:ascii="Arial" w:hAnsi="Arial" w:cs="Arial"/>
          <w:sz w:val="24"/>
          <w:szCs w:val="24"/>
        </w:rPr>
        <w:br w:type="page"/>
      </w:r>
      <w:proofErr w:type="spellStart"/>
      <w:r w:rsidR="00EE4F25" w:rsidRPr="00EE4F25">
        <w:rPr>
          <w:rFonts w:ascii="Arial" w:hAnsi="Arial" w:cs="Arial"/>
          <w:sz w:val="24"/>
          <w:szCs w:val="24"/>
        </w:rPr>
        <w:lastRenderedPageBreak/>
        <w:t>Summary</w:t>
      </w:r>
      <w:proofErr w:type="spellEnd"/>
      <w:r w:rsidR="00EE4F25" w:rsidRPr="00EE4F25">
        <w:rPr>
          <w:rFonts w:ascii="Arial" w:hAnsi="Arial" w:cs="Arial"/>
          <w:sz w:val="24"/>
          <w:szCs w:val="24"/>
        </w:rPr>
        <w:t xml:space="preserve"> – French</w:t>
      </w:r>
    </w:p>
    <w:p w14:paraId="1A89B4F8" w14:textId="77777777" w:rsidR="00EE4F25" w:rsidRPr="00EE4F25" w:rsidRDefault="00EE4F25" w:rsidP="00EE4F25">
      <w:pPr>
        <w:rPr>
          <w:rFonts w:ascii="Arial" w:hAnsi="Arial" w:cs="Arial"/>
          <w:sz w:val="24"/>
          <w:szCs w:val="24"/>
        </w:rPr>
      </w:pPr>
      <w:r w:rsidRPr="00EE4F25">
        <w:rPr>
          <w:rFonts w:ascii="Arial" w:hAnsi="Arial" w:cs="Arial"/>
          <w:sz w:val="24"/>
          <w:szCs w:val="24"/>
        </w:rPr>
        <w:t xml:space="preserve">Le fonds </w:t>
      </w:r>
      <w:proofErr w:type="spellStart"/>
      <w:r w:rsidRPr="00EE4F25">
        <w:rPr>
          <w:rFonts w:ascii="Arial" w:hAnsi="Arial" w:cs="Arial"/>
          <w:sz w:val="24"/>
          <w:szCs w:val="24"/>
        </w:rPr>
        <w:t>Capiva</w:t>
      </w:r>
      <w:proofErr w:type="spellEnd"/>
      <w:r w:rsidRPr="00EE4F25">
        <w:rPr>
          <w:rFonts w:ascii="Arial" w:hAnsi="Arial" w:cs="Arial"/>
          <w:sz w:val="24"/>
          <w:szCs w:val="24"/>
        </w:rPr>
        <w:t xml:space="preserve"> Plus </w:t>
      </w:r>
      <w:proofErr w:type="spellStart"/>
      <w:r w:rsidRPr="00EE4F25">
        <w:rPr>
          <w:rFonts w:ascii="Arial" w:hAnsi="Arial" w:cs="Arial"/>
          <w:sz w:val="24"/>
          <w:szCs w:val="24"/>
        </w:rPr>
        <w:t>SCSp</w:t>
      </w:r>
      <w:proofErr w:type="spellEnd"/>
      <w:r w:rsidRPr="00EE4F25">
        <w:rPr>
          <w:rFonts w:ascii="Arial" w:hAnsi="Arial" w:cs="Arial"/>
          <w:sz w:val="24"/>
          <w:szCs w:val="24"/>
        </w:rPr>
        <w:t xml:space="preserve"> promeut des caractéristiques environnementales et sociales en intégrant des considérations ESG dans sa stratégie d'investissement. Il met en avant ces caractéristiques mais ne réalise pas d'investissements durables. Il applique un filtrage négatif pour exclure les activités nuisant de manière significative aux objectifs de durabilité et adopte une approche d'intégration ESG pondérée par la valeur dans l'immobilier, le capital-investissement et la dette privée, garantissant le respect des critères ESG grâce à des stratégies ciblées visant à obtenir des résultats environnementaux et sociaux mesurables.</w:t>
      </w:r>
    </w:p>
    <w:p w14:paraId="2FF04518" w14:textId="77777777" w:rsidR="00EE4F25" w:rsidRPr="00EE4F25" w:rsidRDefault="00EE4F25" w:rsidP="00EE4F25">
      <w:pPr>
        <w:rPr>
          <w:rFonts w:ascii="Arial" w:hAnsi="Arial" w:cs="Arial"/>
          <w:sz w:val="24"/>
          <w:szCs w:val="24"/>
        </w:rPr>
      </w:pPr>
      <w:r w:rsidRPr="00EE4F25">
        <w:rPr>
          <w:rFonts w:ascii="Arial" w:hAnsi="Arial" w:cs="Arial"/>
          <w:sz w:val="24"/>
          <w:szCs w:val="24"/>
        </w:rPr>
        <w:t>Le fonds surveille ses caractéristiques environnementales et sociales à travers des indicateurs de durabilité, des rapports réguliers et des interactions avec les sociétés de son portefeuille. Au moins 85 % des investissements du fonds seront alignés sur ces caractéristiques et respecteront certains critères environnementaux et sociaux. Bien que le fonds ne réalise pas d'investissements durables selon les définitions du SFDR, il privilégiera dans cette portion les investissements ayant une contribution positive aux résultats environnementaux et sociaux. Les 15 % restants de ses actifs seront alloués à des instruments de trésorerie et équivalents ainsi qu’à des investissements ne répondant pas entièrement aux critères du fonds ou pour lesquels la collecte de données pertinentes ou significatives est impossible.</w:t>
      </w:r>
    </w:p>
    <w:p w14:paraId="2F9769A2" w14:textId="77777777" w:rsidR="00EE4F25" w:rsidRPr="00EE4F25" w:rsidRDefault="00EE4F25" w:rsidP="00EE4F25">
      <w:pPr>
        <w:rPr>
          <w:rFonts w:ascii="Arial" w:hAnsi="Arial" w:cs="Arial"/>
          <w:sz w:val="24"/>
          <w:szCs w:val="24"/>
        </w:rPr>
      </w:pPr>
      <w:r w:rsidRPr="00EE4F25">
        <w:rPr>
          <w:rFonts w:ascii="Arial" w:hAnsi="Arial" w:cs="Arial"/>
          <w:sz w:val="24"/>
          <w:szCs w:val="24"/>
        </w:rPr>
        <w:t>Le fonds n’a pas désigné de référence ou d’indice de référence spécifique.</w:t>
      </w:r>
    </w:p>
    <w:p w14:paraId="5EBC435E" w14:textId="77777777" w:rsidR="00EE4F25" w:rsidRPr="00EE4F25" w:rsidRDefault="00EE4F25" w:rsidP="00EE4F25">
      <w:pPr>
        <w:rPr>
          <w:rFonts w:ascii="Arial" w:hAnsi="Arial" w:cs="Arial"/>
          <w:sz w:val="24"/>
          <w:szCs w:val="24"/>
        </w:rPr>
      </w:pPr>
      <w:r w:rsidRPr="00EE4F25">
        <w:rPr>
          <w:rFonts w:ascii="Arial" w:hAnsi="Arial" w:cs="Arial"/>
          <w:sz w:val="24"/>
          <w:szCs w:val="24"/>
        </w:rPr>
        <w:t>Sa stratégie d'investissement comprend une approche préliminaire de diligence raisonnable qui exclut certains secteurs, une diligence ESG approfondie, un engagement actif auprès des entreprises investies et la mise en œuvre de politiques de gouvernance garantissant le respect et l'alignement des objectifs ESG du fonds. Le fonds mesurera et surveillera la performance ESG en s’appuyant sur des sources de données vérifiées, tout en reconnaissant certaines limites. Les efforts de suivi incluent l’analyse de l’évolution des indicateurs de durabilité et des impacts négatifs principaux (</w:t>
      </w:r>
      <w:proofErr w:type="spellStart"/>
      <w:r w:rsidRPr="00EE4F25">
        <w:rPr>
          <w:rFonts w:ascii="Arial" w:hAnsi="Arial" w:cs="Arial"/>
          <w:sz w:val="24"/>
          <w:szCs w:val="24"/>
        </w:rPr>
        <w:t>PAIs</w:t>
      </w:r>
      <w:proofErr w:type="spellEnd"/>
      <w:r w:rsidRPr="00EE4F25">
        <w:rPr>
          <w:rFonts w:ascii="Arial" w:hAnsi="Arial" w:cs="Arial"/>
          <w:sz w:val="24"/>
          <w:szCs w:val="24"/>
        </w:rPr>
        <w:t>). Le fonds applique des politiques rigoureuses de diligence et d’engagement afin de soutenir l'intégration ESG au sein de son portefeuille.</w:t>
      </w:r>
    </w:p>
    <w:p w14:paraId="5D280037" w14:textId="77777777" w:rsidR="00EE4F25" w:rsidRPr="00EE4F25" w:rsidRDefault="00EE4F25">
      <w:pPr>
        <w:rPr>
          <w:rFonts w:ascii="Arial" w:hAnsi="Arial" w:cs="Arial"/>
          <w:sz w:val="24"/>
          <w:szCs w:val="24"/>
        </w:rPr>
      </w:pPr>
    </w:p>
    <w:sectPr w:rsidR="00EE4F25" w:rsidRPr="00EE4F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1A67D" w14:textId="77777777" w:rsidR="000D00AF" w:rsidRDefault="000D00AF" w:rsidP="00EF20B7">
      <w:pPr>
        <w:spacing w:after="0" w:line="240" w:lineRule="auto"/>
      </w:pPr>
      <w:r>
        <w:separator/>
      </w:r>
    </w:p>
  </w:endnote>
  <w:endnote w:type="continuationSeparator" w:id="0">
    <w:p w14:paraId="3E9549C1" w14:textId="77777777" w:rsidR="000D00AF" w:rsidRDefault="000D00AF" w:rsidP="00EF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2FB7C" w14:textId="77777777" w:rsidR="000D00AF" w:rsidRDefault="000D00AF" w:rsidP="00EF20B7">
      <w:pPr>
        <w:spacing w:after="0" w:line="240" w:lineRule="auto"/>
      </w:pPr>
      <w:r>
        <w:separator/>
      </w:r>
    </w:p>
  </w:footnote>
  <w:footnote w:type="continuationSeparator" w:id="0">
    <w:p w14:paraId="3929893C" w14:textId="77777777" w:rsidR="000D00AF" w:rsidRDefault="000D00AF" w:rsidP="00EF2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0B2"/>
    <w:multiLevelType w:val="hybridMultilevel"/>
    <w:tmpl w:val="E7D6B61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2EB2CA9"/>
    <w:multiLevelType w:val="hybridMultilevel"/>
    <w:tmpl w:val="6EE6EA68"/>
    <w:lvl w:ilvl="0" w:tplc="C5B427C4">
      <w:numFmt w:val="bullet"/>
      <w:lvlText w:val="-"/>
      <w:lvlJc w:val="left"/>
      <w:pPr>
        <w:ind w:left="1440" w:hanging="360"/>
      </w:pPr>
      <w:rPr>
        <w:rFonts w:ascii="Calibri" w:eastAsiaTheme="minorHAnsi"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3A0C05"/>
    <w:multiLevelType w:val="hybridMultilevel"/>
    <w:tmpl w:val="A08EE61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10F245D5"/>
    <w:multiLevelType w:val="multilevel"/>
    <w:tmpl w:val="8E76BE36"/>
    <w:lvl w:ilvl="0">
      <w:start w:val="1"/>
      <w:numFmt w:val="upperLetter"/>
      <w:lvlText w:val="%1."/>
      <w:lvlJc w:val="left"/>
      <w:pPr>
        <w:ind w:left="928" w:hanging="360"/>
      </w:pPr>
      <w:rPr>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6133F4"/>
    <w:multiLevelType w:val="hybridMultilevel"/>
    <w:tmpl w:val="B60A4EE0"/>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5" w15:restartNumberingAfterBreak="0">
    <w:nsid w:val="1ACF27AD"/>
    <w:multiLevelType w:val="hybridMultilevel"/>
    <w:tmpl w:val="E0745278"/>
    <w:lvl w:ilvl="0" w:tplc="9A041434">
      <w:numFmt w:val="bullet"/>
      <w:lvlText w:val="-"/>
      <w:lvlJc w:val="left"/>
      <w:pPr>
        <w:ind w:left="1428" w:hanging="360"/>
      </w:pPr>
      <w:rPr>
        <w:rFonts w:ascii="Calibri" w:eastAsiaTheme="minorHAnsi" w:hAnsi="Calibr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1D5150A7"/>
    <w:multiLevelType w:val="multilevel"/>
    <w:tmpl w:val="A7308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273C16"/>
    <w:multiLevelType w:val="multilevel"/>
    <w:tmpl w:val="9DF2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841FF"/>
    <w:multiLevelType w:val="hybridMultilevel"/>
    <w:tmpl w:val="336E6FE2"/>
    <w:lvl w:ilvl="0" w:tplc="140C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25142176"/>
    <w:multiLevelType w:val="hybridMultilevel"/>
    <w:tmpl w:val="6742E364"/>
    <w:lvl w:ilvl="0" w:tplc="2480A25E">
      <w:start w:val="1"/>
      <w:numFmt w:val="decimal"/>
      <w:lvlText w:val="%1."/>
      <w:lvlJc w:val="left"/>
      <w:pPr>
        <w:ind w:left="1004" w:hanging="360"/>
      </w:pPr>
      <w:rPr>
        <w:rFonts w:ascii="Calibri" w:eastAsiaTheme="minorHAnsi" w:hAnsi="Calibri" w:hint="default"/>
        <w:b/>
        <w:sz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27814CDC"/>
    <w:multiLevelType w:val="hybridMultilevel"/>
    <w:tmpl w:val="72FED980"/>
    <w:lvl w:ilvl="0" w:tplc="390035AC">
      <w:start w:val="2"/>
      <w:numFmt w:val="lowerRoman"/>
      <w:lvlText w:val="%1)"/>
      <w:lvlJc w:val="left"/>
      <w:pPr>
        <w:ind w:left="1440" w:hanging="720"/>
      </w:pPr>
      <w:rPr>
        <w:rFonts w:eastAsiaTheme="minorHAnsi"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9E0F4B"/>
    <w:multiLevelType w:val="hybridMultilevel"/>
    <w:tmpl w:val="F35EF3A8"/>
    <w:lvl w:ilvl="0" w:tplc="E2A0A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0FAE"/>
    <w:multiLevelType w:val="hybridMultilevel"/>
    <w:tmpl w:val="79CAD888"/>
    <w:lvl w:ilvl="0" w:tplc="9A041434">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8139A0"/>
    <w:multiLevelType w:val="hybridMultilevel"/>
    <w:tmpl w:val="DF96F7AE"/>
    <w:lvl w:ilvl="0" w:tplc="16E25BBE">
      <w:numFmt w:val="bullet"/>
      <w:lvlText w:val="-"/>
      <w:lvlJc w:val="left"/>
      <w:pPr>
        <w:ind w:left="1428" w:hanging="360"/>
      </w:pPr>
      <w:rPr>
        <w:rFonts w:ascii="Calibri" w:eastAsiaTheme="minorHAnsi" w:hAnsi="Calibri" w:cstheme="minorBid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2BD42C0B"/>
    <w:multiLevelType w:val="hybridMultilevel"/>
    <w:tmpl w:val="2D3A6F62"/>
    <w:lvl w:ilvl="0" w:tplc="134466A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7E5164"/>
    <w:multiLevelType w:val="hybridMultilevel"/>
    <w:tmpl w:val="7E8AD46A"/>
    <w:lvl w:ilvl="0" w:tplc="9A041434">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5A745A"/>
    <w:multiLevelType w:val="hybridMultilevel"/>
    <w:tmpl w:val="EF4A99E2"/>
    <w:lvl w:ilvl="0" w:tplc="820A368C">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B40105"/>
    <w:multiLevelType w:val="hybridMultilevel"/>
    <w:tmpl w:val="789C65C8"/>
    <w:lvl w:ilvl="0" w:tplc="9A041434">
      <w:numFmt w:val="bullet"/>
      <w:lvlText w:val="-"/>
      <w:lvlJc w:val="left"/>
      <w:pPr>
        <w:ind w:left="1364" w:hanging="360"/>
      </w:pPr>
      <w:rPr>
        <w:rFonts w:ascii="Calibri" w:eastAsiaTheme="minorHAnsi" w:hAnsi="Calibri"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15:restartNumberingAfterBreak="0">
    <w:nsid w:val="38793936"/>
    <w:multiLevelType w:val="hybridMultilevel"/>
    <w:tmpl w:val="195891F6"/>
    <w:lvl w:ilvl="0" w:tplc="9A041434">
      <w:numFmt w:val="bullet"/>
      <w:lvlText w:val="-"/>
      <w:lvlJc w:val="left"/>
      <w:pPr>
        <w:ind w:left="1428" w:hanging="360"/>
      </w:pPr>
      <w:rPr>
        <w:rFonts w:ascii="Calibri" w:eastAsiaTheme="minorHAnsi" w:hAnsi="Calibr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38AD7ECA"/>
    <w:multiLevelType w:val="hybridMultilevel"/>
    <w:tmpl w:val="E0B29868"/>
    <w:lvl w:ilvl="0" w:tplc="16E25BB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606CC1"/>
    <w:multiLevelType w:val="multilevel"/>
    <w:tmpl w:val="D334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D1786"/>
    <w:multiLevelType w:val="hybridMultilevel"/>
    <w:tmpl w:val="5EFA1B60"/>
    <w:lvl w:ilvl="0" w:tplc="9A041434">
      <w:numFmt w:val="bullet"/>
      <w:lvlText w:val="-"/>
      <w:lvlJc w:val="left"/>
      <w:pPr>
        <w:ind w:left="1428" w:hanging="360"/>
      </w:pPr>
      <w:rPr>
        <w:rFonts w:ascii="Calibri" w:eastAsiaTheme="minorHAnsi" w:hAnsi="Calibr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48593793"/>
    <w:multiLevelType w:val="hybridMultilevel"/>
    <w:tmpl w:val="A2B0B120"/>
    <w:lvl w:ilvl="0" w:tplc="85C4287C">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AB83C61"/>
    <w:multiLevelType w:val="hybridMultilevel"/>
    <w:tmpl w:val="0F7C6830"/>
    <w:lvl w:ilvl="0" w:tplc="16B683B4">
      <w:numFmt w:val="bullet"/>
      <w:lvlText w:val="•"/>
      <w:lvlJc w:val="left"/>
      <w:pPr>
        <w:ind w:left="1410" w:hanging="6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2629E"/>
    <w:multiLevelType w:val="multilevel"/>
    <w:tmpl w:val="004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40890"/>
    <w:multiLevelType w:val="hybridMultilevel"/>
    <w:tmpl w:val="80223F2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6" w15:restartNumberingAfterBreak="0">
    <w:nsid w:val="58C65C2B"/>
    <w:multiLevelType w:val="hybridMultilevel"/>
    <w:tmpl w:val="343672AA"/>
    <w:lvl w:ilvl="0" w:tplc="16E25BBE">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C55627B"/>
    <w:multiLevelType w:val="hybridMultilevel"/>
    <w:tmpl w:val="A68CF8E6"/>
    <w:lvl w:ilvl="0" w:tplc="9A041434">
      <w:numFmt w:val="bullet"/>
      <w:lvlText w:val="-"/>
      <w:lvlJc w:val="left"/>
      <w:pPr>
        <w:ind w:left="1428" w:hanging="360"/>
      </w:pPr>
      <w:rPr>
        <w:rFonts w:ascii="Calibri" w:eastAsiaTheme="minorHAnsi" w:hAnsi="Calibr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CA570EC"/>
    <w:multiLevelType w:val="hybridMultilevel"/>
    <w:tmpl w:val="B714F2DC"/>
    <w:lvl w:ilvl="0" w:tplc="9A04143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F2FEF"/>
    <w:multiLevelType w:val="hybridMultilevel"/>
    <w:tmpl w:val="438CDEE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0" w15:restartNumberingAfterBreak="0">
    <w:nsid w:val="67920DBC"/>
    <w:multiLevelType w:val="hybridMultilevel"/>
    <w:tmpl w:val="0E9A8894"/>
    <w:lvl w:ilvl="0" w:tplc="16B683B4">
      <w:numFmt w:val="bullet"/>
      <w:lvlText w:val="•"/>
      <w:lvlJc w:val="left"/>
      <w:pPr>
        <w:ind w:left="1410" w:hanging="6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934BC"/>
    <w:multiLevelType w:val="multilevel"/>
    <w:tmpl w:val="B43E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E7E74"/>
    <w:multiLevelType w:val="hybridMultilevel"/>
    <w:tmpl w:val="DB18D850"/>
    <w:lvl w:ilvl="0" w:tplc="9A041434">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0813FA"/>
    <w:multiLevelType w:val="hybridMultilevel"/>
    <w:tmpl w:val="2A4607C6"/>
    <w:lvl w:ilvl="0" w:tplc="16E25BBE">
      <w:numFmt w:val="bullet"/>
      <w:lvlText w:val="-"/>
      <w:lvlJc w:val="left"/>
      <w:pPr>
        <w:ind w:left="1068" w:hanging="360"/>
      </w:pPr>
      <w:rPr>
        <w:rFonts w:ascii="Calibri" w:eastAsiaTheme="minorHAnsi" w:hAnsi="Calibri" w:cstheme="minorBidi"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4" w15:restartNumberingAfterBreak="0">
    <w:nsid w:val="713D6E3C"/>
    <w:multiLevelType w:val="hybridMultilevel"/>
    <w:tmpl w:val="E0D29CD8"/>
    <w:lvl w:ilvl="0" w:tplc="140C0015">
      <w:start w:val="1"/>
      <w:numFmt w:val="upperLetter"/>
      <w:lvlText w:val="%1."/>
      <w:lvlJc w:val="left"/>
      <w:pPr>
        <w:ind w:left="720" w:hanging="360"/>
      </w:pPr>
    </w:lvl>
    <w:lvl w:ilvl="1" w:tplc="140C0001">
      <w:start w:val="1"/>
      <w:numFmt w:val="bullet"/>
      <w:lvlText w:val=""/>
      <w:lvlJc w:val="left"/>
      <w:pPr>
        <w:ind w:left="1440" w:hanging="360"/>
      </w:pPr>
      <w:rPr>
        <w:rFonts w:ascii="Symbol" w:hAnsi="Symbol" w:hint="default"/>
      </w:r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71D953CE"/>
    <w:multiLevelType w:val="hybridMultilevel"/>
    <w:tmpl w:val="40627A2C"/>
    <w:lvl w:ilvl="0" w:tplc="286C216C">
      <w:start w:val="1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9C58F0"/>
    <w:multiLevelType w:val="hybridMultilevel"/>
    <w:tmpl w:val="7C043470"/>
    <w:lvl w:ilvl="0" w:tplc="140C0001">
      <w:start w:val="1"/>
      <w:numFmt w:val="bullet"/>
      <w:lvlText w:val=""/>
      <w:lvlJc w:val="left"/>
      <w:pPr>
        <w:ind w:left="1800" w:hanging="360"/>
      </w:pPr>
      <w:rPr>
        <w:rFonts w:ascii="Symbol" w:hAnsi="Symbol" w:hint="default"/>
      </w:rPr>
    </w:lvl>
    <w:lvl w:ilvl="1" w:tplc="140C0003" w:tentative="1">
      <w:start w:val="1"/>
      <w:numFmt w:val="bullet"/>
      <w:lvlText w:val="o"/>
      <w:lvlJc w:val="left"/>
      <w:pPr>
        <w:ind w:left="2520" w:hanging="360"/>
      </w:pPr>
      <w:rPr>
        <w:rFonts w:ascii="Courier New" w:hAnsi="Courier New" w:cs="Courier New" w:hint="default"/>
      </w:rPr>
    </w:lvl>
    <w:lvl w:ilvl="2" w:tplc="140C0005" w:tentative="1">
      <w:start w:val="1"/>
      <w:numFmt w:val="bullet"/>
      <w:lvlText w:val=""/>
      <w:lvlJc w:val="left"/>
      <w:pPr>
        <w:ind w:left="3240" w:hanging="360"/>
      </w:pPr>
      <w:rPr>
        <w:rFonts w:ascii="Wingdings" w:hAnsi="Wingdings" w:hint="default"/>
      </w:rPr>
    </w:lvl>
    <w:lvl w:ilvl="3" w:tplc="140C0001" w:tentative="1">
      <w:start w:val="1"/>
      <w:numFmt w:val="bullet"/>
      <w:lvlText w:val=""/>
      <w:lvlJc w:val="left"/>
      <w:pPr>
        <w:ind w:left="3960" w:hanging="360"/>
      </w:pPr>
      <w:rPr>
        <w:rFonts w:ascii="Symbol" w:hAnsi="Symbol" w:hint="default"/>
      </w:rPr>
    </w:lvl>
    <w:lvl w:ilvl="4" w:tplc="140C0003" w:tentative="1">
      <w:start w:val="1"/>
      <w:numFmt w:val="bullet"/>
      <w:lvlText w:val="o"/>
      <w:lvlJc w:val="left"/>
      <w:pPr>
        <w:ind w:left="4680" w:hanging="360"/>
      </w:pPr>
      <w:rPr>
        <w:rFonts w:ascii="Courier New" w:hAnsi="Courier New" w:cs="Courier New" w:hint="default"/>
      </w:rPr>
    </w:lvl>
    <w:lvl w:ilvl="5" w:tplc="140C0005" w:tentative="1">
      <w:start w:val="1"/>
      <w:numFmt w:val="bullet"/>
      <w:lvlText w:val=""/>
      <w:lvlJc w:val="left"/>
      <w:pPr>
        <w:ind w:left="5400" w:hanging="360"/>
      </w:pPr>
      <w:rPr>
        <w:rFonts w:ascii="Wingdings" w:hAnsi="Wingdings" w:hint="default"/>
      </w:rPr>
    </w:lvl>
    <w:lvl w:ilvl="6" w:tplc="140C0001" w:tentative="1">
      <w:start w:val="1"/>
      <w:numFmt w:val="bullet"/>
      <w:lvlText w:val=""/>
      <w:lvlJc w:val="left"/>
      <w:pPr>
        <w:ind w:left="6120" w:hanging="360"/>
      </w:pPr>
      <w:rPr>
        <w:rFonts w:ascii="Symbol" w:hAnsi="Symbol" w:hint="default"/>
      </w:rPr>
    </w:lvl>
    <w:lvl w:ilvl="7" w:tplc="140C0003" w:tentative="1">
      <w:start w:val="1"/>
      <w:numFmt w:val="bullet"/>
      <w:lvlText w:val="o"/>
      <w:lvlJc w:val="left"/>
      <w:pPr>
        <w:ind w:left="6840" w:hanging="360"/>
      </w:pPr>
      <w:rPr>
        <w:rFonts w:ascii="Courier New" w:hAnsi="Courier New" w:cs="Courier New" w:hint="default"/>
      </w:rPr>
    </w:lvl>
    <w:lvl w:ilvl="8" w:tplc="140C0005" w:tentative="1">
      <w:start w:val="1"/>
      <w:numFmt w:val="bullet"/>
      <w:lvlText w:val=""/>
      <w:lvlJc w:val="left"/>
      <w:pPr>
        <w:ind w:left="7560" w:hanging="360"/>
      </w:pPr>
      <w:rPr>
        <w:rFonts w:ascii="Wingdings" w:hAnsi="Wingdings" w:hint="default"/>
      </w:rPr>
    </w:lvl>
  </w:abstractNum>
  <w:abstractNum w:abstractNumId="37" w15:restartNumberingAfterBreak="0">
    <w:nsid w:val="7BD735DB"/>
    <w:multiLevelType w:val="hybridMultilevel"/>
    <w:tmpl w:val="C2CEEDA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8" w15:restartNumberingAfterBreak="0">
    <w:nsid w:val="7D0B5F6A"/>
    <w:multiLevelType w:val="hybridMultilevel"/>
    <w:tmpl w:val="890AAB5C"/>
    <w:lvl w:ilvl="0" w:tplc="7D14EC9A">
      <w:start w:val="1"/>
      <w:numFmt w:val="decimal"/>
      <w:lvlText w:val="%1."/>
      <w:lvlJc w:val="left"/>
      <w:pPr>
        <w:ind w:left="644" w:hanging="360"/>
      </w:pPr>
      <w:rPr>
        <w:rFonts w:hint="default"/>
        <w:color w:val="auto"/>
        <w:sz w:val="18"/>
        <w:szCs w:val="2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D53380B"/>
    <w:multiLevelType w:val="multilevel"/>
    <w:tmpl w:val="7116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549414">
    <w:abstractNumId w:val="38"/>
  </w:num>
  <w:num w:numId="2" w16cid:durableId="1867135607">
    <w:abstractNumId w:val="5"/>
  </w:num>
  <w:num w:numId="3" w16cid:durableId="933442518">
    <w:abstractNumId w:val="2"/>
  </w:num>
  <w:num w:numId="4" w16cid:durableId="1202860588">
    <w:abstractNumId w:val="0"/>
  </w:num>
  <w:num w:numId="5" w16cid:durableId="1747259700">
    <w:abstractNumId w:val="25"/>
  </w:num>
  <w:num w:numId="6" w16cid:durableId="2129353287">
    <w:abstractNumId w:val="37"/>
  </w:num>
  <w:num w:numId="7" w16cid:durableId="1438872100">
    <w:abstractNumId w:val="9"/>
  </w:num>
  <w:num w:numId="8" w16cid:durableId="1453936816">
    <w:abstractNumId w:val="29"/>
  </w:num>
  <w:num w:numId="9" w16cid:durableId="806052314">
    <w:abstractNumId w:val="26"/>
  </w:num>
  <w:num w:numId="10" w16cid:durableId="1651136983">
    <w:abstractNumId w:val="8"/>
  </w:num>
  <w:num w:numId="11" w16cid:durableId="174196887">
    <w:abstractNumId w:val="13"/>
  </w:num>
  <w:num w:numId="12" w16cid:durableId="1935434264">
    <w:abstractNumId w:val="33"/>
  </w:num>
  <w:num w:numId="13" w16cid:durableId="1065493172">
    <w:abstractNumId w:val="18"/>
  </w:num>
  <w:num w:numId="14" w16cid:durableId="1427581134">
    <w:abstractNumId w:val="27"/>
  </w:num>
  <w:num w:numId="15" w16cid:durableId="98184667">
    <w:abstractNumId w:val="28"/>
  </w:num>
  <w:num w:numId="16" w16cid:durableId="1805194528">
    <w:abstractNumId w:val="17"/>
  </w:num>
  <w:num w:numId="17" w16cid:durableId="749733356">
    <w:abstractNumId w:val="21"/>
  </w:num>
  <w:num w:numId="18" w16cid:durableId="1192379254">
    <w:abstractNumId w:val="3"/>
  </w:num>
  <w:num w:numId="19" w16cid:durableId="1313944292">
    <w:abstractNumId w:val="30"/>
  </w:num>
  <w:num w:numId="20" w16cid:durableId="1866553101">
    <w:abstractNumId w:val="23"/>
  </w:num>
  <w:num w:numId="21" w16cid:durableId="652833202">
    <w:abstractNumId w:val="12"/>
  </w:num>
  <w:num w:numId="22" w16cid:durableId="618804452">
    <w:abstractNumId w:val="19"/>
  </w:num>
  <w:num w:numId="23" w16cid:durableId="1944259106">
    <w:abstractNumId w:val="15"/>
  </w:num>
  <w:num w:numId="24" w16cid:durableId="153684035">
    <w:abstractNumId w:val="1"/>
  </w:num>
  <w:num w:numId="25" w16cid:durableId="938835612">
    <w:abstractNumId w:val="14"/>
  </w:num>
  <w:num w:numId="26" w16cid:durableId="1060832849">
    <w:abstractNumId w:val="22"/>
  </w:num>
  <w:num w:numId="27" w16cid:durableId="1434862649">
    <w:abstractNumId w:val="10"/>
  </w:num>
  <w:num w:numId="28" w16cid:durableId="1867477144">
    <w:abstractNumId w:val="16"/>
  </w:num>
  <w:num w:numId="29" w16cid:durableId="1842767637">
    <w:abstractNumId w:val="32"/>
  </w:num>
  <w:num w:numId="30" w16cid:durableId="1692608199">
    <w:abstractNumId w:val="35"/>
  </w:num>
  <w:num w:numId="31" w16cid:durableId="1594974618">
    <w:abstractNumId w:val="34"/>
  </w:num>
  <w:num w:numId="32" w16cid:durableId="526067445">
    <w:abstractNumId w:val="4"/>
  </w:num>
  <w:num w:numId="33" w16cid:durableId="1915234745">
    <w:abstractNumId w:val="36"/>
  </w:num>
  <w:num w:numId="34" w16cid:durableId="1243180077">
    <w:abstractNumId w:val="11"/>
  </w:num>
  <w:num w:numId="35" w16cid:durableId="947349641">
    <w:abstractNumId w:val="7"/>
  </w:num>
  <w:num w:numId="36" w16cid:durableId="741802532">
    <w:abstractNumId w:val="39"/>
  </w:num>
  <w:num w:numId="37" w16cid:durableId="1235507197">
    <w:abstractNumId w:val="24"/>
  </w:num>
  <w:num w:numId="38" w16cid:durableId="272789916">
    <w:abstractNumId w:val="20"/>
  </w:num>
  <w:num w:numId="39" w16cid:durableId="242765636">
    <w:abstractNumId w:val="31"/>
  </w:num>
  <w:num w:numId="40" w16cid:durableId="9942029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5F"/>
    <w:rsid w:val="000064F2"/>
    <w:rsid w:val="00017A5C"/>
    <w:rsid w:val="00017F4D"/>
    <w:rsid w:val="00026FAD"/>
    <w:rsid w:val="00033712"/>
    <w:rsid w:val="00063922"/>
    <w:rsid w:val="00072605"/>
    <w:rsid w:val="000812B7"/>
    <w:rsid w:val="000822A9"/>
    <w:rsid w:val="000C4C4A"/>
    <w:rsid w:val="000D00AF"/>
    <w:rsid w:val="000D00F6"/>
    <w:rsid w:val="000D3B78"/>
    <w:rsid w:val="0012209B"/>
    <w:rsid w:val="0014118E"/>
    <w:rsid w:val="001418F0"/>
    <w:rsid w:val="00151078"/>
    <w:rsid w:val="00186C92"/>
    <w:rsid w:val="00227284"/>
    <w:rsid w:val="00230666"/>
    <w:rsid w:val="002F7825"/>
    <w:rsid w:val="002F7D98"/>
    <w:rsid w:val="00316C09"/>
    <w:rsid w:val="00317715"/>
    <w:rsid w:val="00332152"/>
    <w:rsid w:val="00343955"/>
    <w:rsid w:val="003B736D"/>
    <w:rsid w:val="003E4D48"/>
    <w:rsid w:val="003F742F"/>
    <w:rsid w:val="004144CB"/>
    <w:rsid w:val="00442BF6"/>
    <w:rsid w:val="00490BAB"/>
    <w:rsid w:val="004B3B14"/>
    <w:rsid w:val="004C0425"/>
    <w:rsid w:val="004D2C94"/>
    <w:rsid w:val="00516941"/>
    <w:rsid w:val="00530C1A"/>
    <w:rsid w:val="00531218"/>
    <w:rsid w:val="005803FA"/>
    <w:rsid w:val="005B0532"/>
    <w:rsid w:val="005B2276"/>
    <w:rsid w:val="005B3DB7"/>
    <w:rsid w:val="005C532F"/>
    <w:rsid w:val="005D0C13"/>
    <w:rsid w:val="005F67F3"/>
    <w:rsid w:val="005F7C8E"/>
    <w:rsid w:val="00605293"/>
    <w:rsid w:val="00635AE1"/>
    <w:rsid w:val="0065111B"/>
    <w:rsid w:val="00686166"/>
    <w:rsid w:val="00691A5E"/>
    <w:rsid w:val="006B333F"/>
    <w:rsid w:val="006B43CC"/>
    <w:rsid w:val="00732DAC"/>
    <w:rsid w:val="007562B6"/>
    <w:rsid w:val="0076120F"/>
    <w:rsid w:val="007A2E5B"/>
    <w:rsid w:val="007B058C"/>
    <w:rsid w:val="007B223D"/>
    <w:rsid w:val="007C0792"/>
    <w:rsid w:val="007E0588"/>
    <w:rsid w:val="007E0EE9"/>
    <w:rsid w:val="007E78F9"/>
    <w:rsid w:val="00815EB9"/>
    <w:rsid w:val="00835B28"/>
    <w:rsid w:val="00885D2D"/>
    <w:rsid w:val="008D5F4E"/>
    <w:rsid w:val="00956A1C"/>
    <w:rsid w:val="00960A67"/>
    <w:rsid w:val="00974690"/>
    <w:rsid w:val="009858EC"/>
    <w:rsid w:val="009B1A5F"/>
    <w:rsid w:val="009C1CC3"/>
    <w:rsid w:val="00A80E49"/>
    <w:rsid w:val="00A8314E"/>
    <w:rsid w:val="00AB02A9"/>
    <w:rsid w:val="00AE250A"/>
    <w:rsid w:val="00B150E1"/>
    <w:rsid w:val="00B415BA"/>
    <w:rsid w:val="00B43AB6"/>
    <w:rsid w:val="00B63369"/>
    <w:rsid w:val="00B85C60"/>
    <w:rsid w:val="00BC1A37"/>
    <w:rsid w:val="00BF3C65"/>
    <w:rsid w:val="00C0044C"/>
    <w:rsid w:val="00C0180D"/>
    <w:rsid w:val="00C22A6B"/>
    <w:rsid w:val="00C2596B"/>
    <w:rsid w:val="00C4524B"/>
    <w:rsid w:val="00C72D22"/>
    <w:rsid w:val="00CB202F"/>
    <w:rsid w:val="00CC11B5"/>
    <w:rsid w:val="00CD65C0"/>
    <w:rsid w:val="00CF49F7"/>
    <w:rsid w:val="00CF6EC8"/>
    <w:rsid w:val="00D46182"/>
    <w:rsid w:val="00D70F89"/>
    <w:rsid w:val="00D859B1"/>
    <w:rsid w:val="00DC04A6"/>
    <w:rsid w:val="00DD2096"/>
    <w:rsid w:val="00DE02B9"/>
    <w:rsid w:val="00DE5372"/>
    <w:rsid w:val="00E36381"/>
    <w:rsid w:val="00E55F2F"/>
    <w:rsid w:val="00E67A66"/>
    <w:rsid w:val="00E8614A"/>
    <w:rsid w:val="00EB0120"/>
    <w:rsid w:val="00EB69D8"/>
    <w:rsid w:val="00EC4C1A"/>
    <w:rsid w:val="00ED0E1E"/>
    <w:rsid w:val="00ED2A0D"/>
    <w:rsid w:val="00EE4F25"/>
    <w:rsid w:val="00EF20B7"/>
    <w:rsid w:val="00F012F1"/>
    <w:rsid w:val="00F30ECC"/>
    <w:rsid w:val="00F313AB"/>
    <w:rsid w:val="00F325B2"/>
    <w:rsid w:val="00F42745"/>
    <w:rsid w:val="00F6730D"/>
    <w:rsid w:val="00F70522"/>
    <w:rsid w:val="00F82131"/>
    <w:rsid w:val="00FB398E"/>
    <w:rsid w:val="00FC0C2A"/>
    <w:rsid w:val="00FD4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FF75"/>
  <w15:docId w15:val="{6E3D0BAE-5095-4F9A-9AB9-00E7A42D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69"/>
    <w:rPr>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9B1A5F"/>
    <w:pPr>
      <w:ind w:left="720"/>
      <w:contextualSpacing/>
    </w:pPr>
  </w:style>
  <w:style w:type="character" w:styleId="CommentReference">
    <w:name w:val="annotation reference"/>
    <w:basedOn w:val="DefaultParagraphFont"/>
    <w:uiPriority w:val="99"/>
    <w:semiHidden/>
    <w:unhideWhenUsed/>
    <w:rsid w:val="009B1A5F"/>
    <w:rPr>
      <w:sz w:val="16"/>
      <w:szCs w:val="16"/>
    </w:rPr>
  </w:style>
  <w:style w:type="paragraph" w:styleId="CommentText">
    <w:name w:val="annotation text"/>
    <w:basedOn w:val="Normal"/>
    <w:link w:val="CommentTextChar"/>
    <w:uiPriority w:val="99"/>
    <w:unhideWhenUsed/>
    <w:rsid w:val="009B1A5F"/>
    <w:pPr>
      <w:spacing w:line="240" w:lineRule="auto"/>
    </w:pPr>
    <w:rPr>
      <w:sz w:val="20"/>
      <w:szCs w:val="20"/>
    </w:rPr>
  </w:style>
  <w:style w:type="character" w:customStyle="1" w:styleId="CommentTextChar">
    <w:name w:val="Comment Text Char"/>
    <w:basedOn w:val="DefaultParagraphFont"/>
    <w:link w:val="CommentText"/>
    <w:uiPriority w:val="99"/>
    <w:rsid w:val="009B1A5F"/>
    <w:rPr>
      <w:sz w:val="20"/>
      <w:szCs w:val="20"/>
      <w:lang w:val="fr-LU"/>
    </w:rPr>
  </w:style>
  <w:style w:type="paragraph" w:styleId="BalloonText">
    <w:name w:val="Balloon Text"/>
    <w:basedOn w:val="Normal"/>
    <w:link w:val="BalloonTextChar"/>
    <w:uiPriority w:val="99"/>
    <w:semiHidden/>
    <w:unhideWhenUsed/>
    <w:rsid w:val="009B1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F"/>
    <w:rPr>
      <w:rFonts w:ascii="Tahoma" w:hAnsi="Tahoma" w:cs="Tahoma"/>
      <w:sz w:val="16"/>
      <w:szCs w:val="16"/>
      <w:lang w:val="fr-LU"/>
    </w:rPr>
  </w:style>
  <w:style w:type="paragraph" w:customStyle="1" w:styleId="doc-ti">
    <w:name w:val="doc-ti"/>
    <w:basedOn w:val="Normal"/>
    <w:rsid w:val="009B1A5F"/>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customStyle="1" w:styleId="ListParagraphChar">
    <w:name w:val="List Paragraph Char"/>
    <w:aliases w:val="List Paragraph-2 Char"/>
    <w:link w:val="ListParagraph"/>
    <w:uiPriority w:val="34"/>
    <w:locked/>
    <w:rsid w:val="00343955"/>
    <w:rPr>
      <w:lang w:val="fr-LU"/>
    </w:rPr>
  </w:style>
  <w:style w:type="paragraph" w:styleId="CommentSubject">
    <w:name w:val="annotation subject"/>
    <w:basedOn w:val="CommentText"/>
    <w:next w:val="CommentText"/>
    <w:link w:val="CommentSubjectChar"/>
    <w:uiPriority w:val="99"/>
    <w:semiHidden/>
    <w:unhideWhenUsed/>
    <w:rsid w:val="00343955"/>
    <w:rPr>
      <w:b/>
      <w:bCs/>
    </w:rPr>
  </w:style>
  <w:style w:type="character" w:customStyle="1" w:styleId="CommentSubjectChar">
    <w:name w:val="Comment Subject Char"/>
    <w:basedOn w:val="CommentTextChar"/>
    <w:link w:val="CommentSubject"/>
    <w:uiPriority w:val="99"/>
    <w:semiHidden/>
    <w:rsid w:val="00343955"/>
    <w:rPr>
      <w:b/>
      <w:bCs/>
      <w:sz w:val="20"/>
      <w:szCs w:val="20"/>
      <w:lang w:val="fr-LU"/>
    </w:rPr>
  </w:style>
  <w:style w:type="paragraph" w:styleId="FootnoteText">
    <w:name w:val="footnote text"/>
    <w:basedOn w:val="Normal"/>
    <w:link w:val="FootnoteTextChar"/>
    <w:uiPriority w:val="99"/>
    <w:semiHidden/>
    <w:unhideWhenUsed/>
    <w:rsid w:val="00EF2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0B7"/>
    <w:rPr>
      <w:sz w:val="20"/>
      <w:szCs w:val="20"/>
      <w:lang w:val="fr-LU"/>
    </w:rPr>
  </w:style>
  <w:style w:type="character" w:styleId="FootnoteReference">
    <w:name w:val="footnote reference"/>
    <w:basedOn w:val="DefaultParagraphFont"/>
    <w:uiPriority w:val="99"/>
    <w:semiHidden/>
    <w:unhideWhenUsed/>
    <w:rsid w:val="00EF20B7"/>
    <w:rPr>
      <w:vertAlign w:val="superscript"/>
    </w:rPr>
  </w:style>
  <w:style w:type="table" w:styleId="TableGrid">
    <w:name w:val="Table Grid"/>
    <w:basedOn w:val="TableNormal"/>
    <w:uiPriority w:val="59"/>
    <w:rsid w:val="00D7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70522"/>
    <w:rPr>
      <w:color w:val="0000FF"/>
      <w:u w:val="single"/>
    </w:rPr>
  </w:style>
  <w:style w:type="paragraph" w:customStyle="1" w:styleId="oj-ti-art">
    <w:name w:val="oj-ti-art"/>
    <w:basedOn w:val="Normal"/>
    <w:rsid w:val="005B3D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sti-art">
    <w:name w:val="oj-sti-art"/>
    <w:basedOn w:val="Normal"/>
    <w:rsid w:val="005B3D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normal">
    <w:name w:val="oj-normal"/>
    <w:basedOn w:val="Normal"/>
    <w:rsid w:val="005B3D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9859">
      <w:bodyDiv w:val="1"/>
      <w:marLeft w:val="0"/>
      <w:marRight w:val="0"/>
      <w:marTop w:val="0"/>
      <w:marBottom w:val="0"/>
      <w:divBdr>
        <w:top w:val="none" w:sz="0" w:space="0" w:color="auto"/>
        <w:left w:val="none" w:sz="0" w:space="0" w:color="auto"/>
        <w:bottom w:val="none" w:sz="0" w:space="0" w:color="auto"/>
        <w:right w:val="none" w:sz="0" w:space="0" w:color="auto"/>
      </w:divBdr>
    </w:div>
    <w:div w:id="99188167">
      <w:bodyDiv w:val="1"/>
      <w:marLeft w:val="0"/>
      <w:marRight w:val="0"/>
      <w:marTop w:val="0"/>
      <w:marBottom w:val="0"/>
      <w:divBdr>
        <w:top w:val="none" w:sz="0" w:space="0" w:color="auto"/>
        <w:left w:val="none" w:sz="0" w:space="0" w:color="auto"/>
        <w:bottom w:val="none" w:sz="0" w:space="0" w:color="auto"/>
        <w:right w:val="none" w:sz="0" w:space="0" w:color="auto"/>
      </w:divBdr>
    </w:div>
    <w:div w:id="156651898">
      <w:bodyDiv w:val="1"/>
      <w:marLeft w:val="0"/>
      <w:marRight w:val="0"/>
      <w:marTop w:val="0"/>
      <w:marBottom w:val="0"/>
      <w:divBdr>
        <w:top w:val="none" w:sz="0" w:space="0" w:color="auto"/>
        <w:left w:val="none" w:sz="0" w:space="0" w:color="auto"/>
        <w:bottom w:val="none" w:sz="0" w:space="0" w:color="auto"/>
        <w:right w:val="none" w:sz="0" w:space="0" w:color="auto"/>
      </w:divBdr>
    </w:div>
    <w:div w:id="247739593">
      <w:bodyDiv w:val="1"/>
      <w:marLeft w:val="0"/>
      <w:marRight w:val="0"/>
      <w:marTop w:val="0"/>
      <w:marBottom w:val="0"/>
      <w:divBdr>
        <w:top w:val="none" w:sz="0" w:space="0" w:color="auto"/>
        <w:left w:val="none" w:sz="0" w:space="0" w:color="auto"/>
        <w:bottom w:val="none" w:sz="0" w:space="0" w:color="auto"/>
        <w:right w:val="none" w:sz="0" w:space="0" w:color="auto"/>
      </w:divBdr>
    </w:div>
    <w:div w:id="325785409">
      <w:bodyDiv w:val="1"/>
      <w:marLeft w:val="0"/>
      <w:marRight w:val="0"/>
      <w:marTop w:val="0"/>
      <w:marBottom w:val="0"/>
      <w:divBdr>
        <w:top w:val="none" w:sz="0" w:space="0" w:color="auto"/>
        <w:left w:val="none" w:sz="0" w:space="0" w:color="auto"/>
        <w:bottom w:val="none" w:sz="0" w:space="0" w:color="auto"/>
        <w:right w:val="none" w:sz="0" w:space="0" w:color="auto"/>
      </w:divBdr>
    </w:div>
    <w:div w:id="375858588">
      <w:bodyDiv w:val="1"/>
      <w:marLeft w:val="0"/>
      <w:marRight w:val="0"/>
      <w:marTop w:val="0"/>
      <w:marBottom w:val="0"/>
      <w:divBdr>
        <w:top w:val="none" w:sz="0" w:space="0" w:color="auto"/>
        <w:left w:val="none" w:sz="0" w:space="0" w:color="auto"/>
        <w:bottom w:val="none" w:sz="0" w:space="0" w:color="auto"/>
        <w:right w:val="none" w:sz="0" w:space="0" w:color="auto"/>
      </w:divBdr>
    </w:div>
    <w:div w:id="389499684">
      <w:bodyDiv w:val="1"/>
      <w:marLeft w:val="0"/>
      <w:marRight w:val="0"/>
      <w:marTop w:val="0"/>
      <w:marBottom w:val="0"/>
      <w:divBdr>
        <w:top w:val="none" w:sz="0" w:space="0" w:color="auto"/>
        <w:left w:val="none" w:sz="0" w:space="0" w:color="auto"/>
        <w:bottom w:val="none" w:sz="0" w:space="0" w:color="auto"/>
        <w:right w:val="none" w:sz="0" w:space="0" w:color="auto"/>
      </w:divBdr>
    </w:div>
    <w:div w:id="484932074">
      <w:bodyDiv w:val="1"/>
      <w:marLeft w:val="0"/>
      <w:marRight w:val="0"/>
      <w:marTop w:val="0"/>
      <w:marBottom w:val="0"/>
      <w:divBdr>
        <w:top w:val="none" w:sz="0" w:space="0" w:color="auto"/>
        <w:left w:val="none" w:sz="0" w:space="0" w:color="auto"/>
        <w:bottom w:val="none" w:sz="0" w:space="0" w:color="auto"/>
        <w:right w:val="none" w:sz="0" w:space="0" w:color="auto"/>
      </w:divBdr>
    </w:div>
    <w:div w:id="583686763">
      <w:bodyDiv w:val="1"/>
      <w:marLeft w:val="0"/>
      <w:marRight w:val="0"/>
      <w:marTop w:val="0"/>
      <w:marBottom w:val="0"/>
      <w:divBdr>
        <w:top w:val="none" w:sz="0" w:space="0" w:color="auto"/>
        <w:left w:val="none" w:sz="0" w:space="0" w:color="auto"/>
        <w:bottom w:val="none" w:sz="0" w:space="0" w:color="auto"/>
        <w:right w:val="none" w:sz="0" w:space="0" w:color="auto"/>
      </w:divBdr>
    </w:div>
    <w:div w:id="647562736">
      <w:bodyDiv w:val="1"/>
      <w:marLeft w:val="0"/>
      <w:marRight w:val="0"/>
      <w:marTop w:val="0"/>
      <w:marBottom w:val="0"/>
      <w:divBdr>
        <w:top w:val="none" w:sz="0" w:space="0" w:color="auto"/>
        <w:left w:val="none" w:sz="0" w:space="0" w:color="auto"/>
        <w:bottom w:val="none" w:sz="0" w:space="0" w:color="auto"/>
        <w:right w:val="none" w:sz="0" w:space="0" w:color="auto"/>
      </w:divBdr>
    </w:div>
    <w:div w:id="673453274">
      <w:bodyDiv w:val="1"/>
      <w:marLeft w:val="0"/>
      <w:marRight w:val="0"/>
      <w:marTop w:val="0"/>
      <w:marBottom w:val="0"/>
      <w:divBdr>
        <w:top w:val="none" w:sz="0" w:space="0" w:color="auto"/>
        <w:left w:val="none" w:sz="0" w:space="0" w:color="auto"/>
        <w:bottom w:val="none" w:sz="0" w:space="0" w:color="auto"/>
        <w:right w:val="none" w:sz="0" w:space="0" w:color="auto"/>
      </w:divBdr>
    </w:div>
    <w:div w:id="726488298">
      <w:bodyDiv w:val="1"/>
      <w:marLeft w:val="0"/>
      <w:marRight w:val="0"/>
      <w:marTop w:val="0"/>
      <w:marBottom w:val="0"/>
      <w:divBdr>
        <w:top w:val="none" w:sz="0" w:space="0" w:color="auto"/>
        <w:left w:val="none" w:sz="0" w:space="0" w:color="auto"/>
        <w:bottom w:val="none" w:sz="0" w:space="0" w:color="auto"/>
        <w:right w:val="none" w:sz="0" w:space="0" w:color="auto"/>
      </w:divBdr>
    </w:div>
    <w:div w:id="859391174">
      <w:bodyDiv w:val="1"/>
      <w:marLeft w:val="0"/>
      <w:marRight w:val="0"/>
      <w:marTop w:val="0"/>
      <w:marBottom w:val="0"/>
      <w:divBdr>
        <w:top w:val="none" w:sz="0" w:space="0" w:color="auto"/>
        <w:left w:val="none" w:sz="0" w:space="0" w:color="auto"/>
        <w:bottom w:val="none" w:sz="0" w:space="0" w:color="auto"/>
        <w:right w:val="none" w:sz="0" w:space="0" w:color="auto"/>
      </w:divBdr>
    </w:div>
    <w:div w:id="880477811">
      <w:bodyDiv w:val="1"/>
      <w:marLeft w:val="0"/>
      <w:marRight w:val="0"/>
      <w:marTop w:val="0"/>
      <w:marBottom w:val="0"/>
      <w:divBdr>
        <w:top w:val="none" w:sz="0" w:space="0" w:color="auto"/>
        <w:left w:val="none" w:sz="0" w:space="0" w:color="auto"/>
        <w:bottom w:val="none" w:sz="0" w:space="0" w:color="auto"/>
        <w:right w:val="none" w:sz="0" w:space="0" w:color="auto"/>
      </w:divBdr>
      <w:divsChild>
        <w:div w:id="1674838763">
          <w:marLeft w:val="0"/>
          <w:marRight w:val="0"/>
          <w:marTop w:val="0"/>
          <w:marBottom w:val="0"/>
          <w:divBdr>
            <w:top w:val="none" w:sz="0" w:space="0" w:color="auto"/>
            <w:left w:val="none" w:sz="0" w:space="0" w:color="auto"/>
            <w:bottom w:val="none" w:sz="0" w:space="0" w:color="auto"/>
            <w:right w:val="none" w:sz="0" w:space="0" w:color="auto"/>
          </w:divBdr>
        </w:div>
        <w:div w:id="1263687485">
          <w:marLeft w:val="0"/>
          <w:marRight w:val="0"/>
          <w:marTop w:val="0"/>
          <w:marBottom w:val="0"/>
          <w:divBdr>
            <w:top w:val="none" w:sz="0" w:space="0" w:color="auto"/>
            <w:left w:val="none" w:sz="0" w:space="0" w:color="auto"/>
            <w:bottom w:val="none" w:sz="0" w:space="0" w:color="auto"/>
            <w:right w:val="none" w:sz="0" w:space="0" w:color="auto"/>
          </w:divBdr>
          <w:divsChild>
            <w:div w:id="1765806755">
              <w:marLeft w:val="0"/>
              <w:marRight w:val="0"/>
              <w:marTop w:val="0"/>
              <w:marBottom w:val="0"/>
              <w:divBdr>
                <w:top w:val="none" w:sz="0" w:space="0" w:color="auto"/>
                <w:left w:val="none" w:sz="0" w:space="0" w:color="auto"/>
                <w:bottom w:val="none" w:sz="0" w:space="0" w:color="auto"/>
                <w:right w:val="none" w:sz="0" w:space="0" w:color="auto"/>
              </w:divBdr>
            </w:div>
            <w:div w:id="933175357">
              <w:marLeft w:val="0"/>
              <w:marRight w:val="0"/>
              <w:marTop w:val="0"/>
              <w:marBottom w:val="0"/>
              <w:divBdr>
                <w:top w:val="none" w:sz="0" w:space="0" w:color="auto"/>
                <w:left w:val="none" w:sz="0" w:space="0" w:color="auto"/>
                <w:bottom w:val="none" w:sz="0" w:space="0" w:color="auto"/>
                <w:right w:val="none" w:sz="0" w:space="0" w:color="auto"/>
              </w:divBdr>
            </w:div>
          </w:divsChild>
        </w:div>
        <w:div w:id="967932698">
          <w:marLeft w:val="0"/>
          <w:marRight w:val="0"/>
          <w:marTop w:val="0"/>
          <w:marBottom w:val="0"/>
          <w:divBdr>
            <w:top w:val="none" w:sz="0" w:space="0" w:color="auto"/>
            <w:left w:val="none" w:sz="0" w:space="0" w:color="auto"/>
            <w:bottom w:val="none" w:sz="0" w:space="0" w:color="auto"/>
            <w:right w:val="none" w:sz="0" w:space="0" w:color="auto"/>
          </w:divBdr>
          <w:divsChild>
            <w:div w:id="1718431796">
              <w:marLeft w:val="0"/>
              <w:marRight w:val="0"/>
              <w:marTop w:val="0"/>
              <w:marBottom w:val="0"/>
              <w:divBdr>
                <w:top w:val="none" w:sz="0" w:space="0" w:color="auto"/>
                <w:left w:val="none" w:sz="0" w:space="0" w:color="auto"/>
                <w:bottom w:val="none" w:sz="0" w:space="0" w:color="auto"/>
                <w:right w:val="none" w:sz="0" w:space="0" w:color="auto"/>
              </w:divBdr>
            </w:div>
            <w:div w:id="269169736">
              <w:marLeft w:val="0"/>
              <w:marRight w:val="0"/>
              <w:marTop w:val="0"/>
              <w:marBottom w:val="0"/>
              <w:divBdr>
                <w:top w:val="none" w:sz="0" w:space="0" w:color="auto"/>
                <w:left w:val="none" w:sz="0" w:space="0" w:color="auto"/>
                <w:bottom w:val="none" w:sz="0" w:space="0" w:color="auto"/>
                <w:right w:val="none" w:sz="0" w:space="0" w:color="auto"/>
              </w:divBdr>
            </w:div>
          </w:divsChild>
        </w:div>
        <w:div w:id="1352100847">
          <w:marLeft w:val="0"/>
          <w:marRight w:val="0"/>
          <w:marTop w:val="0"/>
          <w:marBottom w:val="0"/>
          <w:divBdr>
            <w:top w:val="none" w:sz="0" w:space="0" w:color="auto"/>
            <w:left w:val="none" w:sz="0" w:space="0" w:color="auto"/>
            <w:bottom w:val="none" w:sz="0" w:space="0" w:color="auto"/>
            <w:right w:val="none" w:sz="0" w:space="0" w:color="auto"/>
          </w:divBdr>
        </w:div>
        <w:div w:id="667830717">
          <w:marLeft w:val="0"/>
          <w:marRight w:val="0"/>
          <w:marTop w:val="0"/>
          <w:marBottom w:val="0"/>
          <w:divBdr>
            <w:top w:val="none" w:sz="0" w:space="0" w:color="auto"/>
            <w:left w:val="none" w:sz="0" w:space="0" w:color="auto"/>
            <w:bottom w:val="none" w:sz="0" w:space="0" w:color="auto"/>
            <w:right w:val="none" w:sz="0" w:space="0" w:color="auto"/>
          </w:divBdr>
        </w:div>
        <w:div w:id="2014331488">
          <w:marLeft w:val="0"/>
          <w:marRight w:val="0"/>
          <w:marTop w:val="0"/>
          <w:marBottom w:val="0"/>
          <w:divBdr>
            <w:top w:val="none" w:sz="0" w:space="0" w:color="auto"/>
            <w:left w:val="none" w:sz="0" w:space="0" w:color="auto"/>
            <w:bottom w:val="none" w:sz="0" w:space="0" w:color="auto"/>
            <w:right w:val="none" w:sz="0" w:space="0" w:color="auto"/>
          </w:divBdr>
        </w:div>
        <w:div w:id="190539467">
          <w:marLeft w:val="0"/>
          <w:marRight w:val="0"/>
          <w:marTop w:val="0"/>
          <w:marBottom w:val="0"/>
          <w:divBdr>
            <w:top w:val="none" w:sz="0" w:space="0" w:color="auto"/>
            <w:left w:val="none" w:sz="0" w:space="0" w:color="auto"/>
            <w:bottom w:val="none" w:sz="0" w:space="0" w:color="auto"/>
            <w:right w:val="none" w:sz="0" w:space="0" w:color="auto"/>
          </w:divBdr>
        </w:div>
        <w:div w:id="758644840">
          <w:marLeft w:val="0"/>
          <w:marRight w:val="0"/>
          <w:marTop w:val="0"/>
          <w:marBottom w:val="0"/>
          <w:divBdr>
            <w:top w:val="none" w:sz="0" w:space="0" w:color="auto"/>
            <w:left w:val="none" w:sz="0" w:space="0" w:color="auto"/>
            <w:bottom w:val="none" w:sz="0" w:space="0" w:color="auto"/>
            <w:right w:val="none" w:sz="0" w:space="0" w:color="auto"/>
          </w:divBdr>
        </w:div>
        <w:div w:id="1011032263">
          <w:marLeft w:val="0"/>
          <w:marRight w:val="0"/>
          <w:marTop w:val="0"/>
          <w:marBottom w:val="0"/>
          <w:divBdr>
            <w:top w:val="none" w:sz="0" w:space="0" w:color="auto"/>
            <w:left w:val="none" w:sz="0" w:space="0" w:color="auto"/>
            <w:bottom w:val="none" w:sz="0" w:space="0" w:color="auto"/>
            <w:right w:val="none" w:sz="0" w:space="0" w:color="auto"/>
          </w:divBdr>
        </w:div>
        <w:div w:id="580522923">
          <w:marLeft w:val="0"/>
          <w:marRight w:val="0"/>
          <w:marTop w:val="0"/>
          <w:marBottom w:val="0"/>
          <w:divBdr>
            <w:top w:val="none" w:sz="0" w:space="0" w:color="auto"/>
            <w:left w:val="none" w:sz="0" w:space="0" w:color="auto"/>
            <w:bottom w:val="none" w:sz="0" w:space="0" w:color="auto"/>
            <w:right w:val="none" w:sz="0" w:space="0" w:color="auto"/>
          </w:divBdr>
        </w:div>
        <w:div w:id="55131581">
          <w:marLeft w:val="0"/>
          <w:marRight w:val="0"/>
          <w:marTop w:val="0"/>
          <w:marBottom w:val="0"/>
          <w:divBdr>
            <w:top w:val="none" w:sz="0" w:space="0" w:color="auto"/>
            <w:left w:val="none" w:sz="0" w:space="0" w:color="auto"/>
            <w:bottom w:val="none" w:sz="0" w:space="0" w:color="auto"/>
            <w:right w:val="none" w:sz="0" w:space="0" w:color="auto"/>
          </w:divBdr>
        </w:div>
        <w:div w:id="436027896">
          <w:marLeft w:val="0"/>
          <w:marRight w:val="0"/>
          <w:marTop w:val="0"/>
          <w:marBottom w:val="0"/>
          <w:divBdr>
            <w:top w:val="none" w:sz="0" w:space="0" w:color="auto"/>
            <w:left w:val="none" w:sz="0" w:space="0" w:color="auto"/>
            <w:bottom w:val="none" w:sz="0" w:space="0" w:color="auto"/>
            <w:right w:val="none" w:sz="0" w:space="0" w:color="auto"/>
          </w:divBdr>
        </w:div>
        <w:div w:id="2051178253">
          <w:marLeft w:val="0"/>
          <w:marRight w:val="0"/>
          <w:marTop w:val="0"/>
          <w:marBottom w:val="0"/>
          <w:divBdr>
            <w:top w:val="none" w:sz="0" w:space="0" w:color="auto"/>
            <w:left w:val="none" w:sz="0" w:space="0" w:color="auto"/>
            <w:bottom w:val="none" w:sz="0" w:space="0" w:color="auto"/>
            <w:right w:val="none" w:sz="0" w:space="0" w:color="auto"/>
          </w:divBdr>
          <w:divsChild>
            <w:div w:id="1513110265">
              <w:marLeft w:val="0"/>
              <w:marRight w:val="0"/>
              <w:marTop w:val="0"/>
              <w:marBottom w:val="0"/>
              <w:divBdr>
                <w:top w:val="none" w:sz="0" w:space="0" w:color="auto"/>
                <w:left w:val="none" w:sz="0" w:space="0" w:color="auto"/>
                <w:bottom w:val="none" w:sz="0" w:space="0" w:color="auto"/>
                <w:right w:val="none" w:sz="0" w:space="0" w:color="auto"/>
              </w:divBdr>
            </w:div>
            <w:div w:id="18605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3078">
      <w:bodyDiv w:val="1"/>
      <w:marLeft w:val="0"/>
      <w:marRight w:val="0"/>
      <w:marTop w:val="0"/>
      <w:marBottom w:val="0"/>
      <w:divBdr>
        <w:top w:val="none" w:sz="0" w:space="0" w:color="auto"/>
        <w:left w:val="none" w:sz="0" w:space="0" w:color="auto"/>
        <w:bottom w:val="none" w:sz="0" w:space="0" w:color="auto"/>
        <w:right w:val="none" w:sz="0" w:space="0" w:color="auto"/>
      </w:divBdr>
    </w:div>
    <w:div w:id="1025211256">
      <w:bodyDiv w:val="1"/>
      <w:marLeft w:val="0"/>
      <w:marRight w:val="0"/>
      <w:marTop w:val="0"/>
      <w:marBottom w:val="0"/>
      <w:divBdr>
        <w:top w:val="none" w:sz="0" w:space="0" w:color="auto"/>
        <w:left w:val="none" w:sz="0" w:space="0" w:color="auto"/>
        <w:bottom w:val="none" w:sz="0" w:space="0" w:color="auto"/>
        <w:right w:val="none" w:sz="0" w:space="0" w:color="auto"/>
      </w:divBdr>
    </w:div>
    <w:div w:id="1031759818">
      <w:bodyDiv w:val="1"/>
      <w:marLeft w:val="0"/>
      <w:marRight w:val="0"/>
      <w:marTop w:val="0"/>
      <w:marBottom w:val="0"/>
      <w:divBdr>
        <w:top w:val="none" w:sz="0" w:space="0" w:color="auto"/>
        <w:left w:val="none" w:sz="0" w:space="0" w:color="auto"/>
        <w:bottom w:val="none" w:sz="0" w:space="0" w:color="auto"/>
        <w:right w:val="none" w:sz="0" w:space="0" w:color="auto"/>
      </w:divBdr>
    </w:div>
    <w:div w:id="1141116462">
      <w:bodyDiv w:val="1"/>
      <w:marLeft w:val="0"/>
      <w:marRight w:val="0"/>
      <w:marTop w:val="0"/>
      <w:marBottom w:val="0"/>
      <w:divBdr>
        <w:top w:val="none" w:sz="0" w:space="0" w:color="auto"/>
        <w:left w:val="none" w:sz="0" w:space="0" w:color="auto"/>
        <w:bottom w:val="none" w:sz="0" w:space="0" w:color="auto"/>
        <w:right w:val="none" w:sz="0" w:space="0" w:color="auto"/>
      </w:divBdr>
    </w:div>
    <w:div w:id="1177386307">
      <w:bodyDiv w:val="1"/>
      <w:marLeft w:val="0"/>
      <w:marRight w:val="0"/>
      <w:marTop w:val="0"/>
      <w:marBottom w:val="0"/>
      <w:divBdr>
        <w:top w:val="none" w:sz="0" w:space="0" w:color="auto"/>
        <w:left w:val="none" w:sz="0" w:space="0" w:color="auto"/>
        <w:bottom w:val="none" w:sz="0" w:space="0" w:color="auto"/>
        <w:right w:val="none" w:sz="0" w:space="0" w:color="auto"/>
      </w:divBdr>
    </w:div>
    <w:div w:id="1196307836">
      <w:bodyDiv w:val="1"/>
      <w:marLeft w:val="0"/>
      <w:marRight w:val="0"/>
      <w:marTop w:val="0"/>
      <w:marBottom w:val="0"/>
      <w:divBdr>
        <w:top w:val="none" w:sz="0" w:space="0" w:color="auto"/>
        <w:left w:val="none" w:sz="0" w:space="0" w:color="auto"/>
        <w:bottom w:val="none" w:sz="0" w:space="0" w:color="auto"/>
        <w:right w:val="none" w:sz="0" w:space="0" w:color="auto"/>
      </w:divBdr>
    </w:div>
    <w:div w:id="1260061937">
      <w:bodyDiv w:val="1"/>
      <w:marLeft w:val="0"/>
      <w:marRight w:val="0"/>
      <w:marTop w:val="0"/>
      <w:marBottom w:val="0"/>
      <w:divBdr>
        <w:top w:val="none" w:sz="0" w:space="0" w:color="auto"/>
        <w:left w:val="none" w:sz="0" w:space="0" w:color="auto"/>
        <w:bottom w:val="none" w:sz="0" w:space="0" w:color="auto"/>
        <w:right w:val="none" w:sz="0" w:space="0" w:color="auto"/>
      </w:divBdr>
    </w:div>
    <w:div w:id="1317882121">
      <w:bodyDiv w:val="1"/>
      <w:marLeft w:val="0"/>
      <w:marRight w:val="0"/>
      <w:marTop w:val="0"/>
      <w:marBottom w:val="0"/>
      <w:divBdr>
        <w:top w:val="none" w:sz="0" w:space="0" w:color="auto"/>
        <w:left w:val="none" w:sz="0" w:space="0" w:color="auto"/>
        <w:bottom w:val="none" w:sz="0" w:space="0" w:color="auto"/>
        <w:right w:val="none" w:sz="0" w:space="0" w:color="auto"/>
      </w:divBdr>
    </w:div>
    <w:div w:id="1322345986">
      <w:bodyDiv w:val="1"/>
      <w:marLeft w:val="0"/>
      <w:marRight w:val="0"/>
      <w:marTop w:val="0"/>
      <w:marBottom w:val="0"/>
      <w:divBdr>
        <w:top w:val="none" w:sz="0" w:space="0" w:color="auto"/>
        <w:left w:val="none" w:sz="0" w:space="0" w:color="auto"/>
        <w:bottom w:val="none" w:sz="0" w:space="0" w:color="auto"/>
        <w:right w:val="none" w:sz="0" w:space="0" w:color="auto"/>
      </w:divBdr>
    </w:div>
    <w:div w:id="1514762216">
      <w:bodyDiv w:val="1"/>
      <w:marLeft w:val="0"/>
      <w:marRight w:val="0"/>
      <w:marTop w:val="0"/>
      <w:marBottom w:val="0"/>
      <w:divBdr>
        <w:top w:val="none" w:sz="0" w:space="0" w:color="auto"/>
        <w:left w:val="none" w:sz="0" w:space="0" w:color="auto"/>
        <w:bottom w:val="none" w:sz="0" w:space="0" w:color="auto"/>
        <w:right w:val="none" w:sz="0" w:space="0" w:color="auto"/>
      </w:divBdr>
    </w:div>
    <w:div w:id="1612661065">
      <w:bodyDiv w:val="1"/>
      <w:marLeft w:val="0"/>
      <w:marRight w:val="0"/>
      <w:marTop w:val="0"/>
      <w:marBottom w:val="0"/>
      <w:divBdr>
        <w:top w:val="none" w:sz="0" w:space="0" w:color="auto"/>
        <w:left w:val="none" w:sz="0" w:space="0" w:color="auto"/>
        <w:bottom w:val="none" w:sz="0" w:space="0" w:color="auto"/>
        <w:right w:val="none" w:sz="0" w:space="0" w:color="auto"/>
      </w:divBdr>
    </w:div>
    <w:div w:id="1691489539">
      <w:bodyDiv w:val="1"/>
      <w:marLeft w:val="0"/>
      <w:marRight w:val="0"/>
      <w:marTop w:val="0"/>
      <w:marBottom w:val="0"/>
      <w:divBdr>
        <w:top w:val="none" w:sz="0" w:space="0" w:color="auto"/>
        <w:left w:val="none" w:sz="0" w:space="0" w:color="auto"/>
        <w:bottom w:val="none" w:sz="0" w:space="0" w:color="auto"/>
        <w:right w:val="none" w:sz="0" w:space="0" w:color="auto"/>
      </w:divBdr>
    </w:div>
    <w:div w:id="1813868731">
      <w:bodyDiv w:val="1"/>
      <w:marLeft w:val="0"/>
      <w:marRight w:val="0"/>
      <w:marTop w:val="0"/>
      <w:marBottom w:val="0"/>
      <w:divBdr>
        <w:top w:val="none" w:sz="0" w:space="0" w:color="auto"/>
        <w:left w:val="none" w:sz="0" w:space="0" w:color="auto"/>
        <w:bottom w:val="none" w:sz="0" w:space="0" w:color="auto"/>
        <w:right w:val="none" w:sz="0" w:space="0" w:color="auto"/>
      </w:divBdr>
    </w:div>
    <w:div w:id="1913462121">
      <w:bodyDiv w:val="1"/>
      <w:marLeft w:val="0"/>
      <w:marRight w:val="0"/>
      <w:marTop w:val="0"/>
      <w:marBottom w:val="0"/>
      <w:divBdr>
        <w:top w:val="none" w:sz="0" w:space="0" w:color="auto"/>
        <w:left w:val="none" w:sz="0" w:space="0" w:color="auto"/>
        <w:bottom w:val="none" w:sz="0" w:space="0" w:color="auto"/>
        <w:right w:val="none" w:sz="0" w:space="0" w:color="auto"/>
      </w:divBdr>
    </w:div>
    <w:div w:id="20004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569E-145C-4FF7-A3C4-72074845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2642</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Arendt &amp; Medernach</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Nevine Elsherif</dc:creator>
  <cp:lastModifiedBy>Mélanie Somme</cp:lastModifiedBy>
  <cp:revision>4</cp:revision>
  <dcterms:created xsi:type="dcterms:W3CDTF">2025-06-03T12:44:00Z</dcterms:created>
  <dcterms:modified xsi:type="dcterms:W3CDTF">2025-06-03T13:04:00Z</dcterms:modified>
</cp:coreProperties>
</file>