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D4B3" w14:textId="77777777" w:rsidR="003E7D48" w:rsidRDefault="00DD5307">
      <w:pPr>
        <w:spacing w:line="265" w:lineRule="exact"/>
        <w:jc w:val="center"/>
        <w:textAlignment w:val="baseline"/>
        <w:rPr>
          <w:rFonts w:ascii="Tahoma" w:eastAsia="Tahoma" w:hAnsi="Tahoma"/>
          <w:color w:val="5C886B"/>
          <w:spacing w:val="8"/>
        </w:rPr>
      </w:pPr>
      <w:r>
        <w:rPr>
          <w:rFonts w:ascii="Tahoma" w:eastAsia="Tahoma" w:hAnsi="Tahoma"/>
          <w:color w:val="5C886B"/>
          <w:spacing w:val="8"/>
        </w:rPr>
        <w:t>Article 10 SFDR Sustainability-related website disclosures</w:t>
      </w:r>
      <w:r>
        <w:rPr>
          <w:rStyle w:val="FootnoteReference"/>
          <w:rFonts w:ascii="Tahoma" w:eastAsia="Tahoma" w:hAnsi="Tahoma"/>
          <w:color w:val="5C886B"/>
          <w:spacing w:val="8"/>
        </w:rPr>
        <w:footnoteReference w:id="1"/>
      </w:r>
      <w:r>
        <w:rPr>
          <w:rFonts w:ascii="Tahoma" w:eastAsia="Tahoma" w:hAnsi="Tahoma"/>
          <w:color w:val="5C886B"/>
          <w:spacing w:val="8"/>
        </w:rPr>
        <w:t xml:space="preserve"> </w:t>
      </w:r>
    </w:p>
    <w:p w14:paraId="442586FB" w14:textId="77777777" w:rsidR="00DD5307" w:rsidRDefault="00DD5307">
      <w:pPr>
        <w:spacing w:line="265" w:lineRule="exact"/>
        <w:jc w:val="center"/>
        <w:textAlignment w:val="baseline"/>
        <w:rPr>
          <w:rFonts w:ascii="Tahoma" w:eastAsia="Tahoma" w:hAnsi="Tahoma"/>
          <w:color w:val="5C886B"/>
          <w:spacing w:val="8"/>
        </w:rPr>
      </w:pPr>
    </w:p>
    <w:p w14:paraId="6EB82E9C" w14:textId="77777777" w:rsidR="00DD5307" w:rsidRDefault="00DD5307">
      <w:pPr>
        <w:spacing w:line="265" w:lineRule="exact"/>
        <w:jc w:val="center"/>
        <w:textAlignment w:val="baseline"/>
        <w:rPr>
          <w:rFonts w:ascii="Tahoma" w:eastAsia="Tahoma" w:hAnsi="Tahoma"/>
          <w:color w:val="5C886B"/>
          <w:spacing w:val="8"/>
        </w:rPr>
      </w:pPr>
      <w:r>
        <w:rPr>
          <w:rFonts w:ascii="Tahoma" w:eastAsia="Tahoma" w:hAnsi="Tahoma"/>
          <w:color w:val="5C886B"/>
          <w:spacing w:val="8"/>
        </w:rPr>
        <w:t>TRANSATLANTIQUE SPECIAL OPPORTUNITIES S.A. SICAV-RAIF – OPPORTUNITY 2022</w:t>
      </w:r>
    </w:p>
    <w:p w14:paraId="2AE1184D" w14:textId="77777777" w:rsidR="00DD5307" w:rsidRDefault="00DD5307">
      <w:pPr>
        <w:spacing w:line="265" w:lineRule="exact"/>
        <w:jc w:val="center"/>
        <w:textAlignment w:val="baseline"/>
        <w:rPr>
          <w:rFonts w:ascii="Tahoma" w:eastAsia="Tahoma" w:hAnsi="Tahoma"/>
          <w:color w:val="5C886B"/>
          <w:spacing w:val="8"/>
        </w:rPr>
      </w:pPr>
    </w:p>
    <w:p w14:paraId="186DFEBE" w14:textId="77777777" w:rsidR="00DD5307" w:rsidRPr="007F6687" w:rsidRDefault="00DD5307" w:rsidP="00DD5307">
      <w:pPr>
        <w:spacing w:line="265" w:lineRule="exact"/>
        <w:jc w:val="both"/>
        <w:textAlignment w:val="baseline"/>
        <w:rPr>
          <w:rFonts w:ascii="Tahoma" w:hAnsi="Tahoma" w:cs="Tahoma"/>
          <w:sz w:val="20"/>
          <w:szCs w:val="20"/>
        </w:rPr>
      </w:pPr>
      <w:r w:rsidRPr="007F6687">
        <w:rPr>
          <w:rFonts w:ascii="Tahoma" w:hAnsi="Tahoma" w:cs="Tahoma"/>
          <w:sz w:val="20"/>
          <w:szCs w:val="20"/>
        </w:rPr>
        <w:t>The Regulation (EU) 2019/2088 of the European Parliament and of the Council of 27 November 2019 on sustainability-related disclosures in the financial services sector (the “</w:t>
      </w:r>
      <w:r w:rsidRPr="007F6687">
        <w:rPr>
          <w:rFonts w:ascii="Tahoma" w:hAnsi="Tahoma" w:cs="Tahoma"/>
          <w:b/>
          <w:sz w:val="20"/>
          <w:szCs w:val="20"/>
        </w:rPr>
        <w:t>SFDR</w:t>
      </w:r>
      <w:r w:rsidRPr="007F6687">
        <w:rPr>
          <w:rFonts w:ascii="Tahoma" w:hAnsi="Tahoma" w:cs="Tahoma"/>
          <w:sz w:val="20"/>
          <w:szCs w:val="20"/>
        </w:rPr>
        <w:t>”) and the Regulation (EU) 2020/852 on the establishment of a framework to facilitate sustainable investment and amending EU Regulation 2019/2088 (the “</w:t>
      </w:r>
      <w:r w:rsidRPr="007F6687">
        <w:rPr>
          <w:rFonts w:ascii="Tahoma" w:hAnsi="Tahoma" w:cs="Tahoma"/>
          <w:b/>
          <w:sz w:val="20"/>
          <w:szCs w:val="20"/>
        </w:rPr>
        <w:t>Taxonomy Regulation</w:t>
      </w:r>
      <w:r w:rsidRPr="007F6687">
        <w:rPr>
          <w:rFonts w:ascii="Tahoma" w:hAnsi="Tahoma" w:cs="Tahoma"/>
          <w:sz w:val="20"/>
          <w:szCs w:val="20"/>
        </w:rPr>
        <w:t>”) (together the “</w:t>
      </w:r>
      <w:r w:rsidRPr="007F6687">
        <w:rPr>
          <w:rFonts w:ascii="Tahoma" w:hAnsi="Tahoma" w:cs="Tahoma"/>
          <w:b/>
          <w:sz w:val="20"/>
          <w:szCs w:val="20"/>
        </w:rPr>
        <w:t>Disclosure Regulations</w:t>
      </w:r>
      <w:r w:rsidRPr="007F6687">
        <w:rPr>
          <w:rFonts w:ascii="Tahoma" w:hAnsi="Tahoma" w:cs="Tahoma"/>
          <w:sz w:val="20"/>
          <w:szCs w:val="20"/>
        </w:rPr>
        <w:t>”) aim at providing more transparency to investors on sustainability risks integration, on the consideration of adverse sustainability impacts in the investment processes and on the promotion of environmental, social and/or governance (“</w:t>
      </w:r>
      <w:r w:rsidRPr="007F6687">
        <w:rPr>
          <w:rFonts w:ascii="Tahoma" w:hAnsi="Tahoma" w:cs="Tahoma"/>
          <w:b/>
          <w:sz w:val="20"/>
          <w:szCs w:val="20"/>
        </w:rPr>
        <w:t>ESG</w:t>
      </w:r>
      <w:r w:rsidRPr="007F6687">
        <w:rPr>
          <w:rFonts w:ascii="Tahoma" w:hAnsi="Tahoma" w:cs="Tahoma"/>
          <w:sz w:val="20"/>
          <w:szCs w:val="20"/>
        </w:rPr>
        <w:t>”) factors. In particular, it requires fund managers and advisers to disclose specific ESG-related information to investors on their websites</w:t>
      </w:r>
      <w:r w:rsidR="00C60FB7">
        <w:rPr>
          <w:rFonts w:ascii="Tahoma" w:hAnsi="Tahoma" w:cs="Tahoma"/>
          <w:sz w:val="20"/>
          <w:szCs w:val="20"/>
        </w:rPr>
        <w:t>.</w:t>
      </w:r>
      <w:r w:rsidR="00274AB3">
        <w:rPr>
          <w:rFonts w:ascii="Tahoma" w:hAnsi="Tahoma" w:cs="Tahoma"/>
          <w:sz w:val="20"/>
          <w:szCs w:val="20"/>
        </w:rPr>
        <w:t xml:space="preserve"> The Disclosure Regulations have</w:t>
      </w:r>
      <w:r w:rsidRPr="007F6687">
        <w:rPr>
          <w:rFonts w:ascii="Tahoma" w:hAnsi="Tahoma" w:cs="Tahoma"/>
          <w:sz w:val="20"/>
          <w:szCs w:val="20"/>
        </w:rPr>
        <w:t xml:space="preserve"> been complemented by the EU implementing measures (so-called regulatory and technical standards or “</w:t>
      </w:r>
      <w:r w:rsidRPr="007F6687">
        <w:rPr>
          <w:rFonts w:ascii="Tahoma" w:hAnsi="Tahoma" w:cs="Tahoma"/>
          <w:b/>
          <w:sz w:val="20"/>
          <w:szCs w:val="20"/>
        </w:rPr>
        <w:t>RTS</w:t>
      </w:r>
      <w:r w:rsidRPr="007F6687">
        <w:rPr>
          <w:rFonts w:ascii="Tahoma" w:hAnsi="Tahoma" w:cs="Tahoma"/>
          <w:sz w:val="20"/>
          <w:szCs w:val="20"/>
        </w:rPr>
        <w:t xml:space="preserve">”), as applicable from time to time. </w:t>
      </w:r>
    </w:p>
    <w:p w14:paraId="4ED27E6A" w14:textId="77777777" w:rsidR="00DD5307" w:rsidRPr="007F6687" w:rsidRDefault="00DD5307" w:rsidP="00DD5307">
      <w:pPr>
        <w:spacing w:line="265" w:lineRule="exact"/>
        <w:jc w:val="both"/>
        <w:textAlignment w:val="baseline"/>
        <w:rPr>
          <w:rFonts w:ascii="Tahoma" w:hAnsi="Tahoma" w:cs="Tahoma"/>
          <w:sz w:val="20"/>
          <w:szCs w:val="20"/>
        </w:rPr>
      </w:pPr>
    </w:p>
    <w:p w14:paraId="7C48759B" w14:textId="77777777" w:rsidR="00DD5307" w:rsidRPr="007F6687" w:rsidRDefault="00DD5307" w:rsidP="00DD5307">
      <w:pPr>
        <w:spacing w:line="265" w:lineRule="exact"/>
        <w:jc w:val="both"/>
        <w:textAlignment w:val="baseline"/>
        <w:rPr>
          <w:rFonts w:ascii="Tahoma" w:hAnsi="Tahoma" w:cs="Tahoma"/>
          <w:sz w:val="20"/>
          <w:szCs w:val="20"/>
        </w:rPr>
      </w:pPr>
      <w:r w:rsidRPr="007F6687">
        <w:rPr>
          <w:rFonts w:ascii="Tahoma" w:hAnsi="Tahoma" w:cs="Tahoma"/>
          <w:sz w:val="20"/>
          <w:szCs w:val="20"/>
        </w:rPr>
        <w:t xml:space="preserve">The financial product that is the </w:t>
      </w:r>
      <w:r w:rsidR="00B86006" w:rsidRPr="007F6687">
        <w:rPr>
          <w:rFonts w:ascii="Tahoma" w:hAnsi="Tahoma" w:cs="Tahoma"/>
          <w:sz w:val="20"/>
          <w:szCs w:val="20"/>
        </w:rPr>
        <w:t>subject of this disclosure is Transatlantique Special Opportunities S.A. SICAV-RAIF – Opportunity 2022 (</w:t>
      </w:r>
      <w:r w:rsidRPr="007F6687">
        <w:rPr>
          <w:rFonts w:ascii="Tahoma" w:hAnsi="Tahoma" w:cs="Tahoma"/>
          <w:sz w:val="20"/>
          <w:szCs w:val="20"/>
        </w:rPr>
        <w:t>the “</w:t>
      </w:r>
      <w:r w:rsidR="00C60FB7" w:rsidRPr="00C60FB7">
        <w:rPr>
          <w:rFonts w:ascii="Tahoma" w:hAnsi="Tahoma" w:cs="Tahoma"/>
          <w:b/>
          <w:sz w:val="20"/>
          <w:szCs w:val="20"/>
        </w:rPr>
        <w:t>Sub-</w:t>
      </w:r>
      <w:r w:rsidRPr="00C60FB7">
        <w:rPr>
          <w:rFonts w:ascii="Tahoma" w:hAnsi="Tahoma" w:cs="Tahoma"/>
          <w:b/>
          <w:sz w:val="20"/>
          <w:szCs w:val="20"/>
        </w:rPr>
        <w:t>Fund</w:t>
      </w:r>
      <w:r w:rsidRPr="007F6687">
        <w:rPr>
          <w:rFonts w:ascii="Tahoma" w:hAnsi="Tahoma" w:cs="Tahoma"/>
          <w:sz w:val="20"/>
          <w:szCs w:val="20"/>
        </w:rPr>
        <w:t>”) managed by IQ EQ Fund Management (Luxembourg</w:t>
      </w:r>
      <w:r w:rsidR="00B86006" w:rsidRPr="007F6687">
        <w:rPr>
          <w:rFonts w:ascii="Tahoma" w:hAnsi="Tahoma" w:cs="Tahoma"/>
          <w:sz w:val="20"/>
          <w:szCs w:val="20"/>
        </w:rPr>
        <w:t>) S.A.</w:t>
      </w:r>
      <w:r w:rsidRPr="007F6687">
        <w:rPr>
          <w:rFonts w:ascii="Tahoma" w:hAnsi="Tahoma" w:cs="Tahoma"/>
          <w:sz w:val="20"/>
          <w:szCs w:val="20"/>
        </w:rPr>
        <w:t xml:space="preserve"> in its capacity as alternativ</w:t>
      </w:r>
      <w:r w:rsidR="00F829E2">
        <w:rPr>
          <w:rFonts w:ascii="Tahoma" w:hAnsi="Tahoma" w:cs="Tahoma"/>
          <w:sz w:val="20"/>
          <w:szCs w:val="20"/>
        </w:rPr>
        <w:t>e investment fund manager</w:t>
      </w:r>
      <w:r w:rsidR="00F73ED6">
        <w:rPr>
          <w:rFonts w:ascii="Tahoma" w:hAnsi="Tahoma" w:cs="Tahoma"/>
          <w:sz w:val="20"/>
          <w:szCs w:val="20"/>
        </w:rPr>
        <w:t xml:space="preserve"> (the “</w:t>
      </w:r>
      <w:r w:rsidR="00F73ED6" w:rsidRPr="00F73ED6">
        <w:rPr>
          <w:rFonts w:ascii="Tahoma" w:hAnsi="Tahoma" w:cs="Tahoma"/>
          <w:b/>
          <w:sz w:val="20"/>
          <w:szCs w:val="20"/>
        </w:rPr>
        <w:t>AIFM</w:t>
      </w:r>
      <w:r w:rsidR="00F73ED6">
        <w:rPr>
          <w:rFonts w:ascii="Tahoma" w:hAnsi="Tahoma" w:cs="Tahoma"/>
          <w:sz w:val="20"/>
          <w:szCs w:val="20"/>
        </w:rPr>
        <w:t>”)</w:t>
      </w:r>
      <w:r w:rsidRPr="007F6687">
        <w:rPr>
          <w:rFonts w:ascii="Tahoma" w:hAnsi="Tahoma" w:cs="Tahoma"/>
          <w:sz w:val="20"/>
          <w:szCs w:val="20"/>
        </w:rPr>
        <w:t xml:space="preserve">. </w:t>
      </w:r>
    </w:p>
    <w:p w14:paraId="02D4B7FE" w14:textId="77777777" w:rsidR="00DD5307" w:rsidRPr="007F6687" w:rsidRDefault="00DD5307" w:rsidP="00DD5307">
      <w:pPr>
        <w:spacing w:line="265" w:lineRule="exact"/>
        <w:jc w:val="both"/>
        <w:textAlignment w:val="baseline"/>
        <w:rPr>
          <w:rFonts w:ascii="Tahoma" w:hAnsi="Tahoma" w:cs="Tahoma"/>
          <w:sz w:val="20"/>
          <w:szCs w:val="20"/>
        </w:rPr>
      </w:pPr>
    </w:p>
    <w:p w14:paraId="35A34857" w14:textId="77777777" w:rsidR="00DD5307" w:rsidRPr="007F6687" w:rsidRDefault="00DD5307" w:rsidP="00DD5307">
      <w:pPr>
        <w:spacing w:line="265" w:lineRule="exact"/>
        <w:jc w:val="both"/>
        <w:textAlignment w:val="baseline"/>
        <w:rPr>
          <w:rFonts w:ascii="Tahoma" w:eastAsia="Tahoma" w:hAnsi="Tahoma" w:cs="Tahoma"/>
          <w:color w:val="5C886B"/>
          <w:spacing w:val="8"/>
          <w:sz w:val="20"/>
          <w:szCs w:val="20"/>
        </w:rPr>
      </w:pPr>
      <w:r w:rsidRPr="007F6687">
        <w:rPr>
          <w:rFonts w:ascii="Tahoma" w:hAnsi="Tahoma" w:cs="Tahoma"/>
          <w:sz w:val="20"/>
          <w:szCs w:val="20"/>
        </w:rPr>
        <w:t>This disclosure has been prepared in accordance with the requirements of article 10 of SFDR as supplemented by the Commission Delegated Regulation (EU) 2022/1288 of 6 April 2022 (the “</w:t>
      </w:r>
      <w:r w:rsidRPr="007F6687">
        <w:rPr>
          <w:rFonts w:ascii="Tahoma" w:hAnsi="Tahoma" w:cs="Tahoma"/>
          <w:b/>
          <w:sz w:val="20"/>
          <w:szCs w:val="20"/>
        </w:rPr>
        <w:t>SFDR RTS</w:t>
      </w:r>
      <w:r w:rsidRPr="007F6687">
        <w:rPr>
          <w:rFonts w:ascii="Tahoma" w:hAnsi="Tahoma" w:cs="Tahoma"/>
          <w:sz w:val="20"/>
          <w:szCs w:val="20"/>
        </w:rPr>
        <w:t>”).</w:t>
      </w:r>
    </w:p>
    <w:p w14:paraId="541B0CDF" w14:textId="77777777" w:rsidR="003E7D48" w:rsidRDefault="00C51684">
      <w:pPr>
        <w:spacing w:before="258" w:after="115" w:line="205" w:lineRule="exact"/>
        <w:ind w:left="288"/>
        <w:textAlignment w:val="baseline"/>
        <w:rPr>
          <w:rFonts w:ascii="Tahoma" w:eastAsia="Tahoma" w:hAnsi="Tahoma"/>
          <w:b/>
          <w:color w:val="000000"/>
          <w:spacing w:val="16"/>
          <w:sz w:val="16"/>
        </w:rPr>
      </w:pPr>
      <w:r>
        <w:rPr>
          <w:rFonts w:ascii="Tahoma" w:eastAsia="Tahoma" w:hAnsi="Tahoma"/>
          <w:b/>
          <w:color w:val="000000"/>
          <w:spacing w:val="16"/>
          <w:sz w:val="16"/>
        </w:rPr>
        <w:t>1. Summary</w:t>
      </w:r>
    </w:p>
    <w:tbl>
      <w:tblPr>
        <w:tblW w:w="9481" w:type="dxa"/>
        <w:tblInd w:w="11" w:type="dxa"/>
        <w:tblCellMar>
          <w:left w:w="0" w:type="dxa"/>
          <w:right w:w="0" w:type="dxa"/>
        </w:tblCellMar>
        <w:tblLook w:val="0000" w:firstRow="0" w:lastRow="0" w:firstColumn="0" w:lastColumn="0" w:noHBand="0" w:noVBand="0"/>
      </w:tblPr>
      <w:tblGrid>
        <w:gridCol w:w="9481"/>
      </w:tblGrid>
      <w:tr w:rsidR="003E7D48" w14:paraId="4D3E079A" w14:textId="77777777" w:rsidTr="00C41FA6">
        <w:trPr>
          <w:trHeight w:hRule="exact" w:val="379"/>
        </w:trPr>
        <w:tc>
          <w:tcPr>
            <w:tcW w:w="9481" w:type="dxa"/>
            <w:tcBorders>
              <w:top w:val="single" w:sz="5" w:space="0" w:color="000000"/>
              <w:left w:val="single" w:sz="5" w:space="0" w:color="000000"/>
              <w:bottom w:val="single" w:sz="5" w:space="0" w:color="000000"/>
              <w:right w:val="single" w:sz="5" w:space="0" w:color="000000"/>
            </w:tcBorders>
            <w:vAlign w:val="center"/>
          </w:tcPr>
          <w:p w14:paraId="2CC99AA2" w14:textId="77777777" w:rsidR="003E7D48" w:rsidRDefault="00C51684">
            <w:pPr>
              <w:spacing w:before="82" w:after="90" w:line="206" w:lineRule="exact"/>
              <w:ind w:left="144"/>
              <w:textAlignment w:val="baseline"/>
              <w:rPr>
                <w:rFonts w:ascii="Tahoma" w:eastAsia="Tahoma" w:hAnsi="Tahoma"/>
                <w:b/>
                <w:color w:val="000000"/>
                <w:sz w:val="16"/>
              </w:rPr>
            </w:pPr>
            <w:r>
              <w:rPr>
                <w:rFonts w:ascii="Tahoma" w:eastAsia="Tahoma" w:hAnsi="Tahoma"/>
                <w:b/>
                <w:color w:val="000000"/>
                <w:sz w:val="16"/>
              </w:rPr>
              <w:t>No sustainable investment objective</w:t>
            </w:r>
          </w:p>
        </w:tc>
      </w:tr>
      <w:tr w:rsidR="003E7D48" w14:paraId="75B7AF06" w14:textId="77777777" w:rsidTr="00C41FA6">
        <w:trPr>
          <w:trHeight w:hRule="exact" w:val="634"/>
        </w:trPr>
        <w:tc>
          <w:tcPr>
            <w:tcW w:w="9481" w:type="dxa"/>
            <w:tcBorders>
              <w:top w:val="single" w:sz="5" w:space="0" w:color="000000"/>
              <w:left w:val="single" w:sz="5" w:space="0" w:color="000000"/>
              <w:bottom w:val="single" w:sz="5" w:space="0" w:color="000000"/>
              <w:right w:val="single" w:sz="5" w:space="0" w:color="000000"/>
            </w:tcBorders>
          </w:tcPr>
          <w:p w14:paraId="5FB6751C" w14:textId="77777777" w:rsidR="003E7D48" w:rsidRDefault="00C51684">
            <w:pPr>
              <w:spacing w:before="115" w:after="76" w:line="221" w:lineRule="exact"/>
              <w:ind w:left="144" w:right="108"/>
              <w:jc w:val="both"/>
              <w:textAlignment w:val="baseline"/>
              <w:rPr>
                <w:rFonts w:ascii="Tahoma" w:eastAsia="Tahoma" w:hAnsi="Tahoma"/>
                <w:color w:val="000000"/>
                <w:sz w:val="16"/>
              </w:rPr>
            </w:pPr>
            <w:r>
              <w:rPr>
                <w:rFonts w:ascii="Tahoma" w:eastAsia="Tahoma" w:hAnsi="Tahoma"/>
                <w:color w:val="000000"/>
                <w:sz w:val="16"/>
              </w:rPr>
              <w:t>This financial product promotes environmental or social characteristics, but does not commit to sustainable investments, including Taxonomy-aligned environmentally sustainable investments.</w:t>
            </w:r>
          </w:p>
        </w:tc>
      </w:tr>
      <w:tr w:rsidR="003E7D48" w14:paraId="1B2A4598" w14:textId="77777777" w:rsidTr="00C41FA6">
        <w:trPr>
          <w:trHeight w:hRule="exact" w:val="374"/>
        </w:trPr>
        <w:tc>
          <w:tcPr>
            <w:tcW w:w="9481" w:type="dxa"/>
            <w:tcBorders>
              <w:top w:val="single" w:sz="5" w:space="0" w:color="000000"/>
              <w:left w:val="single" w:sz="5" w:space="0" w:color="000000"/>
              <w:bottom w:val="single" w:sz="5" w:space="0" w:color="000000"/>
              <w:right w:val="single" w:sz="5" w:space="0" w:color="000000"/>
            </w:tcBorders>
            <w:vAlign w:val="center"/>
          </w:tcPr>
          <w:p w14:paraId="22C2830D" w14:textId="77777777" w:rsidR="003E7D48" w:rsidRDefault="00C51684">
            <w:pPr>
              <w:spacing w:before="72" w:after="95" w:line="206" w:lineRule="exact"/>
              <w:ind w:left="144"/>
              <w:textAlignment w:val="baseline"/>
              <w:rPr>
                <w:rFonts w:ascii="Tahoma" w:eastAsia="Tahoma" w:hAnsi="Tahoma"/>
                <w:b/>
                <w:color w:val="000000"/>
                <w:sz w:val="16"/>
              </w:rPr>
            </w:pPr>
            <w:r>
              <w:rPr>
                <w:rFonts w:ascii="Tahoma" w:eastAsia="Tahoma" w:hAnsi="Tahoma"/>
                <w:b/>
                <w:color w:val="000000"/>
                <w:sz w:val="16"/>
              </w:rPr>
              <w:t>Environmental or social characteristics of the financial product</w:t>
            </w:r>
          </w:p>
        </w:tc>
      </w:tr>
      <w:tr w:rsidR="003E7D48" w14:paraId="243C5C4F" w14:textId="77777777" w:rsidTr="00C41FA6">
        <w:trPr>
          <w:trHeight w:hRule="exact" w:val="964"/>
        </w:trPr>
        <w:tc>
          <w:tcPr>
            <w:tcW w:w="9481" w:type="dxa"/>
            <w:tcBorders>
              <w:top w:val="single" w:sz="5" w:space="0" w:color="000000"/>
              <w:left w:val="single" w:sz="5" w:space="0" w:color="000000"/>
              <w:bottom w:val="single" w:sz="5" w:space="0" w:color="000000"/>
              <w:right w:val="single" w:sz="5" w:space="0" w:color="000000"/>
            </w:tcBorders>
          </w:tcPr>
          <w:p w14:paraId="3FBC90B7" w14:textId="77777777" w:rsidR="00B86006" w:rsidRPr="00B86006" w:rsidRDefault="00B86006" w:rsidP="00B86006">
            <w:pPr>
              <w:ind w:left="127"/>
              <w:rPr>
                <w:rFonts w:ascii="Tahoma" w:hAnsi="Tahoma" w:cs="Tahoma"/>
                <w:color w:val="000000"/>
                <w:sz w:val="16"/>
                <w:szCs w:val="16"/>
              </w:rPr>
            </w:pPr>
            <w:r w:rsidRPr="00B86006">
              <w:rPr>
                <w:rFonts w:ascii="Tahoma" w:hAnsi="Tahoma" w:cs="Tahoma"/>
                <w:color w:val="000000"/>
                <w:sz w:val="16"/>
                <w:szCs w:val="16"/>
              </w:rPr>
              <w:t xml:space="preserve">The </w:t>
            </w:r>
            <w:r w:rsidR="00C60FB7">
              <w:rPr>
                <w:rFonts w:ascii="Tahoma" w:hAnsi="Tahoma" w:cs="Tahoma"/>
                <w:color w:val="000000"/>
                <w:sz w:val="16"/>
                <w:szCs w:val="16"/>
              </w:rPr>
              <w:t>Sub-Fund invests the funds available to it into</w:t>
            </w:r>
            <w:r w:rsidRPr="00B86006">
              <w:rPr>
                <w:rFonts w:ascii="Tahoma" w:hAnsi="Tahoma" w:cs="Tahoma"/>
                <w:color w:val="000000"/>
                <w:sz w:val="16"/>
                <w:szCs w:val="16"/>
              </w:rPr>
              <w:t xml:space="preserve"> JAB Consumer Partners SCA SICAR – JCP V </w:t>
            </w:r>
            <w:r w:rsidR="00FD79D1">
              <w:rPr>
                <w:rFonts w:ascii="Tahoma" w:hAnsi="Tahoma" w:cs="Tahoma"/>
                <w:color w:val="000000"/>
                <w:sz w:val="16"/>
                <w:szCs w:val="16"/>
              </w:rPr>
              <w:t xml:space="preserve">(USD) </w:t>
            </w:r>
            <w:r w:rsidRPr="00B86006">
              <w:rPr>
                <w:rFonts w:ascii="Tahoma" w:hAnsi="Tahoma" w:cs="Tahoma"/>
                <w:color w:val="000000"/>
                <w:sz w:val="16"/>
                <w:szCs w:val="16"/>
              </w:rPr>
              <w:t xml:space="preserve">(“The </w:t>
            </w:r>
            <w:r>
              <w:rPr>
                <w:rFonts w:ascii="Tahoma" w:hAnsi="Tahoma" w:cs="Tahoma"/>
                <w:b/>
                <w:color w:val="000000"/>
                <w:sz w:val="16"/>
                <w:szCs w:val="16"/>
              </w:rPr>
              <w:t xml:space="preserve">Master </w:t>
            </w:r>
            <w:r w:rsidR="00A2007D">
              <w:rPr>
                <w:rFonts w:ascii="Tahoma" w:hAnsi="Tahoma" w:cs="Tahoma"/>
                <w:b/>
                <w:color w:val="000000"/>
                <w:sz w:val="16"/>
                <w:szCs w:val="16"/>
              </w:rPr>
              <w:t>Sub-</w:t>
            </w:r>
            <w:r>
              <w:rPr>
                <w:rFonts w:ascii="Tahoma" w:hAnsi="Tahoma" w:cs="Tahoma"/>
                <w:b/>
                <w:color w:val="000000"/>
                <w:sz w:val="16"/>
                <w:szCs w:val="16"/>
              </w:rPr>
              <w:t>Fund</w:t>
            </w:r>
            <w:r w:rsidRPr="00B86006">
              <w:rPr>
                <w:rFonts w:ascii="Tahoma" w:hAnsi="Tahoma" w:cs="Tahoma"/>
                <w:color w:val="000000"/>
                <w:sz w:val="16"/>
                <w:szCs w:val="16"/>
              </w:rPr>
              <w:t>”)</w:t>
            </w:r>
            <w:r w:rsidR="00C60FB7">
              <w:rPr>
                <w:rFonts w:ascii="Tahoma" w:hAnsi="Tahoma" w:cs="Tahoma"/>
                <w:color w:val="000000"/>
                <w:sz w:val="16"/>
                <w:szCs w:val="16"/>
              </w:rPr>
              <w:t>. The investments of the Master Sub-Fund</w:t>
            </w:r>
            <w:r w:rsidRPr="00B86006">
              <w:rPr>
                <w:rFonts w:ascii="Tahoma" w:hAnsi="Tahoma" w:cs="Tahoma"/>
                <w:color w:val="000000"/>
                <w:sz w:val="16"/>
                <w:szCs w:val="16"/>
              </w:rPr>
              <w:t xml:space="preserve"> are executed in line with the general Investment Policy of the Master </w:t>
            </w:r>
            <w:r w:rsidR="00A2007D">
              <w:rPr>
                <w:rFonts w:ascii="Tahoma" w:hAnsi="Tahoma" w:cs="Tahoma"/>
                <w:color w:val="000000"/>
                <w:sz w:val="16"/>
                <w:szCs w:val="16"/>
              </w:rPr>
              <w:t>Sub-</w:t>
            </w:r>
            <w:r w:rsidRPr="00B86006">
              <w:rPr>
                <w:rFonts w:ascii="Tahoma" w:hAnsi="Tahoma" w:cs="Tahoma"/>
                <w:color w:val="000000"/>
                <w:sz w:val="16"/>
                <w:szCs w:val="16"/>
              </w:rPr>
              <w:t xml:space="preserve">Fund outlined in the Private Placement Memorandum of the Master </w:t>
            </w:r>
            <w:r w:rsidR="00A2007D">
              <w:rPr>
                <w:rFonts w:ascii="Tahoma" w:hAnsi="Tahoma" w:cs="Tahoma"/>
                <w:color w:val="000000"/>
                <w:sz w:val="16"/>
                <w:szCs w:val="16"/>
              </w:rPr>
              <w:t>Sub-</w:t>
            </w:r>
            <w:r w:rsidRPr="00B86006">
              <w:rPr>
                <w:rFonts w:ascii="Tahoma" w:hAnsi="Tahoma" w:cs="Tahoma"/>
                <w:color w:val="000000"/>
                <w:sz w:val="16"/>
                <w:szCs w:val="16"/>
              </w:rPr>
              <w:t>Fund (hereafter the "P</w:t>
            </w:r>
            <w:r w:rsidRPr="00B86006">
              <w:rPr>
                <w:rFonts w:ascii="Tahoma" w:hAnsi="Tahoma" w:cs="Tahoma"/>
                <w:b/>
                <w:color w:val="000000"/>
                <w:sz w:val="16"/>
                <w:szCs w:val="16"/>
              </w:rPr>
              <w:t>PM</w:t>
            </w:r>
            <w:r w:rsidRPr="00B86006">
              <w:rPr>
                <w:rFonts w:ascii="Tahoma" w:hAnsi="Tahoma" w:cs="Tahoma"/>
                <w:color w:val="000000"/>
                <w:sz w:val="16"/>
                <w:szCs w:val="16"/>
              </w:rPr>
              <w:t>").</w:t>
            </w:r>
          </w:p>
          <w:p w14:paraId="400894AC" w14:textId="77777777" w:rsidR="003E7D48" w:rsidRDefault="00C51684" w:rsidP="00B86006">
            <w:pPr>
              <w:spacing w:before="105" w:after="62" w:line="226" w:lineRule="exact"/>
              <w:ind w:left="127" w:right="108"/>
              <w:jc w:val="both"/>
              <w:textAlignment w:val="baseline"/>
              <w:rPr>
                <w:rFonts w:ascii="Tahoma" w:eastAsia="Tahoma" w:hAnsi="Tahoma"/>
                <w:color w:val="000000"/>
                <w:sz w:val="16"/>
              </w:rPr>
            </w:pPr>
            <w:r>
              <w:rPr>
                <w:rFonts w:ascii="Tahoma" w:eastAsia="Tahoma" w:hAnsi="Tahoma"/>
                <w:color w:val="000000"/>
                <w:sz w:val="16"/>
              </w:rPr>
              <w:t>In accordan</w:t>
            </w:r>
            <w:r w:rsidR="0051797C">
              <w:rPr>
                <w:rFonts w:ascii="Tahoma" w:eastAsia="Tahoma" w:hAnsi="Tahoma"/>
                <w:color w:val="000000"/>
                <w:sz w:val="16"/>
              </w:rPr>
              <w:t xml:space="preserve">ce with Art.8 SFDR, the </w:t>
            </w:r>
            <w:r w:rsidR="00A2007D">
              <w:rPr>
                <w:rFonts w:ascii="Tahoma" w:eastAsia="Tahoma" w:hAnsi="Tahoma"/>
                <w:color w:val="000000"/>
                <w:sz w:val="16"/>
              </w:rPr>
              <w:t>Sub-</w:t>
            </w:r>
            <w:r w:rsidR="00B86006">
              <w:rPr>
                <w:rFonts w:ascii="Tahoma" w:eastAsia="Tahoma" w:hAnsi="Tahoma"/>
                <w:color w:val="000000"/>
                <w:sz w:val="16"/>
              </w:rPr>
              <w:t>Fund</w:t>
            </w:r>
            <w:r w:rsidR="00A2007D">
              <w:rPr>
                <w:rFonts w:ascii="Tahoma" w:eastAsia="Tahoma" w:hAnsi="Tahoma"/>
                <w:color w:val="000000"/>
                <w:sz w:val="16"/>
              </w:rPr>
              <w:t xml:space="preserve"> </w:t>
            </w:r>
            <w:r>
              <w:rPr>
                <w:rFonts w:ascii="Tahoma" w:eastAsia="Tahoma" w:hAnsi="Tahoma"/>
                <w:color w:val="000000"/>
                <w:sz w:val="16"/>
              </w:rPr>
              <w:t>promotes climate and equality of opportunity, diversity &amp; inclusion.</w:t>
            </w:r>
          </w:p>
        </w:tc>
      </w:tr>
      <w:tr w:rsidR="003E7D48" w14:paraId="40CF56BE" w14:textId="77777777" w:rsidTr="00C41FA6">
        <w:trPr>
          <w:trHeight w:hRule="exact" w:val="374"/>
        </w:trPr>
        <w:tc>
          <w:tcPr>
            <w:tcW w:w="9481" w:type="dxa"/>
            <w:tcBorders>
              <w:top w:val="single" w:sz="5" w:space="0" w:color="000000"/>
              <w:left w:val="single" w:sz="5" w:space="0" w:color="000000"/>
              <w:bottom w:val="single" w:sz="5" w:space="0" w:color="000000"/>
              <w:right w:val="single" w:sz="5" w:space="0" w:color="000000"/>
            </w:tcBorders>
            <w:vAlign w:val="center"/>
          </w:tcPr>
          <w:p w14:paraId="3AAE03AA" w14:textId="77777777" w:rsidR="003E7D48" w:rsidRDefault="00C51684">
            <w:pPr>
              <w:spacing w:before="73" w:after="86" w:line="205" w:lineRule="exact"/>
              <w:ind w:left="144"/>
              <w:textAlignment w:val="baseline"/>
              <w:rPr>
                <w:rFonts w:ascii="Tahoma" w:eastAsia="Tahoma" w:hAnsi="Tahoma"/>
                <w:b/>
                <w:color w:val="000000"/>
                <w:sz w:val="16"/>
              </w:rPr>
            </w:pPr>
            <w:r>
              <w:rPr>
                <w:rFonts w:ascii="Tahoma" w:eastAsia="Tahoma" w:hAnsi="Tahoma"/>
                <w:b/>
                <w:color w:val="000000"/>
                <w:sz w:val="16"/>
              </w:rPr>
              <w:t>Investment strategy</w:t>
            </w:r>
          </w:p>
        </w:tc>
      </w:tr>
      <w:tr w:rsidR="008C1AAC" w14:paraId="1075064D" w14:textId="77777777" w:rsidTr="00C41FA6">
        <w:trPr>
          <w:trHeight w:hRule="exact" w:val="3345"/>
        </w:trPr>
        <w:tc>
          <w:tcPr>
            <w:tcW w:w="9481" w:type="dxa"/>
            <w:tcBorders>
              <w:top w:val="single" w:sz="5" w:space="0" w:color="000000"/>
              <w:left w:val="single" w:sz="5" w:space="0" w:color="000000"/>
              <w:bottom w:val="single" w:sz="5" w:space="0" w:color="000000"/>
              <w:right w:val="single" w:sz="5" w:space="0" w:color="000000"/>
            </w:tcBorders>
            <w:vAlign w:val="center"/>
          </w:tcPr>
          <w:p w14:paraId="6D3F8386" w14:textId="77777777" w:rsidR="008C1AAC" w:rsidRDefault="008C1AAC" w:rsidP="008C1AAC">
            <w:pPr>
              <w:spacing w:before="144" w:line="192" w:lineRule="exact"/>
              <w:ind w:left="144"/>
              <w:textAlignment w:val="baseline"/>
              <w:rPr>
                <w:rFonts w:ascii="Tahoma" w:eastAsia="Tahoma" w:hAnsi="Tahoma"/>
                <w:color w:val="000000"/>
                <w:sz w:val="16"/>
              </w:rPr>
            </w:pPr>
            <w:r>
              <w:rPr>
                <w:rFonts w:ascii="Tahoma" w:eastAsia="Tahoma" w:hAnsi="Tahoma"/>
                <w:color w:val="000000"/>
                <w:sz w:val="16"/>
              </w:rPr>
              <w:t>The investment strategy foresees the following process:</w:t>
            </w:r>
          </w:p>
          <w:p w14:paraId="38A596FA" w14:textId="77777777" w:rsidR="008C1AAC" w:rsidRDefault="008C1AAC" w:rsidP="008C1AAC">
            <w:pPr>
              <w:numPr>
                <w:ilvl w:val="0"/>
                <w:numId w:val="1"/>
              </w:numPr>
              <w:tabs>
                <w:tab w:val="clear" w:pos="360"/>
                <w:tab w:val="left" w:pos="792"/>
              </w:tabs>
              <w:spacing w:before="110" w:line="226" w:lineRule="exact"/>
              <w:ind w:left="792" w:right="108" w:hanging="360"/>
              <w:jc w:val="both"/>
              <w:textAlignment w:val="baseline"/>
              <w:rPr>
                <w:rFonts w:ascii="Tahoma" w:eastAsia="Tahoma" w:hAnsi="Tahoma"/>
                <w:color w:val="000000"/>
                <w:sz w:val="16"/>
              </w:rPr>
            </w:pPr>
            <w:r>
              <w:rPr>
                <w:rFonts w:ascii="Tahoma" w:eastAsia="Tahoma" w:hAnsi="Tahoma"/>
                <w:color w:val="000000"/>
                <w:sz w:val="16"/>
              </w:rPr>
              <w:t>Once acquired, a Portfolio Company is given 12 months to implement and disclose a transition plan which shall enable it to determine a concrete action plan (the "Transition Plan Period")</w:t>
            </w:r>
          </w:p>
          <w:p w14:paraId="439DD2DB" w14:textId="77777777" w:rsidR="008C1AAC" w:rsidRDefault="008C1AAC" w:rsidP="008C1AAC">
            <w:pPr>
              <w:numPr>
                <w:ilvl w:val="0"/>
                <w:numId w:val="1"/>
              </w:numPr>
              <w:tabs>
                <w:tab w:val="clear" w:pos="360"/>
                <w:tab w:val="left" w:pos="792"/>
              </w:tabs>
              <w:spacing w:before="1" w:line="225" w:lineRule="exact"/>
              <w:ind w:left="792" w:right="108" w:hanging="360"/>
              <w:jc w:val="both"/>
              <w:textAlignment w:val="baseline"/>
              <w:rPr>
                <w:rFonts w:ascii="Tahoma" w:eastAsia="Tahoma" w:hAnsi="Tahoma"/>
                <w:color w:val="000000"/>
                <w:sz w:val="16"/>
              </w:rPr>
            </w:pPr>
            <w:r>
              <w:rPr>
                <w:rFonts w:ascii="Tahoma" w:eastAsia="Tahoma" w:hAnsi="Tahoma"/>
                <w:color w:val="000000"/>
                <w:sz w:val="16"/>
              </w:rPr>
              <w:t>Once the transition plan is established, the Portfolio Company is given 24 months to reach the sustainability targets and implement the transition plan (the "Implementation Period" and together with the "Transition Plan Period", the "Transition Period").</w:t>
            </w:r>
          </w:p>
          <w:p w14:paraId="18AEF3D4" w14:textId="77777777" w:rsidR="008C1AAC" w:rsidRDefault="008C1AAC" w:rsidP="008C1AAC">
            <w:pPr>
              <w:spacing w:line="226" w:lineRule="exact"/>
              <w:ind w:left="144" w:right="108"/>
              <w:jc w:val="both"/>
              <w:textAlignment w:val="baseline"/>
              <w:rPr>
                <w:rFonts w:ascii="Tahoma" w:eastAsia="Tahoma" w:hAnsi="Tahoma"/>
                <w:color w:val="000000"/>
                <w:sz w:val="16"/>
              </w:rPr>
            </w:pPr>
            <w:r>
              <w:rPr>
                <w:rFonts w:ascii="Tahoma" w:eastAsia="Tahoma" w:hAnsi="Tahoma"/>
                <w:color w:val="000000"/>
                <w:sz w:val="16"/>
              </w:rPr>
              <w:t>Therefore, in principle the whole Transition Period may not exceed 36 months. It should however be noted that in case of major M&amp;A event, (all or part of) the Transition Period may restart.</w:t>
            </w:r>
          </w:p>
          <w:p w14:paraId="0ACCBE72" w14:textId="77777777" w:rsidR="008C1AAC" w:rsidRDefault="008C1AAC" w:rsidP="008C1AAC">
            <w:pPr>
              <w:spacing w:before="52" w:line="226" w:lineRule="exact"/>
              <w:ind w:left="144" w:right="108"/>
              <w:jc w:val="both"/>
              <w:textAlignment w:val="baseline"/>
              <w:rPr>
                <w:rFonts w:ascii="Tahoma" w:eastAsia="Tahoma" w:hAnsi="Tahoma"/>
                <w:color w:val="000000"/>
                <w:sz w:val="16"/>
              </w:rPr>
            </w:pPr>
            <w:r>
              <w:rPr>
                <w:rFonts w:ascii="Tahoma" w:eastAsia="Tahoma" w:hAnsi="Tahoma"/>
                <w:color w:val="000000"/>
                <w:sz w:val="16"/>
              </w:rPr>
              <w:t>During the Transition Period, unless if there is a delay in establishing or implementing the transition plan, Portfolio Companies will be deemed actively working on (and thus meeting) the promoted environmental or social characteristics.</w:t>
            </w:r>
          </w:p>
          <w:p w14:paraId="6BB2D841" w14:textId="77777777" w:rsidR="008C1AAC" w:rsidRDefault="008C1AAC" w:rsidP="008C1AAC">
            <w:pPr>
              <w:spacing w:before="91" w:line="192" w:lineRule="exact"/>
              <w:ind w:left="144"/>
              <w:textAlignment w:val="baseline"/>
              <w:rPr>
                <w:rFonts w:ascii="Tahoma" w:eastAsia="Tahoma" w:hAnsi="Tahoma"/>
                <w:color w:val="000000"/>
                <w:sz w:val="16"/>
              </w:rPr>
            </w:pPr>
            <w:r>
              <w:rPr>
                <w:rFonts w:ascii="Tahoma" w:eastAsia="Tahoma" w:hAnsi="Tahoma"/>
                <w:color w:val="000000"/>
                <w:sz w:val="16"/>
              </w:rPr>
              <w:t>The Master Sub-Fund aims at reaching the defined minimum threshold during the financial year following the ramp-up period.</w:t>
            </w:r>
          </w:p>
          <w:p w14:paraId="471F2256" w14:textId="77777777" w:rsidR="008C1AAC" w:rsidRDefault="008C1AAC" w:rsidP="008C1AAC">
            <w:pPr>
              <w:spacing w:before="73" w:after="86" w:line="205" w:lineRule="exact"/>
              <w:ind w:left="144"/>
              <w:textAlignment w:val="baseline"/>
              <w:rPr>
                <w:rFonts w:ascii="Tahoma" w:eastAsia="Tahoma" w:hAnsi="Tahoma"/>
                <w:b/>
                <w:color w:val="000000"/>
                <w:sz w:val="16"/>
              </w:rPr>
            </w:pPr>
            <w:r>
              <w:rPr>
                <w:rFonts w:ascii="Tahoma" w:eastAsia="Tahoma" w:hAnsi="Tahoma"/>
                <w:color w:val="000000"/>
                <w:sz w:val="16"/>
              </w:rPr>
              <w:t>In addition, the manager of the Master Sub-Fund (the “</w:t>
            </w:r>
            <w:r w:rsidRPr="00A2007D">
              <w:rPr>
                <w:rFonts w:ascii="Tahoma" w:eastAsia="Tahoma" w:hAnsi="Tahoma"/>
                <w:b/>
                <w:color w:val="000000"/>
                <w:sz w:val="16"/>
              </w:rPr>
              <w:t>Manager</w:t>
            </w:r>
            <w:r>
              <w:rPr>
                <w:rFonts w:ascii="Tahoma" w:eastAsia="Tahoma" w:hAnsi="Tahoma"/>
                <w:color w:val="000000"/>
                <w:sz w:val="16"/>
              </w:rPr>
              <w:t>”) in its function as Portfolio Manager implemented a scorecard to periodically assess the adherence of good business ethics and governance practices of the Portfolio Companies.</w:t>
            </w:r>
          </w:p>
        </w:tc>
      </w:tr>
      <w:tr w:rsidR="003E7D48" w14:paraId="57DC85DA" w14:textId="77777777" w:rsidTr="00C41FA6">
        <w:trPr>
          <w:trHeight w:hRule="exact" w:val="374"/>
        </w:trPr>
        <w:tc>
          <w:tcPr>
            <w:tcW w:w="9481" w:type="dxa"/>
            <w:tcBorders>
              <w:top w:val="single" w:sz="5" w:space="0" w:color="000000"/>
              <w:left w:val="single" w:sz="5" w:space="0" w:color="000000"/>
              <w:bottom w:val="single" w:sz="5" w:space="0" w:color="000000"/>
              <w:right w:val="single" w:sz="5" w:space="0" w:color="000000"/>
            </w:tcBorders>
            <w:vAlign w:val="center"/>
          </w:tcPr>
          <w:p w14:paraId="747F6F44" w14:textId="77777777" w:rsidR="003E7D48" w:rsidRDefault="00C51684">
            <w:pPr>
              <w:spacing w:before="73" w:after="91" w:line="205" w:lineRule="exact"/>
              <w:ind w:left="144"/>
              <w:textAlignment w:val="baseline"/>
              <w:rPr>
                <w:rFonts w:ascii="Tahoma" w:eastAsia="Tahoma" w:hAnsi="Tahoma"/>
                <w:b/>
                <w:color w:val="000000"/>
                <w:sz w:val="16"/>
              </w:rPr>
            </w:pPr>
            <w:r>
              <w:rPr>
                <w:rFonts w:ascii="Tahoma" w:eastAsia="Tahoma" w:hAnsi="Tahoma"/>
                <w:b/>
                <w:color w:val="000000"/>
                <w:sz w:val="16"/>
              </w:rPr>
              <w:lastRenderedPageBreak/>
              <w:t>Proportion of investments</w:t>
            </w:r>
          </w:p>
        </w:tc>
      </w:tr>
      <w:tr w:rsidR="003E7D48" w14:paraId="449C070F" w14:textId="77777777" w:rsidTr="00C41FA6">
        <w:trPr>
          <w:trHeight w:hRule="exact" w:val="624"/>
        </w:trPr>
        <w:tc>
          <w:tcPr>
            <w:tcW w:w="9481" w:type="dxa"/>
            <w:tcBorders>
              <w:top w:val="single" w:sz="5" w:space="0" w:color="000000"/>
              <w:left w:val="single" w:sz="5" w:space="0" w:color="000000"/>
              <w:bottom w:val="single" w:sz="5" w:space="0" w:color="000000"/>
              <w:right w:val="single" w:sz="5" w:space="0" w:color="000000"/>
            </w:tcBorders>
          </w:tcPr>
          <w:p w14:paraId="4207E9AA" w14:textId="77777777" w:rsidR="003E7D48" w:rsidRDefault="00A2007D">
            <w:pPr>
              <w:spacing w:before="102" w:after="66" w:line="230" w:lineRule="exact"/>
              <w:ind w:left="144" w:right="108"/>
              <w:jc w:val="both"/>
              <w:textAlignment w:val="baseline"/>
              <w:rPr>
                <w:rFonts w:ascii="Tahoma" w:eastAsia="Tahoma" w:hAnsi="Tahoma"/>
                <w:color w:val="000000"/>
                <w:sz w:val="16"/>
              </w:rPr>
            </w:pPr>
            <w:r>
              <w:rPr>
                <w:rFonts w:ascii="Tahoma" w:eastAsia="Tahoma" w:hAnsi="Tahoma"/>
                <w:color w:val="000000"/>
                <w:sz w:val="16"/>
              </w:rPr>
              <w:t>The Master Sub-Fund</w:t>
            </w:r>
            <w:r w:rsidR="00C51684">
              <w:rPr>
                <w:rFonts w:ascii="Tahoma" w:eastAsia="Tahoma" w:hAnsi="Tahoma"/>
                <w:color w:val="000000"/>
                <w:sz w:val="16"/>
              </w:rPr>
              <w:t xml:space="preserve"> aims at investing at least 50% of its capital in Portfolio Companies fulfill</w:t>
            </w:r>
            <w:r>
              <w:rPr>
                <w:rFonts w:ascii="Tahoma" w:eastAsia="Tahoma" w:hAnsi="Tahoma"/>
                <w:color w:val="000000"/>
                <w:sz w:val="16"/>
              </w:rPr>
              <w:t>ing the requirements of the Manager’s</w:t>
            </w:r>
            <w:r w:rsidR="00C51684">
              <w:rPr>
                <w:rFonts w:ascii="Tahoma" w:eastAsia="Tahoma" w:hAnsi="Tahoma"/>
                <w:color w:val="000000"/>
                <w:sz w:val="16"/>
              </w:rPr>
              <w:t xml:space="preserve"> methodology to attain the promoted characteristics.</w:t>
            </w:r>
          </w:p>
        </w:tc>
      </w:tr>
      <w:tr w:rsidR="003E7D48" w14:paraId="751086E6" w14:textId="77777777" w:rsidTr="00C41FA6">
        <w:trPr>
          <w:trHeight w:hRule="exact" w:val="375"/>
        </w:trPr>
        <w:tc>
          <w:tcPr>
            <w:tcW w:w="9481" w:type="dxa"/>
            <w:tcBorders>
              <w:top w:val="single" w:sz="5" w:space="0" w:color="000000"/>
              <w:left w:val="single" w:sz="5" w:space="0" w:color="000000"/>
              <w:bottom w:val="single" w:sz="5" w:space="0" w:color="000000"/>
              <w:right w:val="single" w:sz="5" w:space="0" w:color="000000"/>
            </w:tcBorders>
            <w:vAlign w:val="center"/>
          </w:tcPr>
          <w:p w14:paraId="30C79E4C" w14:textId="77777777" w:rsidR="003E7D48" w:rsidRDefault="00C51684">
            <w:pPr>
              <w:spacing w:before="73" w:after="96" w:line="205" w:lineRule="exact"/>
              <w:ind w:left="144"/>
              <w:textAlignment w:val="baseline"/>
              <w:rPr>
                <w:rFonts w:ascii="Tahoma" w:eastAsia="Tahoma" w:hAnsi="Tahoma"/>
                <w:b/>
                <w:color w:val="000000"/>
                <w:sz w:val="16"/>
              </w:rPr>
            </w:pPr>
            <w:r>
              <w:rPr>
                <w:rFonts w:ascii="Tahoma" w:eastAsia="Tahoma" w:hAnsi="Tahoma"/>
                <w:b/>
                <w:color w:val="000000"/>
                <w:sz w:val="16"/>
              </w:rPr>
              <w:t>Monitoring of environmental or social characteristics</w:t>
            </w:r>
          </w:p>
        </w:tc>
      </w:tr>
      <w:tr w:rsidR="003E7D48" w14:paraId="6572E6E3" w14:textId="77777777" w:rsidTr="00C41FA6">
        <w:trPr>
          <w:trHeight w:hRule="exact" w:val="2324"/>
        </w:trPr>
        <w:tc>
          <w:tcPr>
            <w:tcW w:w="9481" w:type="dxa"/>
            <w:tcBorders>
              <w:top w:val="single" w:sz="5" w:space="0" w:color="000000"/>
              <w:left w:val="single" w:sz="5" w:space="0" w:color="000000"/>
              <w:bottom w:val="single" w:sz="5" w:space="0" w:color="000000"/>
              <w:right w:val="single" w:sz="5" w:space="0" w:color="000000"/>
            </w:tcBorders>
          </w:tcPr>
          <w:p w14:paraId="161415BA" w14:textId="77777777" w:rsidR="003E7D48" w:rsidRDefault="00C51684">
            <w:pPr>
              <w:spacing w:before="102" w:line="228" w:lineRule="exact"/>
              <w:ind w:left="144" w:right="108"/>
              <w:jc w:val="both"/>
              <w:textAlignment w:val="baseline"/>
              <w:rPr>
                <w:rFonts w:ascii="Tahoma" w:eastAsia="Tahoma" w:hAnsi="Tahoma"/>
                <w:color w:val="000000"/>
                <w:sz w:val="16"/>
              </w:rPr>
            </w:pPr>
            <w:r>
              <w:rPr>
                <w:rFonts w:ascii="Tahoma" w:eastAsia="Tahoma" w:hAnsi="Tahoma"/>
                <w:color w:val="000000"/>
                <w:sz w:val="16"/>
              </w:rPr>
              <w:t xml:space="preserve">During the pre-investment phase, the </w:t>
            </w:r>
            <w:r w:rsidR="00A2007D">
              <w:rPr>
                <w:rFonts w:ascii="Tahoma" w:eastAsia="Tahoma" w:hAnsi="Tahoma"/>
                <w:color w:val="000000"/>
                <w:sz w:val="16"/>
              </w:rPr>
              <w:t>Manager</w:t>
            </w:r>
            <w:r>
              <w:rPr>
                <w:rFonts w:ascii="Tahoma" w:eastAsia="Tahoma" w:hAnsi="Tahoma"/>
                <w:color w:val="000000"/>
                <w:sz w:val="16"/>
              </w:rPr>
              <w:t xml:space="preserve"> will, through a due diligence process, identify amongst others, the initiatives that are </w:t>
            </w:r>
            <w:r w:rsidR="00DC0F17">
              <w:rPr>
                <w:rFonts w:ascii="Tahoma" w:eastAsia="Tahoma" w:hAnsi="Tahoma"/>
                <w:color w:val="000000"/>
                <w:sz w:val="16"/>
              </w:rPr>
              <w:t>required in order to align the Portfolio C</w:t>
            </w:r>
            <w:r>
              <w:rPr>
                <w:rFonts w:ascii="Tahoma" w:eastAsia="Tahoma" w:hAnsi="Tahoma"/>
                <w:color w:val="000000"/>
                <w:sz w:val="16"/>
              </w:rPr>
              <w:t>ompanies with the promoted environment and social characteristics and the related pre-defined KPIs (the “sustainability indicators”).</w:t>
            </w:r>
          </w:p>
          <w:p w14:paraId="1B9230E7" w14:textId="77777777" w:rsidR="003E7D48" w:rsidRDefault="00C51684">
            <w:pPr>
              <w:spacing w:before="56" w:line="225" w:lineRule="exact"/>
              <w:ind w:left="144" w:right="108"/>
              <w:jc w:val="both"/>
              <w:textAlignment w:val="baseline"/>
              <w:rPr>
                <w:rFonts w:ascii="Tahoma" w:eastAsia="Tahoma" w:hAnsi="Tahoma"/>
                <w:color w:val="000000"/>
                <w:spacing w:val="6"/>
                <w:sz w:val="16"/>
              </w:rPr>
            </w:pPr>
            <w:r>
              <w:rPr>
                <w:rFonts w:ascii="Tahoma" w:eastAsia="Tahoma" w:hAnsi="Tahoma"/>
                <w:color w:val="000000"/>
                <w:spacing w:val="6"/>
                <w:sz w:val="16"/>
              </w:rPr>
              <w:t>During</w:t>
            </w:r>
            <w:r w:rsidR="00A2007D">
              <w:rPr>
                <w:rFonts w:ascii="Tahoma" w:eastAsia="Tahoma" w:hAnsi="Tahoma"/>
                <w:color w:val="000000"/>
                <w:spacing w:val="6"/>
                <w:sz w:val="16"/>
              </w:rPr>
              <w:t xml:space="preserve"> the Transition Period, the Manager</w:t>
            </w:r>
            <w:r>
              <w:rPr>
                <w:rFonts w:ascii="Tahoma" w:eastAsia="Tahoma" w:hAnsi="Tahoma"/>
                <w:color w:val="000000"/>
                <w:spacing w:val="6"/>
                <w:sz w:val="16"/>
              </w:rPr>
              <w:t xml:space="preserve"> </w:t>
            </w:r>
            <w:r w:rsidR="00DC0F17">
              <w:rPr>
                <w:rFonts w:ascii="Tahoma" w:eastAsia="Tahoma" w:hAnsi="Tahoma"/>
                <w:color w:val="000000"/>
                <w:spacing w:val="6"/>
                <w:sz w:val="16"/>
              </w:rPr>
              <w:t>will require from the relevant Portfolio C</w:t>
            </w:r>
            <w:r>
              <w:rPr>
                <w:rFonts w:ascii="Tahoma" w:eastAsia="Tahoma" w:hAnsi="Tahoma"/>
                <w:color w:val="000000"/>
                <w:spacing w:val="6"/>
                <w:sz w:val="16"/>
              </w:rPr>
              <w:t>ompanies to report on a semi-annual basis their advancement towards their path to reach the sustainability indicators. Advancement is measured through the following milestones: adoption of a transition plan, progress made versus the t</w:t>
            </w:r>
            <w:r w:rsidR="00DC0F17">
              <w:rPr>
                <w:rFonts w:ascii="Tahoma" w:eastAsia="Tahoma" w:hAnsi="Tahoma"/>
                <w:color w:val="000000"/>
                <w:spacing w:val="6"/>
                <w:sz w:val="16"/>
              </w:rPr>
              <w:t>ransition plan approved by the Portfolio C</w:t>
            </w:r>
            <w:r>
              <w:rPr>
                <w:rFonts w:ascii="Tahoma" w:eastAsia="Tahoma" w:hAnsi="Tahoma"/>
                <w:color w:val="000000"/>
                <w:spacing w:val="6"/>
                <w:sz w:val="16"/>
              </w:rPr>
              <w:t>ompany.</w:t>
            </w:r>
          </w:p>
          <w:p w14:paraId="526AC776" w14:textId="77777777" w:rsidR="003E7D48" w:rsidRDefault="00C51684">
            <w:pPr>
              <w:spacing w:before="56" w:after="82" w:line="226" w:lineRule="exact"/>
              <w:ind w:left="144" w:right="108"/>
              <w:jc w:val="both"/>
              <w:textAlignment w:val="baseline"/>
              <w:rPr>
                <w:rFonts w:ascii="Tahoma" w:eastAsia="Tahoma" w:hAnsi="Tahoma"/>
                <w:color w:val="000000"/>
                <w:sz w:val="16"/>
              </w:rPr>
            </w:pPr>
            <w:r>
              <w:rPr>
                <w:rFonts w:ascii="Tahoma" w:eastAsia="Tahoma" w:hAnsi="Tahoma"/>
                <w:color w:val="000000"/>
                <w:sz w:val="16"/>
              </w:rPr>
              <w:t>Following</w:t>
            </w:r>
            <w:r w:rsidR="00A2007D">
              <w:rPr>
                <w:rFonts w:ascii="Tahoma" w:eastAsia="Tahoma" w:hAnsi="Tahoma"/>
                <w:color w:val="000000"/>
                <w:sz w:val="16"/>
              </w:rPr>
              <w:t xml:space="preserve"> the Transition period, the </w:t>
            </w:r>
            <w:r w:rsidR="00A2007D">
              <w:rPr>
                <w:rFonts w:ascii="Tahoma" w:eastAsia="Tahoma" w:hAnsi="Tahoma"/>
                <w:color w:val="000000"/>
                <w:spacing w:val="6"/>
                <w:sz w:val="16"/>
              </w:rPr>
              <w:t>Manager</w:t>
            </w:r>
            <w:r w:rsidR="00DC0F17">
              <w:rPr>
                <w:rFonts w:ascii="Tahoma" w:eastAsia="Tahoma" w:hAnsi="Tahoma"/>
                <w:color w:val="000000"/>
                <w:sz w:val="16"/>
              </w:rPr>
              <w:t xml:space="preserve"> assesses and monitors the Portfolio C</w:t>
            </w:r>
            <w:r>
              <w:rPr>
                <w:rFonts w:ascii="Tahoma" w:eastAsia="Tahoma" w:hAnsi="Tahoma"/>
                <w:color w:val="000000"/>
                <w:sz w:val="16"/>
              </w:rPr>
              <w:t>ompanies’ development with regard to the promoted environmental and social characteristics with the pre-defined KPIs (see below).</w:t>
            </w:r>
          </w:p>
        </w:tc>
      </w:tr>
      <w:tr w:rsidR="003E7D48" w14:paraId="06BE4B00" w14:textId="77777777" w:rsidTr="00C41FA6">
        <w:trPr>
          <w:trHeight w:hRule="exact" w:val="384"/>
        </w:trPr>
        <w:tc>
          <w:tcPr>
            <w:tcW w:w="9481" w:type="dxa"/>
            <w:tcBorders>
              <w:top w:val="single" w:sz="5" w:space="0" w:color="000000"/>
              <w:left w:val="single" w:sz="5" w:space="0" w:color="000000"/>
              <w:bottom w:val="single" w:sz="5" w:space="0" w:color="000000"/>
              <w:right w:val="single" w:sz="5" w:space="0" w:color="000000"/>
            </w:tcBorders>
            <w:vAlign w:val="center"/>
          </w:tcPr>
          <w:p w14:paraId="04107753" w14:textId="77777777" w:rsidR="003E7D48" w:rsidRDefault="00C51684">
            <w:pPr>
              <w:spacing w:before="83" w:after="82" w:line="205" w:lineRule="exact"/>
              <w:ind w:left="72"/>
              <w:textAlignment w:val="baseline"/>
              <w:rPr>
                <w:rFonts w:ascii="Tahoma" w:eastAsia="Tahoma" w:hAnsi="Tahoma"/>
                <w:b/>
                <w:color w:val="000000"/>
                <w:sz w:val="16"/>
              </w:rPr>
            </w:pPr>
            <w:r>
              <w:rPr>
                <w:rFonts w:ascii="Tahoma" w:eastAsia="Tahoma" w:hAnsi="Tahoma"/>
                <w:b/>
                <w:color w:val="000000"/>
                <w:sz w:val="16"/>
              </w:rPr>
              <w:t>Methodologies</w:t>
            </w:r>
          </w:p>
        </w:tc>
      </w:tr>
      <w:tr w:rsidR="003E7D48" w14:paraId="2DD5EC77" w14:textId="77777777" w:rsidTr="00C41FA6">
        <w:trPr>
          <w:trHeight w:hRule="exact" w:val="2093"/>
        </w:trPr>
        <w:tc>
          <w:tcPr>
            <w:tcW w:w="9481" w:type="dxa"/>
            <w:tcBorders>
              <w:top w:val="single" w:sz="5" w:space="0" w:color="000000"/>
              <w:left w:val="single" w:sz="5" w:space="0" w:color="000000"/>
              <w:bottom w:val="single" w:sz="5" w:space="0" w:color="000000"/>
              <w:right w:val="single" w:sz="5" w:space="0" w:color="000000"/>
            </w:tcBorders>
          </w:tcPr>
          <w:p w14:paraId="4D4FFA0B" w14:textId="77777777" w:rsidR="003E7D48" w:rsidRDefault="00C51684">
            <w:pPr>
              <w:numPr>
                <w:ilvl w:val="0"/>
                <w:numId w:val="2"/>
              </w:numPr>
              <w:tabs>
                <w:tab w:val="clear" w:pos="360"/>
                <w:tab w:val="left" w:pos="720"/>
              </w:tabs>
              <w:spacing w:before="108" w:line="225" w:lineRule="exact"/>
              <w:ind w:left="720" w:right="108" w:hanging="360"/>
              <w:jc w:val="both"/>
              <w:textAlignment w:val="baseline"/>
              <w:rPr>
                <w:rFonts w:ascii="Tahoma" w:eastAsia="Tahoma" w:hAnsi="Tahoma"/>
                <w:b/>
                <w:color w:val="000000"/>
                <w:sz w:val="16"/>
              </w:rPr>
            </w:pPr>
            <w:r>
              <w:rPr>
                <w:rFonts w:ascii="Tahoma" w:eastAsia="Tahoma" w:hAnsi="Tahoma"/>
                <w:b/>
                <w:color w:val="000000"/>
                <w:sz w:val="16"/>
              </w:rPr>
              <w:t xml:space="preserve">Climate (GHG emissions) </w:t>
            </w:r>
            <w:r>
              <w:rPr>
                <w:rFonts w:ascii="Tahoma" w:eastAsia="Tahoma" w:hAnsi="Tahoma"/>
                <w:color w:val="000000"/>
                <w:sz w:val="16"/>
              </w:rPr>
              <w:t xml:space="preserve">- The Portfolio Manager measures this environmental characteristic by monitoring the implementation and subsequent adherence to the </w:t>
            </w:r>
            <w:r w:rsidR="00DC0F17">
              <w:rPr>
                <w:rFonts w:ascii="Tahoma" w:eastAsia="Tahoma" w:hAnsi="Tahoma"/>
                <w:color w:val="000000"/>
                <w:sz w:val="16"/>
              </w:rPr>
              <w:t>following indicator: Portfolio C</w:t>
            </w:r>
            <w:r>
              <w:rPr>
                <w:rFonts w:ascii="Tahoma" w:eastAsia="Tahoma" w:hAnsi="Tahoma"/>
                <w:color w:val="000000"/>
                <w:sz w:val="16"/>
              </w:rPr>
              <w:t>ompany has approved Science Based Targets for decarbonization and/or conducts annual TCFD reporting.</w:t>
            </w:r>
          </w:p>
          <w:p w14:paraId="103856EF" w14:textId="77777777" w:rsidR="003E7D48" w:rsidRDefault="00C51684">
            <w:pPr>
              <w:numPr>
                <w:ilvl w:val="0"/>
                <w:numId w:val="2"/>
              </w:numPr>
              <w:tabs>
                <w:tab w:val="clear" w:pos="360"/>
                <w:tab w:val="left" w:pos="720"/>
              </w:tabs>
              <w:spacing w:before="2" w:line="225" w:lineRule="exact"/>
              <w:ind w:left="720" w:right="108" w:hanging="360"/>
              <w:jc w:val="both"/>
              <w:textAlignment w:val="baseline"/>
              <w:rPr>
                <w:rFonts w:ascii="Tahoma" w:eastAsia="Tahoma" w:hAnsi="Tahoma"/>
                <w:b/>
                <w:color w:val="000000"/>
                <w:sz w:val="16"/>
              </w:rPr>
            </w:pPr>
            <w:r>
              <w:rPr>
                <w:rFonts w:ascii="Tahoma" w:eastAsia="Tahoma" w:hAnsi="Tahoma"/>
                <w:b/>
                <w:color w:val="000000"/>
                <w:sz w:val="16"/>
              </w:rPr>
              <w:t xml:space="preserve">Equality of opportunity, diversity &amp; inclusion - </w:t>
            </w:r>
            <w:r>
              <w:rPr>
                <w:rFonts w:ascii="Tahoma" w:eastAsia="Tahoma" w:hAnsi="Tahoma"/>
                <w:color w:val="000000"/>
                <w:sz w:val="16"/>
              </w:rPr>
              <w:t>The Portfolio Manager measures this social characteristic by monitoring the implementation and subsequent adherence to the fol</w:t>
            </w:r>
            <w:r w:rsidR="00DC0F17">
              <w:rPr>
                <w:rFonts w:ascii="Tahoma" w:eastAsia="Tahoma" w:hAnsi="Tahoma"/>
                <w:color w:val="000000"/>
                <w:sz w:val="16"/>
              </w:rPr>
              <w:t>lowing indicator: Portfolio C</w:t>
            </w:r>
            <w:r>
              <w:rPr>
                <w:rFonts w:ascii="Tahoma" w:eastAsia="Tahoma" w:hAnsi="Tahoma"/>
                <w:color w:val="000000"/>
                <w:sz w:val="16"/>
              </w:rPr>
              <w:t>ompany has at least 30% female representation at board level.</w:t>
            </w:r>
          </w:p>
          <w:p w14:paraId="5C6BC79E" w14:textId="77777777" w:rsidR="003E7D48" w:rsidRDefault="00DC0F17">
            <w:pPr>
              <w:spacing w:before="106" w:after="62" w:line="230" w:lineRule="exact"/>
              <w:ind w:left="144" w:right="108"/>
              <w:jc w:val="both"/>
              <w:textAlignment w:val="baseline"/>
              <w:rPr>
                <w:rFonts w:ascii="Tahoma" w:eastAsia="Tahoma" w:hAnsi="Tahoma"/>
                <w:color w:val="000000"/>
                <w:sz w:val="16"/>
              </w:rPr>
            </w:pPr>
            <w:r>
              <w:rPr>
                <w:rFonts w:ascii="Tahoma" w:eastAsia="Tahoma" w:hAnsi="Tahoma"/>
                <w:color w:val="000000"/>
                <w:sz w:val="16"/>
              </w:rPr>
              <w:t>Whenever a Portfolio C</w:t>
            </w:r>
            <w:r w:rsidR="00C51684">
              <w:rPr>
                <w:rFonts w:ascii="Tahoma" w:eastAsia="Tahoma" w:hAnsi="Tahoma"/>
                <w:color w:val="000000"/>
                <w:sz w:val="16"/>
              </w:rPr>
              <w:t>ompany does not provide sufficient data, the Portfolio Manager works closely with the company to provide the necessary support.</w:t>
            </w:r>
          </w:p>
        </w:tc>
      </w:tr>
      <w:tr w:rsidR="003E7D48" w14:paraId="7FB56D7F" w14:textId="77777777" w:rsidTr="00C41FA6">
        <w:trPr>
          <w:trHeight w:hRule="exact" w:val="374"/>
        </w:trPr>
        <w:tc>
          <w:tcPr>
            <w:tcW w:w="9481" w:type="dxa"/>
            <w:tcBorders>
              <w:top w:val="single" w:sz="5" w:space="0" w:color="000000"/>
              <w:left w:val="single" w:sz="5" w:space="0" w:color="000000"/>
              <w:bottom w:val="single" w:sz="5" w:space="0" w:color="000000"/>
              <w:right w:val="single" w:sz="5" w:space="0" w:color="000000"/>
            </w:tcBorders>
            <w:vAlign w:val="center"/>
          </w:tcPr>
          <w:p w14:paraId="02DD5292" w14:textId="77777777" w:rsidR="003E7D48" w:rsidRDefault="00C51684">
            <w:pPr>
              <w:spacing w:before="78" w:after="86" w:line="205" w:lineRule="exact"/>
              <w:ind w:left="72"/>
              <w:textAlignment w:val="baseline"/>
              <w:rPr>
                <w:rFonts w:ascii="Tahoma" w:eastAsia="Tahoma" w:hAnsi="Tahoma"/>
                <w:b/>
                <w:color w:val="000000"/>
                <w:sz w:val="16"/>
              </w:rPr>
            </w:pPr>
            <w:r>
              <w:rPr>
                <w:rFonts w:ascii="Tahoma" w:eastAsia="Tahoma" w:hAnsi="Tahoma"/>
                <w:b/>
                <w:color w:val="000000"/>
                <w:sz w:val="16"/>
              </w:rPr>
              <w:t>Data sources and processing</w:t>
            </w:r>
          </w:p>
        </w:tc>
      </w:tr>
      <w:tr w:rsidR="003E7D48" w14:paraId="418207BA" w14:textId="77777777" w:rsidTr="00C41FA6">
        <w:trPr>
          <w:trHeight w:hRule="exact" w:val="859"/>
        </w:trPr>
        <w:tc>
          <w:tcPr>
            <w:tcW w:w="9481" w:type="dxa"/>
            <w:tcBorders>
              <w:top w:val="single" w:sz="5" w:space="0" w:color="000000"/>
              <w:left w:val="single" w:sz="5" w:space="0" w:color="000000"/>
              <w:bottom w:val="single" w:sz="5" w:space="0" w:color="000000"/>
              <w:right w:val="single" w:sz="5" w:space="0" w:color="000000"/>
            </w:tcBorders>
          </w:tcPr>
          <w:p w14:paraId="6E36A5C2" w14:textId="77777777" w:rsidR="003E7D48" w:rsidRDefault="00C51684">
            <w:pPr>
              <w:spacing w:before="104" w:after="57" w:line="228" w:lineRule="exact"/>
              <w:ind w:left="144" w:right="108"/>
              <w:jc w:val="both"/>
              <w:textAlignment w:val="baseline"/>
              <w:rPr>
                <w:rFonts w:ascii="Tahoma" w:eastAsia="Tahoma" w:hAnsi="Tahoma"/>
                <w:color w:val="000000"/>
                <w:spacing w:val="6"/>
                <w:sz w:val="16"/>
              </w:rPr>
            </w:pPr>
            <w:r>
              <w:rPr>
                <w:rFonts w:ascii="Tahoma" w:eastAsia="Tahoma" w:hAnsi="Tahoma"/>
                <w:color w:val="000000"/>
                <w:spacing w:val="6"/>
                <w:sz w:val="16"/>
              </w:rPr>
              <w:t>After the Transition Period, the Portfolio Manager, through its co-investor JAB ("JAB"), performs a data collection process at least annually where a question</w:t>
            </w:r>
            <w:r w:rsidR="00DC0F17">
              <w:rPr>
                <w:rFonts w:ascii="Tahoma" w:eastAsia="Tahoma" w:hAnsi="Tahoma"/>
                <w:color w:val="000000"/>
                <w:spacing w:val="6"/>
                <w:sz w:val="16"/>
              </w:rPr>
              <w:t>naire is being sent out to the Portfolio C</w:t>
            </w:r>
            <w:r>
              <w:rPr>
                <w:rFonts w:ascii="Tahoma" w:eastAsia="Tahoma" w:hAnsi="Tahoma"/>
                <w:color w:val="000000"/>
                <w:spacing w:val="6"/>
                <w:sz w:val="16"/>
              </w:rPr>
              <w:t>ompanies to fill out the relevant ESG related data requested.</w:t>
            </w:r>
          </w:p>
        </w:tc>
      </w:tr>
      <w:tr w:rsidR="003E7D48" w14:paraId="29501C76" w14:textId="77777777" w:rsidTr="00C41FA6">
        <w:trPr>
          <w:trHeight w:hRule="exact" w:val="375"/>
        </w:trPr>
        <w:tc>
          <w:tcPr>
            <w:tcW w:w="9481" w:type="dxa"/>
            <w:tcBorders>
              <w:top w:val="single" w:sz="5" w:space="0" w:color="000000"/>
              <w:left w:val="single" w:sz="5" w:space="0" w:color="000000"/>
              <w:bottom w:val="single" w:sz="5" w:space="0" w:color="000000"/>
              <w:right w:val="single" w:sz="5" w:space="0" w:color="000000"/>
            </w:tcBorders>
            <w:vAlign w:val="center"/>
          </w:tcPr>
          <w:p w14:paraId="346F34FA" w14:textId="77777777" w:rsidR="003E7D48" w:rsidRDefault="00C51684">
            <w:pPr>
              <w:spacing w:before="69" w:after="86" w:line="205" w:lineRule="exact"/>
              <w:ind w:left="72"/>
              <w:textAlignment w:val="baseline"/>
              <w:rPr>
                <w:rFonts w:ascii="Tahoma" w:eastAsia="Tahoma" w:hAnsi="Tahoma"/>
                <w:b/>
                <w:color w:val="000000"/>
                <w:sz w:val="16"/>
              </w:rPr>
            </w:pPr>
            <w:r>
              <w:rPr>
                <w:rFonts w:ascii="Tahoma" w:eastAsia="Tahoma" w:hAnsi="Tahoma"/>
                <w:b/>
                <w:color w:val="000000"/>
                <w:sz w:val="16"/>
              </w:rPr>
              <w:t>Limitations to methodologies and data</w:t>
            </w:r>
          </w:p>
        </w:tc>
      </w:tr>
      <w:tr w:rsidR="003E7D48" w14:paraId="5FDDF2B6" w14:textId="77777777" w:rsidTr="00C41FA6">
        <w:trPr>
          <w:trHeight w:hRule="exact" w:val="2150"/>
        </w:trPr>
        <w:tc>
          <w:tcPr>
            <w:tcW w:w="9481" w:type="dxa"/>
            <w:tcBorders>
              <w:top w:val="single" w:sz="5" w:space="0" w:color="000000"/>
              <w:left w:val="single" w:sz="5" w:space="0" w:color="000000"/>
              <w:bottom w:val="single" w:sz="5" w:space="0" w:color="000000"/>
              <w:right w:val="single" w:sz="5" w:space="0" w:color="000000"/>
            </w:tcBorders>
          </w:tcPr>
          <w:p w14:paraId="016092D8" w14:textId="77777777" w:rsidR="003E7D48" w:rsidRDefault="00C51684">
            <w:pPr>
              <w:spacing w:before="140" w:line="191" w:lineRule="exact"/>
              <w:ind w:left="72"/>
              <w:textAlignment w:val="baseline"/>
              <w:rPr>
                <w:rFonts w:ascii="Tahoma" w:eastAsia="Tahoma" w:hAnsi="Tahoma"/>
                <w:color w:val="000000"/>
                <w:sz w:val="16"/>
              </w:rPr>
            </w:pPr>
            <w:r>
              <w:rPr>
                <w:rFonts w:ascii="Tahoma" w:eastAsia="Tahoma" w:hAnsi="Tahoma"/>
                <w:color w:val="000000"/>
                <w:sz w:val="16"/>
              </w:rPr>
              <w:t xml:space="preserve">In some cases, the relevant ESG related information might not </w:t>
            </w:r>
            <w:r w:rsidR="00DC0F17">
              <w:rPr>
                <w:rFonts w:ascii="Tahoma" w:eastAsia="Tahoma" w:hAnsi="Tahoma"/>
                <w:color w:val="000000"/>
                <w:sz w:val="16"/>
              </w:rPr>
              <w:t>be available / reported by the Portfolio C</w:t>
            </w:r>
            <w:r>
              <w:rPr>
                <w:rFonts w:ascii="Tahoma" w:eastAsia="Tahoma" w:hAnsi="Tahoma"/>
                <w:color w:val="000000"/>
                <w:sz w:val="16"/>
              </w:rPr>
              <w:t>ompany.</w:t>
            </w:r>
          </w:p>
          <w:p w14:paraId="70EE0FE1" w14:textId="77777777" w:rsidR="003E7D48" w:rsidRDefault="00C51684">
            <w:pPr>
              <w:spacing w:before="62" w:line="221" w:lineRule="exact"/>
              <w:ind w:left="144" w:right="108"/>
              <w:jc w:val="both"/>
              <w:textAlignment w:val="baseline"/>
              <w:rPr>
                <w:rFonts w:ascii="Tahoma" w:eastAsia="Tahoma" w:hAnsi="Tahoma"/>
                <w:color w:val="000000"/>
                <w:sz w:val="16"/>
              </w:rPr>
            </w:pPr>
            <w:r>
              <w:rPr>
                <w:rFonts w:ascii="Tahoma" w:eastAsia="Tahoma" w:hAnsi="Tahoma"/>
                <w:color w:val="000000"/>
                <w:sz w:val="16"/>
              </w:rPr>
              <w:t xml:space="preserve">Given the nature of the </w:t>
            </w:r>
            <w:r w:rsidR="00A2007D">
              <w:rPr>
                <w:rFonts w:ascii="Tahoma" w:eastAsia="Tahoma" w:hAnsi="Tahoma"/>
                <w:color w:val="000000"/>
                <w:sz w:val="16"/>
              </w:rPr>
              <w:t>Master Sub-Fund</w:t>
            </w:r>
            <w:r>
              <w:rPr>
                <w:rFonts w:ascii="Tahoma" w:eastAsia="Tahoma" w:hAnsi="Tahoma"/>
                <w:color w:val="000000"/>
                <w:sz w:val="16"/>
              </w:rPr>
              <w:t xml:space="preserve"> and its intended investment strategy the capital deployment phase as described above may be extended based on availability of potential investments.</w:t>
            </w:r>
          </w:p>
          <w:p w14:paraId="77E41968" w14:textId="77777777" w:rsidR="003E7D48" w:rsidRDefault="00C51684">
            <w:pPr>
              <w:spacing w:before="57" w:line="226" w:lineRule="exact"/>
              <w:ind w:left="144" w:right="108"/>
              <w:jc w:val="both"/>
              <w:textAlignment w:val="baseline"/>
              <w:rPr>
                <w:rFonts w:ascii="Tahoma" w:eastAsia="Tahoma" w:hAnsi="Tahoma"/>
                <w:color w:val="000000"/>
                <w:sz w:val="16"/>
              </w:rPr>
            </w:pPr>
            <w:r>
              <w:rPr>
                <w:rFonts w:ascii="Tahoma" w:eastAsia="Tahoma" w:hAnsi="Tahoma"/>
                <w:color w:val="000000"/>
                <w:sz w:val="16"/>
              </w:rPr>
              <w:t xml:space="preserve">Furthermore, achieving </w:t>
            </w:r>
            <w:r w:rsidR="00DC0F17">
              <w:rPr>
                <w:rFonts w:ascii="Tahoma" w:eastAsia="Tahoma" w:hAnsi="Tahoma"/>
                <w:color w:val="000000"/>
                <w:sz w:val="16"/>
              </w:rPr>
              <w:t>the defined characteristics by Portfolio C</w:t>
            </w:r>
            <w:r>
              <w:rPr>
                <w:rFonts w:ascii="Tahoma" w:eastAsia="Tahoma" w:hAnsi="Tahoma"/>
                <w:color w:val="000000"/>
                <w:sz w:val="16"/>
              </w:rPr>
              <w:t>ompanies may be disrupted due to major M&amp;A events which would potentially trigger a new transition period.</w:t>
            </w:r>
          </w:p>
          <w:p w14:paraId="04AF9B1A" w14:textId="77777777" w:rsidR="003E7D48" w:rsidRDefault="00C51684">
            <w:pPr>
              <w:spacing w:before="60" w:after="66" w:line="225" w:lineRule="exact"/>
              <w:ind w:left="144" w:right="108"/>
              <w:jc w:val="both"/>
              <w:textAlignment w:val="baseline"/>
              <w:rPr>
                <w:rFonts w:ascii="Tahoma" w:eastAsia="Tahoma" w:hAnsi="Tahoma"/>
                <w:color w:val="000000"/>
                <w:spacing w:val="5"/>
                <w:sz w:val="16"/>
              </w:rPr>
            </w:pPr>
            <w:r>
              <w:rPr>
                <w:rFonts w:ascii="Tahoma" w:eastAsia="Tahoma" w:hAnsi="Tahoma"/>
                <w:color w:val="000000"/>
                <w:spacing w:val="5"/>
                <w:sz w:val="16"/>
              </w:rPr>
              <w:t xml:space="preserve">Although the </w:t>
            </w:r>
            <w:r w:rsidR="00A2007D">
              <w:rPr>
                <w:rFonts w:ascii="Tahoma" w:eastAsia="Tahoma" w:hAnsi="Tahoma"/>
                <w:color w:val="000000"/>
                <w:spacing w:val="5"/>
                <w:sz w:val="16"/>
              </w:rPr>
              <w:t>Master Sub-Fund</w:t>
            </w:r>
            <w:r>
              <w:rPr>
                <w:rFonts w:ascii="Tahoma" w:eastAsia="Tahoma" w:hAnsi="Tahoma"/>
                <w:color w:val="000000"/>
                <w:spacing w:val="5"/>
                <w:sz w:val="16"/>
              </w:rPr>
              <w:t xml:space="preserve"> strives towards a certain level of diversification there may be a level of investment concentration that may have a significant effect on the achievement of promoted characteristics especially in the early years of the </w:t>
            </w:r>
            <w:r w:rsidR="00A2007D">
              <w:rPr>
                <w:rFonts w:ascii="Tahoma" w:eastAsia="Tahoma" w:hAnsi="Tahoma"/>
                <w:color w:val="000000"/>
                <w:spacing w:val="5"/>
                <w:sz w:val="16"/>
              </w:rPr>
              <w:t>Master Sub-Fund</w:t>
            </w:r>
            <w:r>
              <w:rPr>
                <w:rFonts w:ascii="Tahoma" w:eastAsia="Tahoma" w:hAnsi="Tahoma"/>
                <w:color w:val="000000"/>
                <w:spacing w:val="5"/>
                <w:sz w:val="16"/>
              </w:rPr>
              <w:t>’s life cycle.</w:t>
            </w:r>
          </w:p>
        </w:tc>
      </w:tr>
      <w:tr w:rsidR="003E7D48" w14:paraId="1BF8716E" w14:textId="77777777" w:rsidTr="00C41FA6">
        <w:trPr>
          <w:trHeight w:hRule="exact" w:val="375"/>
        </w:trPr>
        <w:tc>
          <w:tcPr>
            <w:tcW w:w="9481" w:type="dxa"/>
            <w:tcBorders>
              <w:top w:val="single" w:sz="5" w:space="0" w:color="000000"/>
              <w:left w:val="single" w:sz="5" w:space="0" w:color="000000"/>
              <w:bottom w:val="single" w:sz="5" w:space="0" w:color="000000"/>
              <w:right w:val="single" w:sz="5" w:space="0" w:color="000000"/>
            </w:tcBorders>
            <w:vAlign w:val="center"/>
          </w:tcPr>
          <w:p w14:paraId="60B507C8" w14:textId="77777777" w:rsidR="003E7D48" w:rsidRDefault="00C51684">
            <w:pPr>
              <w:spacing w:before="74" w:after="91" w:line="205" w:lineRule="exact"/>
              <w:ind w:left="72"/>
              <w:textAlignment w:val="baseline"/>
              <w:rPr>
                <w:rFonts w:ascii="Tahoma" w:eastAsia="Tahoma" w:hAnsi="Tahoma"/>
                <w:b/>
                <w:color w:val="000000"/>
                <w:sz w:val="16"/>
              </w:rPr>
            </w:pPr>
            <w:r>
              <w:rPr>
                <w:rFonts w:ascii="Tahoma" w:eastAsia="Tahoma" w:hAnsi="Tahoma"/>
                <w:b/>
                <w:color w:val="000000"/>
                <w:sz w:val="16"/>
              </w:rPr>
              <w:t>Due diligence</w:t>
            </w:r>
          </w:p>
        </w:tc>
      </w:tr>
      <w:tr w:rsidR="003E7D48" w14:paraId="5C0A9D04" w14:textId="77777777" w:rsidTr="00C41FA6">
        <w:trPr>
          <w:trHeight w:hRule="exact" w:val="1588"/>
        </w:trPr>
        <w:tc>
          <w:tcPr>
            <w:tcW w:w="9481" w:type="dxa"/>
            <w:tcBorders>
              <w:top w:val="single" w:sz="5" w:space="0" w:color="000000"/>
              <w:left w:val="single" w:sz="5" w:space="0" w:color="000000"/>
              <w:bottom w:val="single" w:sz="5" w:space="0" w:color="000000"/>
              <w:right w:val="single" w:sz="5" w:space="0" w:color="000000"/>
            </w:tcBorders>
          </w:tcPr>
          <w:p w14:paraId="25244069" w14:textId="77777777" w:rsidR="003E7D48" w:rsidRDefault="00C51684">
            <w:pPr>
              <w:spacing w:before="114" w:line="224" w:lineRule="exact"/>
              <w:ind w:left="144" w:right="108"/>
              <w:jc w:val="both"/>
              <w:textAlignment w:val="baseline"/>
              <w:rPr>
                <w:rFonts w:ascii="Tahoma" w:eastAsia="Tahoma" w:hAnsi="Tahoma"/>
                <w:color w:val="000000"/>
                <w:spacing w:val="5"/>
                <w:sz w:val="16"/>
              </w:rPr>
            </w:pPr>
            <w:r>
              <w:rPr>
                <w:rFonts w:ascii="Tahoma" w:eastAsia="Tahoma" w:hAnsi="Tahoma"/>
                <w:color w:val="000000"/>
                <w:spacing w:val="5"/>
                <w:sz w:val="16"/>
              </w:rPr>
              <w:t>During th</w:t>
            </w:r>
            <w:r w:rsidR="008E6744">
              <w:rPr>
                <w:rFonts w:ascii="Tahoma" w:eastAsia="Tahoma" w:hAnsi="Tahoma"/>
                <w:color w:val="000000"/>
                <w:spacing w:val="5"/>
                <w:sz w:val="16"/>
              </w:rPr>
              <w:t xml:space="preserve">e pre-investment phase, the </w:t>
            </w:r>
            <w:r w:rsidR="008E6744">
              <w:rPr>
                <w:rFonts w:ascii="Tahoma" w:eastAsia="Tahoma" w:hAnsi="Tahoma"/>
                <w:color w:val="000000"/>
                <w:spacing w:val="6"/>
                <w:sz w:val="16"/>
              </w:rPr>
              <w:t>Manager</w:t>
            </w:r>
            <w:r>
              <w:rPr>
                <w:rFonts w:ascii="Tahoma" w:eastAsia="Tahoma" w:hAnsi="Tahoma"/>
                <w:color w:val="000000"/>
                <w:spacing w:val="5"/>
                <w:sz w:val="16"/>
              </w:rPr>
              <w:t xml:space="preserve"> and JAB will appoint a third-party expert to proceed with an ESG due diligence of the target investment. The due diligence is tailored but will at minimum: identify material Sustainability Factors and Sustainability Risks, identify impact of acquisition on the </w:t>
            </w:r>
            <w:r w:rsidR="00A2007D">
              <w:rPr>
                <w:rFonts w:ascii="Tahoma" w:eastAsia="Tahoma" w:hAnsi="Tahoma"/>
                <w:color w:val="000000"/>
                <w:spacing w:val="5"/>
                <w:sz w:val="16"/>
              </w:rPr>
              <w:t>Master Sub-Fund</w:t>
            </w:r>
            <w:r>
              <w:rPr>
                <w:rFonts w:ascii="Tahoma" w:eastAsia="Tahoma" w:hAnsi="Tahoma"/>
                <w:color w:val="000000"/>
                <w:spacing w:val="5"/>
                <w:sz w:val="16"/>
              </w:rPr>
              <w:t>’</w:t>
            </w:r>
            <w:r w:rsidR="00A2007D">
              <w:rPr>
                <w:rFonts w:ascii="Tahoma" w:eastAsia="Tahoma" w:hAnsi="Tahoma"/>
                <w:color w:val="000000"/>
                <w:spacing w:val="5"/>
                <w:sz w:val="16"/>
              </w:rPr>
              <w:t>s</w:t>
            </w:r>
            <w:r>
              <w:rPr>
                <w:rFonts w:ascii="Tahoma" w:eastAsia="Tahoma" w:hAnsi="Tahoma"/>
                <w:color w:val="000000"/>
                <w:spacing w:val="5"/>
                <w:sz w:val="16"/>
              </w:rPr>
              <w:t xml:space="preserve"> promoted characteristics and finally high-level recommendations for post-acquisition. The Sustainability Factors and Sustainability Risks will form an integral part of the investment proposal submitted to the Investment Committee and to the board of managers of the </w:t>
            </w:r>
            <w:r w:rsidR="00A2007D">
              <w:rPr>
                <w:rFonts w:ascii="Tahoma" w:eastAsia="Tahoma" w:hAnsi="Tahoma"/>
                <w:color w:val="000000"/>
                <w:spacing w:val="5"/>
                <w:sz w:val="16"/>
              </w:rPr>
              <w:t>Manager</w:t>
            </w:r>
            <w:r>
              <w:rPr>
                <w:rFonts w:ascii="Tahoma" w:eastAsia="Tahoma" w:hAnsi="Tahoma"/>
                <w:color w:val="000000"/>
                <w:spacing w:val="5"/>
                <w:sz w:val="16"/>
              </w:rPr>
              <w:t>.</w:t>
            </w:r>
          </w:p>
          <w:p w14:paraId="7AC7BF80" w14:textId="77777777" w:rsidR="003E7D48" w:rsidRDefault="007F6687">
            <w:pPr>
              <w:spacing w:before="96" w:after="57" w:line="192" w:lineRule="exact"/>
              <w:ind w:left="72"/>
              <w:textAlignment w:val="baseline"/>
              <w:rPr>
                <w:rFonts w:ascii="Tahoma" w:eastAsia="Tahoma" w:hAnsi="Tahoma"/>
                <w:color w:val="000000"/>
                <w:sz w:val="16"/>
              </w:rPr>
            </w:pPr>
            <w:r>
              <w:rPr>
                <w:rFonts w:ascii="Tahoma" w:eastAsia="Tahoma" w:hAnsi="Tahoma"/>
                <w:color w:val="000000"/>
                <w:sz w:val="16"/>
              </w:rPr>
              <w:t>The Manager</w:t>
            </w:r>
            <w:r w:rsidR="00C51684">
              <w:rPr>
                <w:rFonts w:ascii="Tahoma" w:eastAsia="Tahoma" w:hAnsi="Tahoma"/>
                <w:color w:val="000000"/>
                <w:sz w:val="16"/>
              </w:rPr>
              <w:t xml:space="preserve"> will monitor ongoing evolution of Sustainability Factors a</w:t>
            </w:r>
            <w:r w:rsidR="00DC0F17">
              <w:rPr>
                <w:rFonts w:ascii="Tahoma" w:eastAsia="Tahoma" w:hAnsi="Tahoma"/>
                <w:color w:val="000000"/>
                <w:sz w:val="16"/>
              </w:rPr>
              <w:t>nd Sustainability Risks in its Portfolio C</w:t>
            </w:r>
            <w:r w:rsidR="00C51684">
              <w:rPr>
                <w:rFonts w:ascii="Tahoma" w:eastAsia="Tahoma" w:hAnsi="Tahoma"/>
                <w:color w:val="000000"/>
                <w:sz w:val="16"/>
              </w:rPr>
              <w:t>ompanies.</w:t>
            </w:r>
          </w:p>
        </w:tc>
      </w:tr>
      <w:tr w:rsidR="003E7D48" w14:paraId="2C8D0C6F" w14:textId="77777777" w:rsidTr="00C41FA6">
        <w:trPr>
          <w:trHeight w:hRule="exact" w:val="375"/>
        </w:trPr>
        <w:tc>
          <w:tcPr>
            <w:tcW w:w="9481" w:type="dxa"/>
            <w:tcBorders>
              <w:top w:val="single" w:sz="5" w:space="0" w:color="000000"/>
              <w:left w:val="single" w:sz="5" w:space="0" w:color="000000"/>
              <w:bottom w:val="single" w:sz="5" w:space="0" w:color="000000"/>
              <w:right w:val="single" w:sz="5" w:space="0" w:color="000000"/>
            </w:tcBorders>
            <w:vAlign w:val="center"/>
          </w:tcPr>
          <w:p w14:paraId="1E3684B0" w14:textId="77777777" w:rsidR="003E7D48" w:rsidRDefault="00C51684">
            <w:pPr>
              <w:spacing w:before="74" w:after="86" w:line="205" w:lineRule="exact"/>
              <w:ind w:left="72"/>
              <w:textAlignment w:val="baseline"/>
              <w:rPr>
                <w:rFonts w:ascii="Tahoma" w:eastAsia="Tahoma" w:hAnsi="Tahoma"/>
                <w:b/>
                <w:color w:val="000000"/>
                <w:sz w:val="16"/>
              </w:rPr>
            </w:pPr>
            <w:r>
              <w:rPr>
                <w:rFonts w:ascii="Tahoma" w:eastAsia="Tahoma" w:hAnsi="Tahoma"/>
                <w:b/>
                <w:color w:val="000000"/>
                <w:sz w:val="16"/>
              </w:rPr>
              <w:t>Engagement policies</w:t>
            </w:r>
          </w:p>
        </w:tc>
      </w:tr>
      <w:tr w:rsidR="003E7D48" w14:paraId="658C57C6" w14:textId="77777777" w:rsidTr="00C41FA6">
        <w:trPr>
          <w:trHeight w:hRule="exact" w:val="629"/>
        </w:trPr>
        <w:tc>
          <w:tcPr>
            <w:tcW w:w="9481" w:type="dxa"/>
            <w:tcBorders>
              <w:top w:val="single" w:sz="5" w:space="0" w:color="000000"/>
              <w:left w:val="single" w:sz="5" w:space="0" w:color="000000"/>
              <w:bottom w:val="single" w:sz="5" w:space="0" w:color="000000"/>
              <w:right w:val="single" w:sz="5" w:space="0" w:color="000000"/>
            </w:tcBorders>
          </w:tcPr>
          <w:p w14:paraId="3A22D684" w14:textId="77777777" w:rsidR="003E7D48" w:rsidRDefault="00C51684">
            <w:pPr>
              <w:spacing w:before="112" w:after="62" w:line="225" w:lineRule="exact"/>
              <w:ind w:left="144" w:right="108"/>
              <w:jc w:val="both"/>
              <w:textAlignment w:val="baseline"/>
              <w:rPr>
                <w:rFonts w:ascii="Tahoma" w:eastAsia="Tahoma" w:hAnsi="Tahoma"/>
                <w:color w:val="000000"/>
                <w:sz w:val="16"/>
              </w:rPr>
            </w:pPr>
            <w:r>
              <w:rPr>
                <w:rFonts w:ascii="Tahoma" w:eastAsia="Tahoma" w:hAnsi="Tahoma"/>
                <w:color w:val="000000"/>
                <w:sz w:val="16"/>
              </w:rPr>
              <w:t>Being subject to Directive (EU) 2017/828 (the “Shareholder Rights Di</w:t>
            </w:r>
            <w:r w:rsidR="008E6744">
              <w:rPr>
                <w:rFonts w:ascii="Tahoma" w:eastAsia="Tahoma" w:hAnsi="Tahoma"/>
                <w:color w:val="000000"/>
                <w:sz w:val="16"/>
              </w:rPr>
              <w:t>rective II” - “SRD II”) the</w:t>
            </w:r>
            <w:r w:rsidR="008E6744">
              <w:rPr>
                <w:rFonts w:ascii="Tahoma" w:eastAsia="Tahoma" w:hAnsi="Tahoma"/>
                <w:color w:val="000000"/>
                <w:spacing w:val="6"/>
                <w:sz w:val="16"/>
              </w:rPr>
              <w:t xml:space="preserve"> Manager</w:t>
            </w:r>
            <w:r w:rsidR="008E6744">
              <w:rPr>
                <w:rFonts w:ascii="Tahoma" w:eastAsia="Tahoma" w:hAnsi="Tahoma"/>
                <w:color w:val="000000"/>
                <w:sz w:val="16"/>
              </w:rPr>
              <w:t xml:space="preserve"> </w:t>
            </w:r>
            <w:r>
              <w:rPr>
                <w:rFonts w:ascii="Tahoma" w:eastAsia="Tahoma" w:hAnsi="Tahoma"/>
                <w:color w:val="000000"/>
                <w:sz w:val="16"/>
              </w:rPr>
              <w:t xml:space="preserve"> implemented an engagement policy as part of its voting rights policy.</w:t>
            </w:r>
          </w:p>
        </w:tc>
      </w:tr>
      <w:tr w:rsidR="003E7D48" w14:paraId="0BCB5FF7" w14:textId="77777777" w:rsidTr="00C41FA6">
        <w:trPr>
          <w:trHeight w:hRule="exact" w:val="374"/>
        </w:trPr>
        <w:tc>
          <w:tcPr>
            <w:tcW w:w="9481" w:type="dxa"/>
            <w:tcBorders>
              <w:top w:val="single" w:sz="5" w:space="0" w:color="000000"/>
              <w:left w:val="single" w:sz="5" w:space="0" w:color="000000"/>
              <w:bottom w:val="single" w:sz="5" w:space="0" w:color="000000"/>
              <w:right w:val="single" w:sz="5" w:space="0" w:color="000000"/>
            </w:tcBorders>
            <w:vAlign w:val="center"/>
          </w:tcPr>
          <w:p w14:paraId="54102E41" w14:textId="77777777" w:rsidR="003E7D48" w:rsidRDefault="00C51684">
            <w:pPr>
              <w:spacing w:before="73" w:after="91" w:line="205" w:lineRule="exact"/>
              <w:ind w:left="72"/>
              <w:textAlignment w:val="baseline"/>
              <w:rPr>
                <w:rFonts w:ascii="Tahoma" w:eastAsia="Tahoma" w:hAnsi="Tahoma"/>
                <w:b/>
                <w:color w:val="000000"/>
                <w:sz w:val="16"/>
              </w:rPr>
            </w:pPr>
            <w:r>
              <w:rPr>
                <w:rFonts w:ascii="Tahoma" w:eastAsia="Tahoma" w:hAnsi="Tahoma"/>
                <w:b/>
                <w:color w:val="000000"/>
                <w:sz w:val="16"/>
              </w:rPr>
              <w:lastRenderedPageBreak/>
              <w:t>Designated reference benchmark</w:t>
            </w:r>
          </w:p>
        </w:tc>
      </w:tr>
      <w:tr w:rsidR="003E7D48" w14:paraId="241F2BF3" w14:textId="77777777" w:rsidTr="00C41FA6">
        <w:trPr>
          <w:trHeight w:hRule="exact" w:val="639"/>
        </w:trPr>
        <w:tc>
          <w:tcPr>
            <w:tcW w:w="9481" w:type="dxa"/>
            <w:tcBorders>
              <w:top w:val="single" w:sz="5" w:space="0" w:color="000000"/>
              <w:left w:val="single" w:sz="5" w:space="0" w:color="000000"/>
              <w:bottom w:val="single" w:sz="5" w:space="0" w:color="000000"/>
              <w:right w:val="single" w:sz="5" w:space="0" w:color="000000"/>
            </w:tcBorders>
          </w:tcPr>
          <w:p w14:paraId="142D2CDF" w14:textId="77777777" w:rsidR="003E7D48" w:rsidRDefault="00C51684">
            <w:pPr>
              <w:spacing w:before="112" w:after="67" w:line="225" w:lineRule="exact"/>
              <w:ind w:left="144" w:right="108"/>
              <w:jc w:val="both"/>
              <w:textAlignment w:val="baseline"/>
              <w:rPr>
                <w:rFonts w:ascii="Tahoma" w:eastAsia="Tahoma" w:hAnsi="Tahoma"/>
                <w:color w:val="000000"/>
                <w:sz w:val="16"/>
              </w:rPr>
            </w:pPr>
            <w:r>
              <w:rPr>
                <w:rFonts w:ascii="Tahoma" w:eastAsia="Tahoma" w:hAnsi="Tahoma"/>
                <w:color w:val="000000"/>
                <w:sz w:val="16"/>
              </w:rPr>
              <w:t xml:space="preserve">The </w:t>
            </w:r>
            <w:r w:rsidR="00A2007D">
              <w:rPr>
                <w:rFonts w:ascii="Tahoma" w:eastAsia="Tahoma" w:hAnsi="Tahoma"/>
                <w:color w:val="000000"/>
                <w:sz w:val="16"/>
              </w:rPr>
              <w:t>Master Sub-Fund</w:t>
            </w:r>
            <w:r>
              <w:rPr>
                <w:rFonts w:ascii="Tahoma" w:eastAsia="Tahoma" w:hAnsi="Tahoma"/>
                <w:color w:val="000000"/>
                <w:sz w:val="16"/>
              </w:rPr>
              <w:t xml:space="preserve"> does not use a specific index designated as a reference benchmark. Therefore, this question is not applicable, and no information is included in this section.</w:t>
            </w:r>
          </w:p>
        </w:tc>
      </w:tr>
    </w:tbl>
    <w:p w14:paraId="5AE5C0F3" w14:textId="77777777" w:rsidR="003E7D48" w:rsidRDefault="003E7D48">
      <w:pPr>
        <w:spacing w:after="448" w:line="20" w:lineRule="exact"/>
      </w:pPr>
    </w:p>
    <w:p w14:paraId="3B28028B" w14:textId="77777777" w:rsidR="003E7D48" w:rsidRPr="008C1AAC" w:rsidRDefault="00C51684" w:rsidP="00C41FA6">
      <w:pPr>
        <w:numPr>
          <w:ilvl w:val="0"/>
          <w:numId w:val="3"/>
        </w:numPr>
        <w:tabs>
          <w:tab w:val="clear" w:pos="288"/>
          <w:tab w:val="left" w:pos="648"/>
        </w:tabs>
        <w:spacing w:line="212" w:lineRule="exact"/>
        <w:ind w:right="-138"/>
        <w:textAlignment w:val="baseline"/>
        <w:rPr>
          <w:rFonts w:ascii="Tahoma" w:eastAsia="Tahoma" w:hAnsi="Tahoma"/>
          <w:b/>
          <w:color w:val="000000"/>
          <w:sz w:val="19"/>
        </w:rPr>
      </w:pPr>
      <w:r w:rsidRPr="008C1AAC">
        <w:rPr>
          <w:rFonts w:ascii="Tahoma" w:eastAsia="Tahoma" w:hAnsi="Tahoma"/>
          <w:b/>
          <w:color w:val="000000"/>
          <w:sz w:val="19"/>
        </w:rPr>
        <w:t>No sustainable investment objective</w:t>
      </w:r>
    </w:p>
    <w:p w14:paraId="08F6674A" w14:textId="77777777" w:rsidR="003E7D48" w:rsidRDefault="00C51684" w:rsidP="00C41FA6">
      <w:pPr>
        <w:spacing w:before="129" w:line="226" w:lineRule="exact"/>
        <w:ind w:right="-138"/>
        <w:jc w:val="both"/>
        <w:textAlignment w:val="baseline"/>
        <w:rPr>
          <w:rFonts w:ascii="Tahoma" w:eastAsia="Tahoma" w:hAnsi="Tahoma"/>
          <w:color w:val="000000"/>
          <w:sz w:val="16"/>
        </w:rPr>
      </w:pPr>
      <w:r>
        <w:rPr>
          <w:rFonts w:ascii="Tahoma" w:eastAsia="Tahoma" w:hAnsi="Tahoma"/>
          <w:color w:val="000000"/>
          <w:sz w:val="16"/>
        </w:rPr>
        <w:t>This financial product promotes environmental or social characteristics, but does not commit to sustainable investments, including Taxonomy-aligned environmentally sustainable investments.</w:t>
      </w:r>
    </w:p>
    <w:p w14:paraId="6FE53EB9" w14:textId="77777777" w:rsidR="003E7D48" w:rsidRPr="008C1AAC" w:rsidRDefault="00C51684" w:rsidP="00C41FA6">
      <w:pPr>
        <w:numPr>
          <w:ilvl w:val="0"/>
          <w:numId w:val="3"/>
        </w:numPr>
        <w:tabs>
          <w:tab w:val="clear" w:pos="288"/>
          <w:tab w:val="left" w:pos="648"/>
        </w:tabs>
        <w:spacing w:before="244" w:line="212" w:lineRule="exact"/>
        <w:ind w:right="-138"/>
        <w:textAlignment w:val="baseline"/>
        <w:rPr>
          <w:rFonts w:ascii="Tahoma" w:eastAsia="Tahoma" w:hAnsi="Tahoma"/>
          <w:b/>
          <w:color w:val="000000"/>
          <w:spacing w:val="2"/>
          <w:sz w:val="19"/>
        </w:rPr>
      </w:pPr>
      <w:r w:rsidRPr="008C1AAC">
        <w:rPr>
          <w:rFonts w:ascii="Tahoma" w:eastAsia="Tahoma" w:hAnsi="Tahoma"/>
          <w:b/>
          <w:color w:val="000000"/>
          <w:spacing w:val="2"/>
          <w:sz w:val="19"/>
        </w:rPr>
        <w:t>Environmental or social characteristics of the financial product</w:t>
      </w:r>
    </w:p>
    <w:p w14:paraId="48A42BEE" w14:textId="77777777" w:rsidR="003E7D48" w:rsidRDefault="00C51684" w:rsidP="00C41FA6">
      <w:pPr>
        <w:spacing w:line="223" w:lineRule="exact"/>
        <w:ind w:right="-138"/>
        <w:jc w:val="both"/>
        <w:textAlignment w:val="baseline"/>
        <w:rPr>
          <w:rFonts w:ascii="Tahoma" w:eastAsia="Tahoma" w:hAnsi="Tahoma"/>
          <w:color w:val="000000"/>
          <w:spacing w:val="6"/>
          <w:sz w:val="16"/>
        </w:rPr>
      </w:pPr>
      <w:r>
        <w:rPr>
          <w:rFonts w:ascii="Tahoma" w:eastAsia="Tahoma" w:hAnsi="Tahoma"/>
          <w:color w:val="000000"/>
          <w:spacing w:val="6"/>
          <w:sz w:val="16"/>
        </w:rPr>
        <w:t xml:space="preserve">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promotes environmental and social characteristics in accordance with Art.8 SFDR which consist of:</w:t>
      </w:r>
    </w:p>
    <w:p w14:paraId="5D361284" w14:textId="77777777" w:rsidR="003E7D48" w:rsidRDefault="00C51684" w:rsidP="00C41FA6">
      <w:pPr>
        <w:spacing w:line="225" w:lineRule="exact"/>
        <w:ind w:right="-138"/>
        <w:jc w:val="both"/>
        <w:textAlignment w:val="baseline"/>
        <w:rPr>
          <w:rFonts w:ascii="Tahoma" w:eastAsia="Tahoma" w:hAnsi="Tahoma"/>
          <w:color w:val="000000"/>
          <w:spacing w:val="5"/>
          <w:sz w:val="16"/>
        </w:rPr>
      </w:pPr>
      <w:r>
        <w:rPr>
          <w:rFonts w:ascii="Tahoma" w:eastAsia="Tahoma" w:hAnsi="Tahoma"/>
          <w:color w:val="000000"/>
          <w:spacing w:val="5"/>
          <w:sz w:val="16"/>
        </w:rPr>
        <w:t>- Climate (GHG emissions). Portfolio Companies are encouraged to measure and report their GHG emissions in accordance with recognized standards such as set by SBTi (Science Based Target initiative) and TCFD (Task Force on Climate-related Financial Disclosures), set ambitious reduction targets and take appropriate actions to reduce</w:t>
      </w:r>
    </w:p>
    <w:p w14:paraId="7E712F9C" w14:textId="77777777" w:rsidR="003E7D48" w:rsidRDefault="00C51684" w:rsidP="00C41FA6">
      <w:pPr>
        <w:tabs>
          <w:tab w:val="left" w:pos="2304"/>
          <w:tab w:val="right" w:pos="4968"/>
          <w:tab w:val="left" w:pos="6480"/>
          <w:tab w:val="left" w:pos="8352"/>
        </w:tabs>
        <w:spacing w:line="225" w:lineRule="exact"/>
        <w:ind w:right="-138"/>
        <w:jc w:val="both"/>
        <w:textAlignment w:val="baseline"/>
        <w:rPr>
          <w:rFonts w:ascii="Tahoma" w:eastAsia="Tahoma" w:hAnsi="Tahoma"/>
          <w:color w:val="000000"/>
          <w:sz w:val="16"/>
        </w:rPr>
      </w:pPr>
      <w:r>
        <w:rPr>
          <w:rFonts w:ascii="Tahoma" w:eastAsia="Tahoma" w:hAnsi="Tahoma"/>
          <w:color w:val="000000"/>
          <w:sz w:val="16"/>
        </w:rPr>
        <w:t>their</w:t>
      </w:r>
      <w:r>
        <w:rPr>
          <w:rFonts w:ascii="Tahoma" w:eastAsia="Tahoma" w:hAnsi="Tahoma"/>
          <w:color w:val="000000"/>
          <w:sz w:val="16"/>
        </w:rPr>
        <w:tab/>
        <w:t>GHG</w:t>
      </w:r>
      <w:r>
        <w:rPr>
          <w:rFonts w:ascii="Tahoma" w:eastAsia="Tahoma" w:hAnsi="Tahoma"/>
          <w:color w:val="000000"/>
          <w:sz w:val="16"/>
        </w:rPr>
        <w:tab/>
        <w:t>emissions</w:t>
      </w:r>
      <w:r>
        <w:rPr>
          <w:rFonts w:ascii="Tahoma" w:eastAsia="Tahoma" w:hAnsi="Tahoma"/>
          <w:color w:val="000000"/>
          <w:sz w:val="16"/>
        </w:rPr>
        <w:tab/>
        <w:t>where</w:t>
      </w:r>
      <w:r>
        <w:rPr>
          <w:rFonts w:ascii="Tahoma" w:eastAsia="Tahoma" w:hAnsi="Tahoma"/>
          <w:color w:val="000000"/>
          <w:sz w:val="16"/>
        </w:rPr>
        <w:tab/>
        <w:t xml:space="preserve">feasible </w:t>
      </w:r>
      <w:r>
        <w:rPr>
          <w:rFonts w:ascii="Tahoma" w:eastAsia="Tahoma" w:hAnsi="Tahoma"/>
          <w:color w:val="000000"/>
          <w:sz w:val="16"/>
        </w:rPr>
        <w:br/>
        <w:t>- Equality of opportunity, diversity &amp; inclusion. Portfolio Companies are encouraged to implement policies and procedures which reflect their a</w:t>
      </w:r>
      <w:r w:rsidR="008E6744">
        <w:rPr>
          <w:rFonts w:ascii="Tahoma" w:eastAsia="Tahoma" w:hAnsi="Tahoma"/>
          <w:color w:val="000000"/>
          <w:sz w:val="16"/>
        </w:rPr>
        <w:t xml:space="preserve">pproach in this regard. The </w:t>
      </w:r>
      <w:r w:rsidR="008E6744">
        <w:rPr>
          <w:rFonts w:ascii="Tahoma" w:eastAsia="Tahoma" w:hAnsi="Tahoma"/>
          <w:color w:val="000000"/>
          <w:spacing w:val="6"/>
          <w:sz w:val="16"/>
        </w:rPr>
        <w:t>Manager</w:t>
      </w:r>
      <w:r>
        <w:rPr>
          <w:rFonts w:ascii="Tahoma" w:eastAsia="Tahoma" w:hAnsi="Tahoma"/>
          <w:color w:val="000000"/>
          <w:sz w:val="16"/>
        </w:rPr>
        <w:t xml:space="preserve"> will measure the level of diversity and inclusion of Portfolio Companies along certain criteria including, but not limited to gender diversity at board level.</w:t>
      </w:r>
    </w:p>
    <w:p w14:paraId="573C75D2" w14:textId="77777777" w:rsidR="003E7D48" w:rsidRPr="008C1AAC" w:rsidRDefault="00C51684" w:rsidP="00C41FA6">
      <w:pPr>
        <w:numPr>
          <w:ilvl w:val="0"/>
          <w:numId w:val="3"/>
        </w:numPr>
        <w:tabs>
          <w:tab w:val="clear" w:pos="288"/>
          <w:tab w:val="left" w:pos="648"/>
        </w:tabs>
        <w:spacing w:before="243" w:line="213" w:lineRule="exact"/>
        <w:ind w:right="-138"/>
        <w:textAlignment w:val="baseline"/>
        <w:rPr>
          <w:rFonts w:ascii="Tahoma" w:eastAsia="Tahoma" w:hAnsi="Tahoma"/>
          <w:b/>
          <w:color w:val="000000"/>
          <w:sz w:val="19"/>
        </w:rPr>
      </w:pPr>
      <w:r w:rsidRPr="008C1AAC">
        <w:rPr>
          <w:rFonts w:ascii="Tahoma" w:eastAsia="Tahoma" w:hAnsi="Tahoma"/>
          <w:b/>
          <w:color w:val="000000"/>
          <w:sz w:val="19"/>
        </w:rPr>
        <w:t>Investment Strategy</w:t>
      </w:r>
    </w:p>
    <w:p w14:paraId="4580E6C2" w14:textId="77777777" w:rsidR="003E7D48" w:rsidRDefault="00C51684" w:rsidP="00C41FA6">
      <w:pPr>
        <w:spacing w:line="224" w:lineRule="exact"/>
        <w:ind w:right="-138"/>
        <w:jc w:val="both"/>
        <w:textAlignment w:val="baseline"/>
        <w:rPr>
          <w:rFonts w:ascii="Tahoma" w:eastAsia="Tahoma" w:hAnsi="Tahoma"/>
          <w:color w:val="000000"/>
          <w:sz w:val="16"/>
        </w:rPr>
      </w:pPr>
      <w:r>
        <w:rPr>
          <w:rFonts w:ascii="Tahoma" w:eastAsia="Tahoma" w:hAnsi="Tahoma"/>
          <w:color w:val="000000"/>
          <w:sz w:val="16"/>
        </w:rPr>
        <w:t xml:space="preserve">For the </w:t>
      </w:r>
      <w:r w:rsidR="00A2007D">
        <w:rPr>
          <w:rFonts w:ascii="Tahoma" w:eastAsia="Tahoma" w:hAnsi="Tahoma"/>
          <w:color w:val="000000"/>
          <w:sz w:val="16"/>
        </w:rPr>
        <w:t>Master Sub-Fund</w:t>
      </w:r>
      <w:r w:rsidR="008E6744">
        <w:rPr>
          <w:rFonts w:ascii="Tahoma" w:eastAsia="Tahoma" w:hAnsi="Tahoma"/>
          <w:color w:val="000000"/>
          <w:sz w:val="16"/>
        </w:rPr>
        <w:t xml:space="preserve">, the </w:t>
      </w:r>
      <w:r w:rsidR="008E6744">
        <w:rPr>
          <w:rFonts w:ascii="Tahoma" w:eastAsia="Tahoma" w:hAnsi="Tahoma"/>
          <w:color w:val="000000"/>
          <w:spacing w:val="6"/>
          <w:sz w:val="16"/>
        </w:rPr>
        <w:t>Manager</w:t>
      </w:r>
      <w:r>
        <w:rPr>
          <w:rFonts w:ascii="Tahoma" w:eastAsia="Tahoma" w:hAnsi="Tahoma"/>
          <w:color w:val="000000"/>
          <w:sz w:val="16"/>
        </w:rPr>
        <w:t xml:space="preserve"> will adhere to the general investment approach, as further detailed by the PPM by integrating Sustainability Factors in the investment decision making process and by giving proper consideration to the adverse consequences of potential Sustainability Risks on the </w:t>
      </w:r>
      <w:r w:rsidR="00A2007D">
        <w:rPr>
          <w:rFonts w:ascii="Tahoma" w:eastAsia="Tahoma" w:hAnsi="Tahoma"/>
          <w:color w:val="000000"/>
          <w:sz w:val="16"/>
        </w:rPr>
        <w:t>Master Sub-Fund</w:t>
      </w:r>
      <w:r>
        <w:rPr>
          <w:rFonts w:ascii="Tahoma" w:eastAsia="Tahoma" w:hAnsi="Tahoma"/>
          <w:color w:val="000000"/>
          <w:sz w:val="16"/>
        </w:rPr>
        <w:t>'s investments.</w:t>
      </w:r>
    </w:p>
    <w:p w14:paraId="7D2188C6" w14:textId="77777777" w:rsidR="003E7D48" w:rsidRDefault="00C51684" w:rsidP="00C41FA6">
      <w:pPr>
        <w:spacing w:line="225" w:lineRule="exact"/>
        <w:ind w:right="-138"/>
        <w:jc w:val="both"/>
        <w:textAlignment w:val="baseline"/>
        <w:rPr>
          <w:rFonts w:ascii="Tahoma" w:eastAsia="Tahoma" w:hAnsi="Tahoma"/>
          <w:color w:val="000000"/>
          <w:spacing w:val="5"/>
          <w:sz w:val="16"/>
        </w:rPr>
      </w:pPr>
      <w:r>
        <w:rPr>
          <w:rFonts w:ascii="Tahoma" w:eastAsia="Tahoma" w:hAnsi="Tahoma"/>
          <w:color w:val="000000"/>
          <w:spacing w:val="5"/>
          <w:sz w:val="16"/>
        </w:rPr>
        <w:t>To assess the initial performance</w:t>
      </w:r>
      <w:r w:rsidR="008E6744">
        <w:rPr>
          <w:rFonts w:ascii="Tahoma" w:eastAsia="Tahoma" w:hAnsi="Tahoma"/>
          <w:color w:val="000000"/>
          <w:spacing w:val="5"/>
          <w:sz w:val="16"/>
        </w:rPr>
        <w:t xml:space="preserve"> of a Portfolio Company the </w:t>
      </w:r>
      <w:r w:rsidR="008E6744">
        <w:rPr>
          <w:rFonts w:ascii="Tahoma" w:eastAsia="Tahoma" w:hAnsi="Tahoma"/>
          <w:color w:val="000000"/>
          <w:spacing w:val="6"/>
          <w:sz w:val="16"/>
        </w:rPr>
        <w:t>Manager</w:t>
      </w:r>
      <w:r>
        <w:rPr>
          <w:rFonts w:ascii="Tahoma" w:eastAsia="Tahoma" w:hAnsi="Tahoma"/>
          <w:color w:val="000000"/>
          <w:spacing w:val="5"/>
          <w:sz w:val="16"/>
        </w:rPr>
        <w:t xml:space="preserve"> implemented an investment due diligence process which includes the assessment of the promoted environmental and social charact</w:t>
      </w:r>
      <w:r w:rsidR="008E6744">
        <w:rPr>
          <w:rFonts w:ascii="Tahoma" w:eastAsia="Tahoma" w:hAnsi="Tahoma"/>
          <w:color w:val="000000"/>
          <w:spacing w:val="5"/>
          <w:sz w:val="16"/>
        </w:rPr>
        <w:t xml:space="preserve">eristics. Additionally, the </w:t>
      </w:r>
      <w:r w:rsidR="008E6744">
        <w:rPr>
          <w:rFonts w:ascii="Tahoma" w:eastAsia="Tahoma" w:hAnsi="Tahoma"/>
          <w:color w:val="000000"/>
          <w:spacing w:val="6"/>
          <w:sz w:val="16"/>
        </w:rPr>
        <w:t>Manager</w:t>
      </w:r>
      <w:r>
        <w:rPr>
          <w:rFonts w:ascii="Tahoma" w:eastAsia="Tahoma" w:hAnsi="Tahoma"/>
          <w:color w:val="000000"/>
          <w:spacing w:val="5"/>
          <w:sz w:val="16"/>
        </w:rPr>
        <w:t xml:space="preserve"> implemented a comprehensive exclusion li</w:t>
      </w:r>
      <w:r w:rsidR="008E6744">
        <w:rPr>
          <w:rFonts w:ascii="Tahoma" w:eastAsia="Tahoma" w:hAnsi="Tahoma"/>
          <w:color w:val="000000"/>
          <w:spacing w:val="5"/>
          <w:sz w:val="16"/>
        </w:rPr>
        <w:t xml:space="preserve">st of activities, where the </w:t>
      </w:r>
      <w:r w:rsidR="008E6744">
        <w:rPr>
          <w:rFonts w:ascii="Tahoma" w:eastAsia="Tahoma" w:hAnsi="Tahoma"/>
          <w:color w:val="000000"/>
          <w:spacing w:val="6"/>
          <w:sz w:val="16"/>
        </w:rPr>
        <w:t>Manager</w:t>
      </w:r>
      <w:r>
        <w:rPr>
          <w:rFonts w:ascii="Tahoma" w:eastAsia="Tahoma" w:hAnsi="Tahoma"/>
          <w:color w:val="000000"/>
          <w:spacing w:val="5"/>
          <w:sz w:val="16"/>
        </w:rPr>
        <w:t xml:space="preserve"> will refrain from investing in, as listed in section 3.8.3 "Prohibited sectors" of the PPM and in the Confirmation Letter.</w:t>
      </w:r>
    </w:p>
    <w:p w14:paraId="0A890E24" w14:textId="77777777" w:rsidR="003E7D48" w:rsidRDefault="00C51684" w:rsidP="00C41FA6">
      <w:pPr>
        <w:spacing w:before="35" w:line="192" w:lineRule="exact"/>
        <w:ind w:right="-138"/>
        <w:textAlignment w:val="baseline"/>
        <w:rPr>
          <w:rFonts w:ascii="Tahoma" w:eastAsia="Tahoma" w:hAnsi="Tahoma"/>
          <w:color w:val="000000"/>
          <w:spacing w:val="5"/>
          <w:sz w:val="16"/>
        </w:rPr>
      </w:pPr>
      <w:r>
        <w:rPr>
          <w:rFonts w:ascii="Tahoma" w:eastAsia="Tahoma" w:hAnsi="Tahoma"/>
          <w:color w:val="000000"/>
          <w:spacing w:val="5"/>
          <w:sz w:val="16"/>
        </w:rPr>
        <w:t>The investment strategy foresees the following process:</w:t>
      </w:r>
    </w:p>
    <w:p w14:paraId="46F03872" w14:textId="77777777" w:rsidR="003E7D48" w:rsidRDefault="00C51684" w:rsidP="00C41FA6">
      <w:pPr>
        <w:spacing w:line="225" w:lineRule="exact"/>
        <w:ind w:right="-138"/>
        <w:jc w:val="both"/>
        <w:textAlignment w:val="baseline"/>
        <w:rPr>
          <w:rFonts w:ascii="Tahoma" w:eastAsia="Tahoma" w:hAnsi="Tahoma"/>
          <w:color w:val="000000"/>
          <w:sz w:val="16"/>
        </w:rPr>
      </w:pPr>
      <w:r>
        <w:rPr>
          <w:rFonts w:ascii="Tahoma" w:eastAsia="Tahoma" w:hAnsi="Tahoma"/>
          <w:color w:val="000000"/>
          <w:sz w:val="16"/>
        </w:rPr>
        <w:t>- Once acquired, a Portfolio Company is given 12 months to implement and disclose a transition plan which shall enable it to determine a concrete action plan (the "Transition Plan Period")</w:t>
      </w:r>
    </w:p>
    <w:p w14:paraId="08B23E31" w14:textId="77777777" w:rsidR="003E7D48" w:rsidRDefault="00C51684" w:rsidP="00C41FA6">
      <w:pPr>
        <w:spacing w:line="225" w:lineRule="exact"/>
        <w:ind w:right="-138"/>
        <w:jc w:val="both"/>
        <w:textAlignment w:val="baseline"/>
        <w:rPr>
          <w:rFonts w:ascii="Tahoma" w:eastAsia="Tahoma" w:hAnsi="Tahoma"/>
          <w:color w:val="000000"/>
          <w:spacing w:val="6"/>
          <w:sz w:val="16"/>
        </w:rPr>
      </w:pPr>
      <w:r>
        <w:rPr>
          <w:rFonts w:ascii="Tahoma" w:eastAsia="Tahoma" w:hAnsi="Tahoma"/>
          <w:color w:val="000000"/>
          <w:spacing w:val="6"/>
          <w:sz w:val="16"/>
        </w:rPr>
        <w:t>- Once the transition plan is established, the Portfolio Company is given 24 months to reach the sustainability targets and implement the transition plan (the "Implementation Period" and together with the "Transition Plan Period", the "Transition Period").</w:t>
      </w:r>
    </w:p>
    <w:p w14:paraId="390889EF" w14:textId="77777777" w:rsidR="003E7D48" w:rsidRDefault="00C51684" w:rsidP="00C41FA6">
      <w:pPr>
        <w:spacing w:line="225" w:lineRule="exact"/>
        <w:ind w:right="-138"/>
        <w:jc w:val="both"/>
        <w:textAlignment w:val="baseline"/>
        <w:rPr>
          <w:rFonts w:ascii="Tahoma" w:eastAsia="Tahoma" w:hAnsi="Tahoma"/>
          <w:color w:val="000000"/>
          <w:sz w:val="16"/>
        </w:rPr>
      </w:pPr>
      <w:r>
        <w:rPr>
          <w:rFonts w:ascii="Tahoma" w:eastAsia="Tahoma" w:hAnsi="Tahoma"/>
          <w:color w:val="000000"/>
          <w:sz w:val="16"/>
        </w:rPr>
        <w:t>Therefore, in principle the whole Transition Period may not exceed 36 months. It should however be noted that in case of major M&amp;A event, (all or part of) the Transition Period may restart.</w:t>
      </w:r>
    </w:p>
    <w:p w14:paraId="17A06F24" w14:textId="77777777" w:rsidR="003E7D48" w:rsidRDefault="00C51684" w:rsidP="00C41FA6">
      <w:pPr>
        <w:spacing w:line="225" w:lineRule="exact"/>
        <w:ind w:right="-138"/>
        <w:jc w:val="both"/>
        <w:textAlignment w:val="baseline"/>
        <w:rPr>
          <w:rFonts w:ascii="Tahoma" w:eastAsia="Tahoma" w:hAnsi="Tahoma"/>
          <w:color w:val="000000"/>
          <w:spacing w:val="6"/>
          <w:sz w:val="16"/>
        </w:rPr>
      </w:pPr>
      <w:r>
        <w:rPr>
          <w:rFonts w:ascii="Tahoma" w:eastAsia="Tahoma" w:hAnsi="Tahoma"/>
          <w:color w:val="000000"/>
          <w:spacing w:val="6"/>
          <w:sz w:val="16"/>
        </w:rPr>
        <w:t>During the Transition Period, unless if there is a delay in establishing or implementing the transition plan, Portfolio Companies will be deemed actively working on (and thus meeting) the promoted environmental or social characteristics.</w:t>
      </w:r>
    </w:p>
    <w:p w14:paraId="00D47F57" w14:textId="77777777" w:rsidR="003E7D48" w:rsidRDefault="00C51684" w:rsidP="00C41FA6">
      <w:pPr>
        <w:spacing w:before="143" w:line="226" w:lineRule="exact"/>
        <w:ind w:right="-138"/>
        <w:jc w:val="both"/>
        <w:textAlignment w:val="baseline"/>
        <w:rPr>
          <w:rFonts w:ascii="Tahoma" w:eastAsia="Tahoma" w:hAnsi="Tahoma"/>
          <w:color w:val="000000"/>
          <w:spacing w:val="6"/>
          <w:sz w:val="16"/>
        </w:rPr>
      </w:pPr>
      <w:r>
        <w:rPr>
          <w:rFonts w:ascii="Tahoma" w:eastAsia="Tahoma" w:hAnsi="Tahoma"/>
          <w:color w:val="000000"/>
          <w:spacing w:val="6"/>
          <w:sz w:val="16"/>
        </w:rPr>
        <w:t>Given the nature of investment and differences o</w:t>
      </w:r>
      <w:r w:rsidR="00DC0F17">
        <w:rPr>
          <w:rFonts w:ascii="Tahoma" w:eastAsia="Tahoma" w:hAnsi="Tahoma"/>
          <w:color w:val="000000"/>
          <w:spacing w:val="6"/>
          <w:sz w:val="16"/>
        </w:rPr>
        <w:t>f the sustainability status of Portfolio C</w:t>
      </w:r>
      <w:r>
        <w:rPr>
          <w:rFonts w:ascii="Tahoma" w:eastAsia="Tahoma" w:hAnsi="Tahoma"/>
          <w:color w:val="000000"/>
          <w:spacing w:val="6"/>
          <w:sz w:val="16"/>
        </w:rPr>
        <w:t xml:space="preserve">ompanies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may invest in, during the capital deployment phase of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(the "Ramp-up Period"),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is not required to reach the minimum proportion of 50% of investments which can be used to attain the promoted characteristics of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aims at reaching the defined minimum threshold during the financial year following the ramp-up period.</w:t>
      </w:r>
    </w:p>
    <w:p w14:paraId="7325D61D" w14:textId="77777777" w:rsidR="003E7D48" w:rsidRDefault="008E6744" w:rsidP="00C41FA6">
      <w:pPr>
        <w:spacing w:line="230" w:lineRule="exact"/>
        <w:ind w:right="-138"/>
        <w:jc w:val="both"/>
        <w:textAlignment w:val="baseline"/>
        <w:rPr>
          <w:rFonts w:ascii="Tahoma" w:eastAsia="Tahoma" w:hAnsi="Tahoma"/>
          <w:color w:val="000000"/>
          <w:sz w:val="16"/>
        </w:rPr>
      </w:pPr>
      <w:r>
        <w:rPr>
          <w:rFonts w:ascii="Tahoma" w:eastAsia="Tahoma" w:hAnsi="Tahoma"/>
          <w:color w:val="000000"/>
          <w:sz w:val="16"/>
        </w:rPr>
        <w:t>In addition, the</w:t>
      </w:r>
      <w:r w:rsidRPr="008E6744">
        <w:rPr>
          <w:rFonts w:ascii="Tahoma" w:eastAsia="Tahoma" w:hAnsi="Tahoma"/>
          <w:color w:val="000000"/>
          <w:spacing w:val="6"/>
          <w:sz w:val="16"/>
        </w:rPr>
        <w:t xml:space="preserve"> </w:t>
      </w:r>
      <w:r>
        <w:rPr>
          <w:rFonts w:ascii="Tahoma" w:eastAsia="Tahoma" w:hAnsi="Tahoma"/>
          <w:color w:val="000000"/>
          <w:spacing w:val="6"/>
          <w:sz w:val="16"/>
        </w:rPr>
        <w:t>Manager</w:t>
      </w:r>
      <w:r w:rsidR="00C51684">
        <w:rPr>
          <w:rFonts w:ascii="Tahoma" w:eastAsia="Tahoma" w:hAnsi="Tahoma"/>
          <w:color w:val="000000"/>
          <w:sz w:val="16"/>
        </w:rPr>
        <w:t xml:space="preserve"> in its function as Portfolio Manager implemented a scorecard to periodically assess the adherence of good business ethics and governance practices of the Portfolio Companies.</w:t>
      </w:r>
    </w:p>
    <w:p w14:paraId="0D940881" w14:textId="77777777" w:rsidR="003E7D48" w:rsidRPr="008C1AAC" w:rsidRDefault="00C51684" w:rsidP="00C41FA6">
      <w:pPr>
        <w:numPr>
          <w:ilvl w:val="0"/>
          <w:numId w:val="3"/>
        </w:numPr>
        <w:tabs>
          <w:tab w:val="clear" w:pos="288"/>
          <w:tab w:val="left" w:pos="648"/>
        </w:tabs>
        <w:spacing w:before="244" w:line="212" w:lineRule="exact"/>
        <w:ind w:right="-138"/>
        <w:textAlignment w:val="baseline"/>
        <w:rPr>
          <w:rFonts w:ascii="Tahoma" w:eastAsia="Tahoma" w:hAnsi="Tahoma"/>
          <w:b/>
          <w:color w:val="000000"/>
          <w:sz w:val="19"/>
        </w:rPr>
      </w:pPr>
      <w:r w:rsidRPr="008C1AAC">
        <w:rPr>
          <w:rFonts w:ascii="Tahoma" w:eastAsia="Tahoma" w:hAnsi="Tahoma"/>
          <w:b/>
          <w:color w:val="000000"/>
          <w:sz w:val="19"/>
        </w:rPr>
        <w:t>Proportion of investments</w:t>
      </w:r>
    </w:p>
    <w:p w14:paraId="03170686" w14:textId="77777777" w:rsidR="003E7D48" w:rsidRDefault="00C51684" w:rsidP="00C41FA6">
      <w:pPr>
        <w:spacing w:before="138" w:line="226" w:lineRule="exact"/>
        <w:ind w:right="-138"/>
        <w:textAlignment w:val="baseline"/>
        <w:rPr>
          <w:rFonts w:ascii="Tahoma" w:eastAsia="Tahoma" w:hAnsi="Tahoma"/>
          <w:color w:val="000000"/>
          <w:spacing w:val="6"/>
          <w:sz w:val="16"/>
        </w:rPr>
      </w:pPr>
      <w:r>
        <w:rPr>
          <w:rFonts w:ascii="Tahoma" w:eastAsia="Tahoma" w:hAnsi="Tahoma"/>
          <w:color w:val="000000"/>
          <w:spacing w:val="6"/>
          <w:sz w:val="16"/>
        </w:rPr>
        <w:t xml:space="preserve">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aims at investing at least 50% of its capital in Portfolio Companies fulfill</w:t>
      </w:r>
      <w:r w:rsidR="008E6744">
        <w:rPr>
          <w:rFonts w:ascii="Tahoma" w:eastAsia="Tahoma" w:hAnsi="Tahoma"/>
          <w:color w:val="000000"/>
          <w:spacing w:val="6"/>
          <w:sz w:val="16"/>
        </w:rPr>
        <w:t>ing the requirements of the Manager</w:t>
      </w:r>
      <w:r>
        <w:rPr>
          <w:rFonts w:ascii="Tahoma" w:eastAsia="Tahoma" w:hAnsi="Tahoma"/>
          <w:color w:val="000000"/>
          <w:spacing w:val="6"/>
          <w:sz w:val="16"/>
        </w:rPr>
        <w:t xml:space="preserve"> methodology to attain the promoted characteristics.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may thus invest in Portfolio Companies which may not fulfil the promoted characteristics. The </w:t>
      </w:r>
      <w:r w:rsidR="00A2007D">
        <w:rPr>
          <w:rFonts w:ascii="Tahoma" w:eastAsia="Tahoma" w:hAnsi="Tahoma"/>
          <w:color w:val="000000"/>
          <w:spacing w:val="6"/>
          <w:sz w:val="16"/>
        </w:rPr>
        <w:t>Master Sub-Fund</w:t>
      </w:r>
      <w:r>
        <w:rPr>
          <w:rFonts w:ascii="Tahoma" w:eastAsia="Tahoma" w:hAnsi="Tahoma"/>
          <w:color w:val="000000"/>
          <w:spacing w:val="6"/>
          <w:sz w:val="16"/>
        </w:rPr>
        <w:t xml:space="preserve"> will usually invest into the Portfolio Companies via intermediary entities.</w:t>
      </w:r>
    </w:p>
    <w:p w14:paraId="2561E500" w14:textId="77777777" w:rsidR="003E7D48" w:rsidRDefault="00C51684" w:rsidP="00C41FA6">
      <w:pPr>
        <w:tabs>
          <w:tab w:val="right" w:pos="4968"/>
          <w:tab w:val="left" w:pos="6480"/>
        </w:tabs>
        <w:spacing w:before="1049" w:line="204" w:lineRule="exact"/>
        <w:jc w:val="both"/>
        <w:textAlignment w:val="baseline"/>
        <w:rPr>
          <w:rFonts w:ascii="Tahoma" w:eastAsia="Tahoma" w:hAnsi="Tahoma"/>
          <w:b/>
          <w:color w:val="000000"/>
          <w:spacing w:val="4"/>
          <w:sz w:val="16"/>
        </w:rPr>
      </w:pPr>
      <w:r>
        <w:rPr>
          <w:rFonts w:ascii="Tahoma" w:eastAsia="Tahoma" w:hAnsi="Tahoma"/>
          <w:b/>
          <w:color w:val="000000"/>
          <w:spacing w:val="4"/>
          <w:sz w:val="16"/>
        </w:rPr>
        <w:lastRenderedPageBreak/>
        <w:t>6.</w:t>
      </w:r>
      <w:r>
        <w:rPr>
          <w:rFonts w:ascii="Tahoma" w:eastAsia="Tahoma" w:hAnsi="Tahoma"/>
          <w:b/>
          <w:color w:val="000000"/>
          <w:spacing w:val="4"/>
          <w:sz w:val="16"/>
        </w:rPr>
        <w:tab/>
        <w:t>Monitoring of environmental or social characteristics</w:t>
      </w:r>
    </w:p>
    <w:p w14:paraId="379AEBD2" w14:textId="77777777" w:rsidR="003E7D48" w:rsidRDefault="00C51684" w:rsidP="00C41FA6">
      <w:pPr>
        <w:spacing w:before="121" w:line="230" w:lineRule="exact"/>
        <w:jc w:val="both"/>
        <w:textAlignment w:val="baseline"/>
        <w:rPr>
          <w:rFonts w:ascii="Tahoma" w:eastAsia="Tahoma" w:hAnsi="Tahoma"/>
          <w:color w:val="000000"/>
          <w:spacing w:val="6"/>
          <w:sz w:val="16"/>
        </w:rPr>
      </w:pPr>
      <w:r>
        <w:rPr>
          <w:rFonts w:ascii="Tahoma" w:eastAsia="Tahoma" w:hAnsi="Tahoma"/>
          <w:color w:val="000000"/>
          <w:spacing w:val="6"/>
          <w:sz w:val="16"/>
        </w:rPr>
        <w:t>During th</w:t>
      </w:r>
      <w:r w:rsidR="00F756B8">
        <w:rPr>
          <w:rFonts w:ascii="Tahoma" w:eastAsia="Tahoma" w:hAnsi="Tahoma"/>
          <w:color w:val="000000"/>
          <w:spacing w:val="6"/>
          <w:sz w:val="16"/>
        </w:rPr>
        <w:t>e pre-investment phase, the</w:t>
      </w:r>
      <w:r w:rsidR="00F756B8" w:rsidRPr="00F756B8">
        <w:rPr>
          <w:rFonts w:ascii="Tahoma" w:eastAsia="Tahoma" w:hAnsi="Tahoma"/>
          <w:color w:val="000000"/>
          <w:spacing w:val="6"/>
          <w:sz w:val="16"/>
        </w:rPr>
        <w:t xml:space="preserve"> </w:t>
      </w:r>
      <w:r w:rsidR="00F756B8">
        <w:rPr>
          <w:rFonts w:ascii="Tahoma" w:eastAsia="Tahoma" w:hAnsi="Tahoma"/>
          <w:color w:val="000000"/>
          <w:spacing w:val="6"/>
          <w:sz w:val="16"/>
        </w:rPr>
        <w:t xml:space="preserve">Manager </w:t>
      </w:r>
      <w:r>
        <w:rPr>
          <w:rFonts w:ascii="Tahoma" w:eastAsia="Tahoma" w:hAnsi="Tahoma"/>
          <w:color w:val="000000"/>
          <w:spacing w:val="6"/>
          <w:sz w:val="16"/>
        </w:rPr>
        <w:t>will, through a due diligence process, identify amongst others, the initiatives that are required i</w:t>
      </w:r>
      <w:r w:rsidR="00DC0F17">
        <w:rPr>
          <w:rFonts w:ascii="Tahoma" w:eastAsia="Tahoma" w:hAnsi="Tahoma"/>
          <w:color w:val="000000"/>
          <w:spacing w:val="6"/>
          <w:sz w:val="16"/>
        </w:rPr>
        <w:t>n order to align the Portfolio C</w:t>
      </w:r>
      <w:r>
        <w:rPr>
          <w:rFonts w:ascii="Tahoma" w:eastAsia="Tahoma" w:hAnsi="Tahoma"/>
          <w:color w:val="000000"/>
          <w:spacing w:val="6"/>
          <w:sz w:val="16"/>
        </w:rPr>
        <w:t>ompanies with the promoted environment and social characteristics and the related pre-defined KPIs (the “sustainability indicators”).</w:t>
      </w:r>
    </w:p>
    <w:p w14:paraId="4D55B852" w14:textId="77777777" w:rsidR="003E7D48" w:rsidRDefault="00C51684" w:rsidP="00C41FA6">
      <w:pPr>
        <w:spacing w:line="229" w:lineRule="exact"/>
        <w:jc w:val="both"/>
        <w:textAlignment w:val="baseline"/>
        <w:rPr>
          <w:rFonts w:ascii="Tahoma" w:eastAsia="Tahoma" w:hAnsi="Tahoma"/>
          <w:color w:val="000000"/>
          <w:spacing w:val="6"/>
          <w:sz w:val="16"/>
        </w:rPr>
      </w:pPr>
      <w:r>
        <w:rPr>
          <w:rFonts w:ascii="Tahoma" w:eastAsia="Tahoma" w:hAnsi="Tahoma"/>
          <w:color w:val="000000"/>
          <w:spacing w:val="6"/>
          <w:sz w:val="16"/>
        </w:rPr>
        <w:t>During</w:t>
      </w:r>
      <w:r w:rsidR="00F756B8">
        <w:rPr>
          <w:rFonts w:ascii="Tahoma" w:eastAsia="Tahoma" w:hAnsi="Tahoma"/>
          <w:color w:val="000000"/>
          <w:spacing w:val="6"/>
          <w:sz w:val="16"/>
        </w:rPr>
        <w:t xml:space="preserve"> the Transition Period, the Manager</w:t>
      </w:r>
      <w:r>
        <w:rPr>
          <w:rFonts w:ascii="Tahoma" w:eastAsia="Tahoma" w:hAnsi="Tahoma"/>
          <w:color w:val="000000"/>
          <w:spacing w:val="6"/>
          <w:sz w:val="16"/>
        </w:rPr>
        <w:t xml:space="preserve"> </w:t>
      </w:r>
      <w:r w:rsidR="00DC0F17">
        <w:rPr>
          <w:rFonts w:ascii="Tahoma" w:eastAsia="Tahoma" w:hAnsi="Tahoma"/>
          <w:color w:val="000000"/>
          <w:spacing w:val="6"/>
          <w:sz w:val="16"/>
        </w:rPr>
        <w:t>will require from the relevant Portfolio C</w:t>
      </w:r>
      <w:r>
        <w:rPr>
          <w:rFonts w:ascii="Tahoma" w:eastAsia="Tahoma" w:hAnsi="Tahoma"/>
          <w:color w:val="000000"/>
          <w:spacing w:val="6"/>
          <w:sz w:val="16"/>
        </w:rPr>
        <w:t>ompanies to report on a semi</w:t>
      </w:r>
      <w:r>
        <w:rPr>
          <w:rFonts w:ascii="Tahoma" w:eastAsia="Tahoma" w:hAnsi="Tahoma"/>
          <w:color w:val="000000"/>
          <w:spacing w:val="6"/>
          <w:sz w:val="16"/>
        </w:rPr>
        <w:softHyphen/>
        <w:t>annual basis their advancement towards their path to reach the sustainability indicators. Advancement is measured through the following milestones: adoption of a transition plan, progress made versus the t</w:t>
      </w:r>
      <w:r w:rsidR="00DC0F17">
        <w:rPr>
          <w:rFonts w:ascii="Tahoma" w:eastAsia="Tahoma" w:hAnsi="Tahoma"/>
          <w:color w:val="000000"/>
          <w:spacing w:val="6"/>
          <w:sz w:val="16"/>
        </w:rPr>
        <w:t>ransition plan approved by the Portfolio C</w:t>
      </w:r>
      <w:r>
        <w:rPr>
          <w:rFonts w:ascii="Tahoma" w:eastAsia="Tahoma" w:hAnsi="Tahoma"/>
          <w:color w:val="000000"/>
          <w:spacing w:val="6"/>
          <w:sz w:val="16"/>
        </w:rPr>
        <w:t>ompany.</w:t>
      </w:r>
    </w:p>
    <w:p w14:paraId="6C8D043E" w14:textId="77777777" w:rsidR="003E7D48" w:rsidRDefault="00C51684" w:rsidP="00C41FA6">
      <w:pPr>
        <w:spacing w:before="226" w:line="230" w:lineRule="exact"/>
        <w:jc w:val="both"/>
        <w:textAlignment w:val="baseline"/>
        <w:rPr>
          <w:rFonts w:ascii="Tahoma" w:eastAsia="Tahoma" w:hAnsi="Tahoma"/>
          <w:color w:val="000000"/>
          <w:sz w:val="16"/>
        </w:rPr>
      </w:pPr>
      <w:r>
        <w:rPr>
          <w:rFonts w:ascii="Tahoma" w:eastAsia="Tahoma" w:hAnsi="Tahoma"/>
          <w:color w:val="000000"/>
          <w:sz w:val="16"/>
        </w:rPr>
        <w:t>Following</w:t>
      </w:r>
      <w:r w:rsidR="00F756B8">
        <w:rPr>
          <w:rFonts w:ascii="Tahoma" w:eastAsia="Tahoma" w:hAnsi="Tahoma"/>
          <w:color w:val="000000"/>
          <w:sz w:val="16"/>
        </w:rPr>
        <w:t xml:space="preserve"> the Transition period, the</w:t>
      </w:r>
      <w:r w:rsidR="00F756B8" w:rsidRPr="00F756B8">
        <w:rPr>
          <w:rFonts w:ascii="Tahoma" w:eastAsia="Tahoma" w:hAnsi="Tahoma"/>
          <w:color w:val="000000"/>
          <w:spacing w:val="6"/>
          <w:sz w:val="16"/>
        </w:rPr>
        <w:t xml:space="preserve"> </w:t>
      </w:r>
      <w:r w:rsidR="00F756B8">
        <w:rPr>
          <w:rFonts w:ascii="Tahoma" w:eastAsia="Tahoma" w:hAnsi="Tahoma"/>
          <w:color w:val="000000"/>
          <w:spacing w:val="6"/>
          <w:sz w:val="16"/>
        </w:rPr>
        <w:t>Manager</w:t>
      </w:r>
      <w:r w:rsidR="00DC0F17">
        <w:rPr>
          <w:rFonts w:ascii="Tahoma" w:eastAsia="Tahoma" w:hAnsi="Tahoma"/>
          <w:color w:val="000000"/>
          <w:sz w:val="16"/>
        </w:rPr>
        <w:t xml:space="preserve"> assesses and monitors the Portfolio C</w:t>
      </w:r>
      <w:r>
        <w:rPr>
          <w:rFonts w:ascii="Tahoma" w:eastAsia="Tahoma" w:hAnsi="Tahoma"/>
          <w:color w:val="000000"/>
          <w:sz w:val="16"/>
        </w:rPr>
        <w:t>ompanies’ development with regard to the promoted environmental and social characteristics with the pre-defined KPIs (see below).</w:t>
      </w:r>
    </w:p>
    <w:p w14:paraId="78E8B249" w14:textId="77777777" w:rsidR="003E7D48" w:rsidRDefault="00F756B8" w:rsidP="00C41FA6">
      <w:pPr>
        <w:spacing w:before="232" w:line="230" w:lineRule="exact"/>
        <w:jc w:val="both"/>
        <w:textAlignment w:val="baseline"/>
        <w:rPr>
          <w:rFonts w:ascii="Tahoma" w:eastAsia="Tahoma" w:hAnsi="Tahoma"/>
          <w:color w:val="000000"/>
          <w:sz w:val="16"/>
        </w:rPr>
      </w:pPr>
      <w:r>
        <w:rPr>
          <w:rFonts w:ascii="Tahoma" w:eastAsia="Tahoma" w:hAnsi="Tahoma"/>
          <w:color w:val="000000"/>
          <w:sz w:val="16"/>
        </w:rPr>
        <w:t>In addition, the</w:t>
      </w:r>
      <w:r w:rsidRPr="00F756B8">
        <w:rPr>
          <w:rFonts w:ascii="Tahoma" w:eastAsia="Tahoma" w:hAnsi="Tahoma"/>
          <w:color w:val="000000"/>
          <w:spacing w:val="6"/>
          <w:sz w:val="16"/>
        </w:rPr>
        <w:t xml:space="preserve"> </w:t>
      </w:r>
      <w:r>
        <w:rPr>
          <w:rFonts w:ascii="Tahoma" w:eastAsia="Tahoma" w:hAnsi="Tahoma"/>
          <w:color w:val="000000"/>
          <w:spacing w:val="6"/>
          <w:sz w:val="16"/>
        </w:rPr>
        <w:t>Manager</w:t>
      </w:r>
      <w:r>
        <w:rPr>
          <w:rFonts w:ascii="Tahoma" w:eastAsia="Tahoma" w:hAnsi="Tahoma"/>
          <w:color w:val="000000"/>
          <w:sz w:val="16"/>
        </w:rPr>
        <w:t xml:space="preserve"> w</w:t>
      </w:r>
      <w:r w:rsidR="00C51684">
        <w:rPr>
          <w:rFonts w:ascii="Tahoma" w:eastAsia="Tahoma" w:hAnsi="Tahoma"/>
          <w:color w:val="000000"/>
          <w:sz w:val="16"/>
        </w:rPr>
        <w:t>ill re</w:t>
      </w:r>
      <w:r w:rsidR="00DC0F17">
        <w:rPr>
          <w:rFonts w:ascii="Tahoma" w:eastAsia="Tahoma" w:hAnsi="Tahoma"/>
          <w:color w:val="000000"/>
          <w:sz w:val="16"/>
        </w:rPr>
        <w:t>quire majority owned Portfolio C</w:t>
      </w:r>
      <w:r w:rsidR="00C51684">
        <w:rPr>
          <w:rFonts w:ascii="Tahoma" w:eastAsia="Tahoma" w:hAnsi="Tahoma"/>
          <w:color w:val="000000"/>
          <w:sz w:val="16"/>
        </w:rPr>
        <w:t>ompanies to have material Sustainability Factors on the board agenda at least once a year.</w:t>
      </w:r>
    </w:p>
    <w:p w14:paraId="120C8CCA" w14:textId="77777777" w:rsidR="003E7D48" w:rsidRDefault="00C51684" w:rsidP="00C41FA6">
      <w:pPr>
        <w:spacing w:before="255" w:line="205" w:lineRule="exact"/>
        <w:jc w:val="both"/>
        <w:textAlignment w:val="baseline"/>
        <w:rPr>
          <w:rFonts w:ascii="Tahoma" w:eastAsia="Tahoma" w:hAnsi="Tahoma"/>
          <w:b/>
          <w:color w:val="000000"/>
          <w:spacing w:val="14"/>
          <w:sz w:val="16"/>
        </w:rPr>
      </w:pPr>
      <w:r>
        <w:rPr>
          <w:rFonts w:ascii="Tahoma" w:eastAsia="Tahoma" w:hAnsi="Tahoma"/>
          <w:b/>
          <w:color w:val="000000"/>
          <w:spacing w:val="14"/>
          <w:sz w:val="16"/>
        </w:rPr>
        <w:t>7. Methodologies</w:t>
      </w:r>
    </w:p>
    <w:p w14:paraId="0681D503" w14:textId="77777777" w:rsidR="003E7D48" w:rsidRDefault="00C51684" w:rsidP="00C41FA6">
      <w:pPr>
        <w:spacing w:before="121" w:line="230" w:lineRule="exact"/>
        <w:jc w:val="both"/>
        <w:textAlignment w:val="baseline"/>
        <w:rPr>
          <w:rFonts w:ascii="Tahoma" w:eastAsia="Tahoma" w:hAnsi="Tahoma"/>
          <w:color w:val="000000"/>
          <w:sz w:val="16"/>
        </w:rPr>
      </w:pPr>
      <w:r>
        <w:rPr>
          <w:rFonts w:ascii="Tahoma" w:eastAsia="Tahoma" w:hAnsi="Tahoma"/>
          <w:color w:val="000000"/>
          <w:sz w:val="16"/>
        </w:rPr>
        <w:t>The Portfolio Man</w:t>
      </w:r>
      <w:r w:rsidR="00DC0F17">
        <w:rPr>
          <w:rFonts w:ascii="Tahoma" w:eastAsia="Tahoma" w:hAnsi="Tahoma"/>
          <w:color w:val="000000"/>
          <w:sz w:val="16"/>
        </w:rPr>
        <w:t>ager assesses and monitors the Portfolio C</w:t>
      </w:r>
      <w:r>
        <w:rPr>
          <w:rFonts w:ascii="Tahoma" w:eastAsia="Tahoma" w:hAnsi="Tahoma"/>
          <w:color w:val="000000"/>
          <w:sz w:val="16"/>
        </w:rPr>
        <w:t>ompanies’ development with regard to the promoted environmental and social characteristics, following the Transition Period, along the below pre-defined KPIs:</w:t>
      </w:r>
    </w:p>
    <w:p w14:paraId="3DD58D56" w14:textId="77777777" w:rsidR="003E7D48" w:rsidRDefault="00C51684" w:rsidP="00C41FA6">
      <w:pPr>
        <w:numPr>
          <w:ilvl w:val="0"/>
          <w:numId w:val="4"/>
        </w:numPr>
        <w:tabs>
          <w:tab w:val="clear" w:pos="216"/>
          <w:tab w:val="left" w:pos="648"/>
        </w:tabs>
        <w:spacing w:line="229" w:lineRule="exact"/>
        <w:jc w:val="both"/>
        <w:textAlignment w:val="baseline"/>
        <w:rPr>
          <w:rFonts w:ascii="Tahoma" w:eastAsia="Tahoma" w:hAnsi="Tahoma"/>
          <w:b/>
          <w:color w:val="000000"/>
          <w:sz w:val="16"/>
        </w:rPr>
      </w:pPr>
      <w:r>
        <w:rPr>
          <w:rFonts w:ascii="Tahoma" w:eastAsia="Tahoma" w:hAnsi="Tahoma"/>
          <w:b/>
          <w:color w:val="000000"/>
          <w:sz w:val="16"/>
        </w:rPr>
        <w:t xml:space="preserve">Climate (GHG emissions) </w:t>
      </w:r>
      <w:r>
        <w:rPr>
          <w:rFonts w:ascii="Tahoma" w:eastAsia="Tahoma" w:hAnsi="Tahoma"/>
          <w:color w:val="000000"/>
          <w:sz w:val="16"/>
        </w:rPr>
        <w:t xml:space="preserve">- The Portfolio Manager measures this environmental characteristic by monitoring the implementation and subsequent adherence to the </w:t>
      </w:r>
      <w:r w:rsidR="00DC0F17">
        <w:rPr>
          <w:rFonts w:ascii="Tahoma" w:eastAsia="Tahoma" w:hAnsi="Tahoma"/>
          <w:color w:val="000000"/>
          <w:sz w:val="16"/>
        </w:rPr>
        <w:t>following indicator: Portfolio C</w:t>
      </w:r>
      <w:r>
        <w:rPr>
          <w:rFonts w:ascii="Tahoma" w:eastAsia="Tahoma" w:hAnsi="Tahoma"/>
          <w:color w:val="000000"/>
          <w:sz w:val="16"/>
        </w:rPr>
        <w:t>ompany has approved Science Based Targets for decarbonization and/or conducts annual TCFD reporting.</w:t>
      </w:r>
    </w:p>
    <w:p w14:paraId="449BED64" w14:textId="77777777" w:rsidR="003E7D48" w:rsidRDefault="00DC0F17" w:rsidP="00C41FA6">
      <w:pPr>
        <w:spacing w:line="230" w:lineRule="exact"/>
        <w:jc w:val="both"/>
        <w:textAlignment w:val="baseline"/>
        <w:rPr>
          <w:rFonts w:ascii="Tahoma" w:eastAsia="Tahoma" w:hAnsi="Tahoma"/>
          <w:color w:val="000000"/>
          <w:sz w:val="16"/>
        </w:rPr>
      </w:pPr>
      <w:r>
        <w:rPr>
          <w:rFonts w:ascii="Tahoma" w:eastAsia="Tahoma" w:hAnsi="Tahoma"/>
          <w:color w:val="000000"/>
          <w:sz w:val="16"/>
        </w:rPr>
        <w:t>Whenever a Portfolio C</w:t>
      </w:r>
      <w:r w:rsidR="00C51684">
        <w:rPr>
          <w:rFonts w:ascii="Tahoma" w:eastAsia="Tahoma" w:hAnsi="Tahoma"/>
          <w:color w:val="000000"/>
          <w:sz w:val="16"/>
        </w:rPr>
        <w:t>ompany does not provide sufficient data, the Portfolio Manager works closely with the company to provide the necessary support.</w:t>
      </w:r>
    </w:p>
    <w:p w14:paraId="2CEEE44E" w14:textId="77777777" w:rsidR="003E7D48" w:rsidRDefault="00C51684" w:rsidP="00C41FA6">
      <w:pPr>
        <w:numPr>
          <w:ilvl w:val="0"/>
          <w:numId w:val="4"/>
        </w:numPr>
        <w:tabs>
          <w:tab w:val="clear" w:pos="216"/>
          <w:tab w:val="left" w:pos="648"/>
        </w:tabs>
        <w:spacing w:line="229" w:lineRule="exact"/>
        <w:jc w:val="both"/>
        <w:textAlignment w:val="baseline"/>
        <w:rPr>
          <w:rFonts w:ascii="Tahoma" w:eastAsia="Tahoma" w:hAnsi="Tahoma"/>
          <w:b/>
          <w:color w:val="000000"/>
          <w:sz w:val="16"/>
        </w:rPr>
      </w:pPr>
      <w:r>
        <w:rPr>
          <w:rFonts w:ascii="Tahoma" w:eastAsia="Tahoma" w:hAnsi="Tahoma"/>
          <w:b/>
          <w:color w:val="000000"/>
          <w:sz w:val="16"/>
        </w:rPr>
        <w:t xml:space="preserve">Equality of opportunity, diversity &amp; inclusion </w:t>
      </w:r>
      <w:r>
        <w:rPr>
          <w:rFonts w:ascii="Tahoma" w:eastAsia="Tahoma" w:hAnsi="Tahoma"/>
          <w:color w:val="000000"/>
          <w:sz w:val="16"/>
        </w:rPr>
        <w:t xml:space="preserve">- The Portfolio Manager measures this social characteristic by monitoring the implementation and subsequent adherence to the </w:t>
      </w:r>
      <w:r w:rsidR="00DC0F17">
        <w:rPr>
          <w:rFonts w:ascii="Tahoma" w:eastAsia="Tahoma" w:hAnsi="Tahoma"/>
          <w:color w:val="000000"/>
          <w:sz w:val="16"/>
        </w:rPr>
        <w:t>following indicator: Portfolio C</w:t>
      </w:r>
      <w:r>
        <w:rPr>
          <w:rFonts w:ascii="Tahoma" w:eastAsia="Tahoma" w:hAnsi="Tahoma"/>
          <w:color w:val="000000"/>
          <w:sz w:val="16"/>
        </w:rPr>
        <w:t>ompany has at least 30% female representation at board level.</w:t>
      </w:r>
    </w:p>
    <w:p w14:paraId="63B9490B" w14:textId="77777777" w:rsidR="003E7D48" w:rsidRDefault="00C51684" w:rsidP="00C41FA6">
      <w:pPr>
        <w:spacing w:before="1" w:line="230" w:lineRule="exact"/>
        <w:jc w:val="both"/>
        <w:textAlignment w:val="baseline"/>
        <w:rPr>
          <w:rFonts w:ascii="Tahoma" w:eastAsia="Tahoma" w:hAnsi="Tahoma"/>
          <w:color w:val="000000"/>
          <w:sz w:val="16"/>
        </w:rPr>
      </w:pPr>
      <w:r>
        <w:rPr>
          <w:rFonts w:ascii="Tahoma" w:eastAsia="Tahoma" w:hAnsi="Tahoma"/>
          <w:color w:val="000000"/>
          <w:sz w:val="16"/>
        </w:rPr>
        <w:t>Wh</w:t>
      </w:r>
      <w:r w:rsidR="00DC0F17">
        <w:rPr>
          <w:rFonts w:ascii="Tahoma" w:eastAsia="Tahoma" w:hAnsi="Tahoma"/>
          <w:color w:val="000000"/>
          <w:sz w:val="16"/>
        </w:rPr>
        <w:t>enever a Portfolio C</w:t>
      </w:r>
      <w:r>
        <w:rPr>
          <w:rFonts w:ascii="Tahoma" w:eastAsia="Tahoma" w:hAnsi="Tahoma"/>
          <w:color w:val="000000"/>
          <w:sz w:val="16"/>
        </w:rPr>
        <w:t>ompany does not provide sufficient data, the Portfolio Manager works closely with the company to provide the necessary support.</w:t>
      </w:r>
    </w:p>
    <w:p w14:paraId="56341A7D" w14:textId="77777777" w:rsidR="003E7D48" w:rsidRDefault="00C51684" w:rsidP="00C41FA6">
      <w:pPr>
        <w:spacing w:before="255" w:line="205" w:lineRule="exact"/>
        <w:jc w:val="both"/>
        <w:textAlignment w:val="baseline"/>
        <w:rPr>
          <w:rFonts w:ascii="Tahoma" w:eastAsia="Tahoma" w:hAnsi="Tahoma"/>
          <w:b/>
          <w:color w:val="000000"/>
          <w:spacing w:val="8"/>
          <w:sz w:val="16"/>
        </w:rPr>
      </w:pPr>
      <w:r>
        <w:rPr>
          <w:rFonts w:ascii="Tahoma" w:eastAsia="Tahoma" w:hAnsi="Tahoma"/>
          <w:b/>
          <w:color w:val="000000"/>
          <w:spacing w:val="8"/>
          <w:sz w:val="16"/>
        </w:rPr>
        <w:t>8. Data sources and processing</w:t>
      </w:r>
    </w:p>
    <w:p w14:paraId="27E9120A" w14:textId="77777777" w:rsidR="003E7D48" w:rsidRDefault="00C51684" w:rsidP="00C41FA6">
      <w:pPr>
        <w:spacing w:before="122" w:line="230" w:lineRule="exact"/>
        <w:jc w:val="both"/>
        <w:textAlignment w:val="baseline"/>
        <w:rPr>
          <w:rFonts w:ascii="Tahoma" w:eastAsia="Tahoma" w:hAnsi="Tahoma"/>
          <w:color w:val="000000"/>
          <w:sz w:val="16"/>
        </w:rPr>
      </w:pPr>
      <w:r>
        <w:rPr>
          <w:rFonts w:ascii="Tahoma" w:eastAsia="Tahoma" w:hAnsi="Tahoma"/>
          <w:color w:val="000000"/>
          <w:sz w:val="16"/>
        </w:rPr>
        <w:t>After the Transition Period, the Portfolio Manager, through its co-investor JAB ("JAB"), performs a data collection process at least annually where a question</w:t>
      </w:r>
      <w:r w:rsidR="00DC0F17">
        <w:rPr>
          <w:rFonts w:ascii="Tahoma" w:eastAsia="Tahoma" w:hAnsi="Tahoma"/>
          <w:color w:val="000000"/>
          <w:sz w:val="16"/>
        </w:rPr>
        <w:t>naire is being sent out to the Portfolio C</w:t>
      </w:r>
      <w:r>
        <w:rPr>
          <w:rFonts w:ascii="Tahoma" w:eastAsia="Tahoma" w:hAnsi="Tahoma"/>
          <w:color w:val="000000"/>
          <w:sz w:val="16"/>
        </w:rPr>
        <w:t>ompanies to fill out the relevant ESG related data requested.</w:t>
      </w:r>
    </w:p>
    <w:p w14:paraId="3365E14D" w14:textId="77777777" w:rsidR="003E7D48" w:rsidRDefault="00C51684" w:rsidP="00C41FA6">
      <w:pPr>
        <w:spacing w:line="228" w:lineRule="exact"/>
        <w:jc w:val="both"/>
        <w:textAlignment w:val="baseline"/>
        <w:rPr>
          <w:rFonts w:ascii="Tahoma" w:eastAsia="Tahoma" w:hAnsi="Tahoma"/>
          <w:color w:val="000000"/>
          <w:sz w:val="16"/>
        </w:rPr>
      </w:pPr>
      <w:r>
        <w:rPr>
          <w:rFonts w:ascii="Tahoma" w:eastAsia="Tahoma" w:hAnsi="Tahoma"/>
          <w:color w:val="000000"/>
          <w:sz w:val="16"/>
        </w:rPr>
        <w:t>Following the provision of ESG-related information received by the res</w:t>
      </w:r>
      <w:r w:rsidR="00DC0F17">
        <w:rPr>
          <w:rFonts w:ascii="Tahoma" w:eastAsia="Tahoma" w:hAnsi="Tahoma"/>
          <w:color w:val="000000"/>
          <w:sz w:val="16"/>
        </w:rPr>
        <w:t>pective Portfolio C</w:t>
      </w:r>
      <w:r>
        <w:rPr>
          <w:rFonts w:ascii="Tahoma" w:eastAsia="Tahoma" w:hAnsi="Tahoma"/>
          <w:color w:val="000000"/>
          <w:sz w:val="16"/>
        </w:rPr>
        <w:t>ompanies via the questionnaire an assessment of the information is performed.</w:t>
      </w:r>
    </w:p>
    <w:p w14:paraId="66810E61" w14:textId="77777777" w:rsidR="003E7D48" w:rsidRDefault="00C51684" w:rsidP="00C41FA6">
      <w:pPr>
        <w:spacing w:line="230" w:lineRule="exact"/>
        <w:jc w:val="both"/>
        <w:textAlignment w:val="baseline"/>
        <w:rPr>
          <w:rFonts w:ascii="Tahoma" w:eastAsia="Tahoma" w:hAnsi="Tahoma"/>
          <w:color w:val="000000"/>
          <w:sz w:val="16"/>
        </w:rPr>
      </w:pPr>
      <w:r>
        <w:rPr>
          <w:rFonts w:ascii="Tahoma" w:eastAsia="Tahoma" w:hAnsi="Tahoma"/>
          <w:color w:val="000000"/>
          <w:sz w:val="16"/>
        </w:rPr>
        <w:t>The information provided is checked internally for potential issues (e.g. errors, inconsistencies) and on occurrence of any issues, these are discussed with th</w:t>
      </w:r>
      <w:r w:rsidR="00DC0F17">
        <w:rPr>
          <w:rFonts w:ascii="Tahoma" w:eastAsia="Tahoma" w:hAnsi="Tahoma"/>
          <w:color w:val="000000"/>
          <w:sz w:val="16"/>
        </w:rPr>
        <w:t>e Portfolio C</w:t>
      </w:r>
      <w:r>
        <w:rPr>
          <w:rFonts w:ascii="Tahoma" w:eastAsia="Tahoma" w:hAnsi="Tahoma"/>
          <w:color w:val="000000"/>
          <w:sz w:val="16"/>
        </w:rPr>
        <w:t>ompany.</w:t>
      </w:r>
    </w:p>
    <w:p w14:paraId="00117D0D" w14:textId="77777777" w:rsidR="003E7D48" w:rsidRDefault="00C51684" w:rsidP="00C41FA6">
      <w:pPr>
        <w:spacing w:before="39" w:line="192" w:lineRule="exact"/>
        <w:jc w:val="both"/>
        <w:textAlignment w:val="baseline"/>
        <w:rPr>
          <w:rFonts w:ascii="Tahoma" w:eastAsia="Tahoma" w:hAnsi="Tahoma"/>
          <w:color w:val="000000"/>
          <w:spacing w:val="4"/>
          <w:sz w:val="16"/>
        </w:rPr>
      </w:pPr>
      <w:r>
        <w:rPr>
          <w:rFonts w:ascii="Tahoma" w:eastAsia="Tahoma" w:hAnsi="Tahoma"/>
          <w:color w:val="000000"/>
          <w:spacing w:val="4"/>
          <w:sz w:val="16"/>
        </w:rPr>
        <w:t>Consistency checks are done where possible (e.g. checking SBTi website for submissions).</w:t>
      </w:r>
    </w:p>
    <w:p w14:paraId="39F71F15" w14:textId="77777777" w:rsidR="003E7D48" w:rsidRDefault="00C51684" w:rsidP="00C41FA6">
      <w:pPr>
        <w:spacing w:before="5" w:line="240" w:lineRule="exact"/>
        <w:jc w:val="both"/>
        <w:textAlignment w:val="baseline"/>
        <w:rPr>
          <w:rFonts w:ascii="Tahoma" w:eastAsia="Tahoma" w:hAnsi="Tahoma"/>
          <w:color w:val="000000"/>
          <w:sz w:val="16"/>
        </w:rPr>
      </w:pPr>
      <w:r>
        <w:rPr>
          <w:rFonts w:ascii="Tahoma" w:eastAsia="Tahoma" w:hAnsi="Tahoma"/>
          <w:color w:val="000000"/>
          <w:sz w:val="16"/>
        </w:rPr>
        <w:t>The information provided is processed and assessed within a defined process using dedicat</w:t>
      </w:r>
      <w:r w:rsidR="00F756B8">
        <w:rPr>
          <w:rFonts w:ascii="Tahoma" w:eastAsia="Tahoma" w:hAnsi="Tahoma"/>
          <w:color w:val="000000"/>
          <w:sz w:val="16"/>
        </w:rPr>
        <w:t>ed tools and expertise. The Manager</w:t>
      </w:r>
      <w:r>
        <w:rPr>
          <w:rFonts w:ascii="Tahoma" w:eastAsia="Tahoma" w:hAnsi="Tahoma"/>
          <w:color w:val="000000"/>
          <w:sz w:val="16"/>
        </w:rPr>
        <w:t xml:space="preserve"> does not use any estimated data for the time being and does not plan to.</w:t>
      </w:r>
    </w:p>
    <w:p w14:paraId="58704DC8" w14:textId="77777777" w:rsidR="003E7D48" w:rsidRDefault="00C51684" w:rsidP="00C41FA6">
      <w:pPr>
        <w:spacing w:before="255" w:line="205" w:lineRule="exact"/>
        <w:jc w:val="both"/>
        <w:textAlignment w:val="baseline"/>
        <w:rPr>
          <w:rFonts w:ascii="Tahoma" w:eastAsia="Tahoma" w:hAnsi="Tahoma"/>
          <w:b/>
          <w:color w:val="000000"/>
          <w:spacing w:val="8"/>
          <w:sz w:val="16"/>
        </w:rPr>
      </w:pPr>
      <w:r>
        <w:rPr>
          <w:rFonts w:ascii="Tahoma" w:eastAsia="Tahoma" w:hAnsi="Tahoma"/>
          <w:b/>
          <w:color w:val="000000"/>
          <w:spacing w:val="8"/>
          <w:sz w:val="16"/>
        </w:rPr>
        <w:t>9. Limitations to methodologies and data</w:t>
      </w:r>
    </w:p>
    <w:p w14:paraId="6764E15F" w14:textId="77777777" w:rsidR="003E7D48" w:rsidRDefault="00C51684" w:rsidP="00C41FA6">
      <w:pPr>
        <w:spacing w:before="117" w:line="230" w:lineRule="exact"/>
        <w:jc w:val="both"/>
        <w:textAlignment w:val="baseline"/>
        <w:rPr>
          <w:rFonts w:ascii="Tahoma" w:eastAsia="Tahoma" w:hAnsi="Tahoma"/>
          <w:color w:val="000000"/>
          <w:spacing w:val="5"/>
          <w:sz w:val="16"/>
        </w:rPr>
      </w:pPr>
      <w:r>
        <w:rPr>
          <w:rFonts w:ascii="Tahoma" w:eastAsia="Tahoma" w:hAnsi="Tahoma"/>
          <w:color w:val="000000"/>
          <w:spacing w:val="5"/>
          <w:sz w:val="16"/>
        </w:rPr>
        <w:t xml:space="preserve">In some cases, the relevant ESG related information might not </w:t>
      </w:r>
      <w:r w:rsidR="00DC0F17">
        <w:rPr>
          <w:rFonts w:ascii="Tahoma" w:eastAsia="Tahoma" w:hAnsi="Tahoma"/>
          <w:color w:val="000000"/>
          <w:spacing w:val="5"/>
          <w:sz w:val="16"/>
        </w:rPr>
        <w:t>be available / reported by the Portfolio C</w:t>
      </w:r>
      <w:r>
        <w:rPr>
          <w:rFonts w:ascii="Tahoma" w:eastAsia="Tahoma" w:hAnsi="Tahoma"/>
          <w:color w:val="000000"/>
          <w:spacing w:val="5"/>
          <w:sz w:val="16"/>
        </w:rPr>
        <w:t xml:space="preserve">ompany. Given the nature of the </w:t>
      </w:r>
      <w:r w:rsidR="00A2007D">
        <w:rPr>
          <w:rFonts w:ascii="Tahoma" w:eastAsia="Tahoma" w:hAnsi="Tahoma"/>
          <w:color w:val="000000"/>
          <w:spacing w:val="5"/>
          <w:sz w:val="16"/>
        </w:rPr>
        <w:t>Master Sub-Fund</w:t>
      </w:r>
      <w:r>
        <w:rPr>
          <w:rFonts w:ascii="Tahoma" w:eastAsia="Tahoma" w:hAnsi="Tahoma"/>
          <w:color w:val="000000"/>
          <w:spacing w:val="5"/>
          <w:sz w:val="16"/>
        </w:rPr>
        <w:t xml:space="preserve"> and its intended investment strategy the capital deployment phase as described above may be extended based on availability of potential investments.</w:t>
      </w:r>
    </w:p>
    <w:p w14:paraId="2426F30C" w14:textId="77777777" w:rsidR="003E7D48" w:rsidRDefault="00C51684" w:rsidP="00C41FA6">
      <w:pPr>
        <w:spacing w:before="1" w:line="230" w:lineRule="exact"/>
        <w:jc w:val="both"/>
        <w:textAlignment w:val="baseline"/>
        <w:rPr>
          <w:rFonts w:ascii="Tahoma" w:eastAsia="Tahoma" w:hAnsi="Tahoma"/>
          <w:color w:val="000000"/>
          <w:sz w:val="16"/>
        </w:rPr>
      </w:pPr>
      <w:r>
        <w:rPr>
          <w:rFonts w:ascii="Tahoma" w:eastAsia="Tahoma" w:hAnsi="Tahoma"/>
          <w:color w:val="000000"/>
          <w:sz w:val="16"/>
        </w:rPr>
        <w:t xml:space="preserve">Furthermore, achieving </w:t>
      </w:r>
      <w:r w:rsidR="00DC0F17">
        <w:rPr>
          <w:rFonts w:ascii="Tahoma" w:eastAsia="Tahoma" w:hAnsi="Tahoma"/>
          <w:color w:val="000000"/>
          <w:sz w:val="16"/>
        </w:rPr>
        <w:t>the defined characteristics by Portfolio C</w:t>
      </w:r>
      <w:r>
        <w:rPr>
          <w:rFonts w:ascii="Tahoma" w:eastAsia="Tahoma" w:hAnsi="Tahoma"/>
          <w:color w:val="000000"/>
          <w:sz w:val="16"/>
        </w:rPr>
        <w:t>ompanies may be disrupted due to major M&amp;A events which would potentially trigger a new transition period.</w:t>
      </w:r>
    </w:p>
    <w:p w14:paraId="0546DEAB" w14:textId="77777777" w:rsidR="003E7D48" w:rsidRDefault="00C51684" w:rsidP="00C41FA6">
      <w:pPr>
        <w:spacing w:before="38" w:line="192" w:lineRule="exact"/>
        <w:jc w:val="both"/>
        <w:textAlignment w:val="baseline"/>
        <w:rPr>
          <w:rFonts w:ascii="Tahoma" w:eastAsia="Tahoma" w:hAnsi="Tahoma"/>
          <w:color w:val="000000"/>
          <w:spacing w:val="8"/>
          <w:sz w:val="16"/>
        </w:rPr>
      </w:pPr>
      <w:r>
        <w:rPr>
          <w:rFonts w:ascii="Tahoma" w:eastAsia="Tahoma" w:hAnsi="Tahoma"/>
          <w:color w:val="000000"/>
          <w:spacing w:val="8"/>
          <w:sz w:val="16"/>
        </w:rPr>
        <w:t xml:space="preserve">Although the </w:t>
      </w:r>
      <w:r w:rsidR="00A2007D">
        <w:rPr>
          <w:rFonts w:ascii="Tahoma" w:eastAsia="Tahoma" w:hAnsi="Tahoma"/>
          <w:color w:val="000000"/>
          <w:spacing w:val="8"/>
          <w:sz w:val="16"/>
        </w:rPr>
        <w:t>Master Sub-Fund</w:t>
      </w:r>
      <w:r>
        <w:rPr>
          <w:rFonts w:ascii="Tahoma" w:eastAsia="Tahoma" w:hAnsi="Tahoma"/>
          <w:color w:val="000000"/>
          <w:spacing w:val="8"/>
          <w:sz w:val="16"/>
        </w:rPr>
        <w:t xml:space="preserve"> strives towards a certain level of diversification there may be a level of investment</w:t>
      </w:r>
    </w:p>
    <w:p w14:paraId="0AD8E84B" w14:textId="77777777" w:rsidR="003E7D48" w:rsidRDefault="00C51684" w:rsidP="00C41FA6">
      <w:pPr>
        <w:spacing w:line="226" w:lineRule="exact"/>
        <w:jc w:val="both"/>
        <w:textAlignment w:val="baseline"/>
        <w:rPr>
          <w:rFonts w:ascii="Tahoma" w:eastAsia="Tahoma" w:hAnsi="Tahoma"/>
          <w:color w:val="000000"/>
          <w:sz w:val="16"/>
        </w:rPr>
      </w:pPr>
      <w:r>
        <w:rPr>
          <w:rFonts w:ascii="Tahoma" w:eastAsia="Tahoma" w:hAnsi="Tahoma"/>
          <w:color w:val="000000"/>
          <w:sz w:val="16"/>
        </w:rPr>
        <w:t xml:space="preserve">concentration that may have a significant effect on the achievement of promoted characteristics especially in the early years of the </w:t>
      </w:r>
      <w:r w:rsidR="00A2007D">
        <w:rPr>
          <w:rFonts w:ascii="Tahoma" w:eastAsia="Tahoma" w:hAnsi="Tahoma"/>
          <w:color w:val="000000"/>
          <w:sz w:val="16"/>
        </w:rPr>
        <w:t>Master Sub-Fund</w:t>
      </w:r>
      <w:r>
        <w:rPr>
          <w:rFonts w:ascii="Tahoma" w:eastAsia="Tahoma" w:hAnsi="Tahoma"/>
          <w:color w:val="000000"/>
          <w:sz w:val="16"/>
        </w:rPr>
        <w:t>’s life cycle.</w:t>
      </w:r>
    </w:p>
    <w:p w14:paraId="3E543221" w14:textId="77777777" w:rsidR="003E7D48" w:rsidRDefault="00F756B8" w:rsidP="00C41FA6">
      <w:pPr>
        <w:spacing w:before="236" w:line="227" w:lineRule="exact"/>
        <w:jc w:val="both"/>
        <w:textAlignment w:val="baseline"/>
        <w:rPr>
          <w:rFonts w:ascii="Tahoma" w:eastAsia="Tahoma" w:hAnsi="Tahoma"/>
          <w:color w:val="000000"/>
          <w:spacing w:val="5"/>
          <w:sz w:val="16"/>
        </w:rPr>
      </w:pPr>
      <w:r>
        <w:rPr>
          <w:rFonts w:ascii="Tahoma" w:eastAsia="Tahoma" w:hAnsi="Tahoma"/>
          <w:color w:val="000000"/>
          <w:spacing w:val="5"/>
          <w:sz w:val="16"/>
        </w:rPr>
        <w:t xml:space="preserve">The </w:t>
      </w:r>
      <w:r>
        <w:rPr>
          <w:rFonts w:ascii="Tahoma" w:eastAsia="Tahoma" w:hAnsi="Tahoma"/>
          <w:color w:val="000000"/>
          <w:spacing w:val="6"/>
          <w:sz w:val="16"/>
        </w:rPr>
        <w:t>Manager</w:t>
      </w:r>
      <w:r>
        <w:rPr>
          <w:rFonts w:ascii="Tahoma" w:eastAsia="Tahoma" w:hAnsi="Tahoma"/>
          <w:color w:val="000000"/>
          <w:spacing w:val="5"/>
          <w:sz w:val="16"/>
        </w:rPr>
        <w:t xml:space="preserve"> </w:t>
      </w:r>
      <w:r w:rsidR="00C51684">
        <w:rPr>
          <w:rFonts w:ascii="Tahoma" w:eastAsia="Tahoma" w:hAnsi="Tahoma"/>
          <w:color w:val="000000"/>
          <w:spacing w:val="5"/>
          <w:sz w:val="16"/>
        </w:rPr>
        <w:t>acknowledges the limitations described above and implemented processes and procedures internally to mitigate any limitations identified above or that may ar</w:t>
      </w:r>
      <w:r>
        <w:rPr>
          <w:rFonts w:ascii="Tahoma" w:eastAsia="Tahoma" w:hAnsi="Tahoma"/>
          <w:color w:val="000000"/>
          <w:spacing w:val="5"/>
          <w:sz w:val="16"/>
        </w:rPr>
        <w:t xml:space="preserve">ise in future. The </w:t>
      </w:r>
      <w:r>
        <w:rPr>
          <w:rFonts w:ascii="Tahoma" w:eastAsia="Tahoma" w:hAnsi="Tahoma"/>
          <w:color w:val="000000"/>
          <w:spacing w:val="6"/>
          <w:sz w:val="16"/>
        </w:rPr>
        <w:t>Manager</w:t>
      </w:r>
      <w:r w:rsidR="00C51684">
        <w:rPr>
          <w:rFonts w:ascii="Tahoma" w:eastAsia="Tahoma" w:hAnsi="Tahoma"/>
          <w:color w:val="000000"/>
          <w:spacing w:val="5"/>
          <w:sz w:val="16"/>
        </w:rPr>
        <w:t xml:space="preserve"> in collaboration with its co-</w:t>
      </w:r>
      <w:r w:rsidR="00DC0F17">
        <w:rPr>
          <w:rFonts w:ascii="Tahoma" w:eastAsia="Tahoma" w:hAnsi="Tahoma"/>
          <w:color w:val="000000"/>
          <w:spacing w:val="5"/>
          <w:sz w:val="16"/>
        </w:rPr>
        <w:t>investor JAB work closely with Portfolio C</w:t>
      </w:r>
      <w:r w:rsidR="00C51684">
        <w:rPr>
          <w:rFonts w:ascii="Tahoma" w:eastAsia="Tahoma" w:hAnsi="Tahoma"/>
          <w:color w:val="000000"/>
          <w:spacing w:val="5"/>
          <w:sz w:val="16"/>
        </w:rPr>
        <w:t>ompanies to achieve a sufficient level of data quality and engage with</w:t>
      </w:r>
    </w:p>
    <w:p w14:paraId="3F13EE43" w14:textId="77777777" w:rsidR="003E7D48" w:rsidRDefault="00DC0F17" w:rsidP="00C41FA6">
      <w:pPr>
        <w:spacing w:before="6" w:line="227" w:lineRule="exact"/>
        <w:jc w:val="both"/>
        <w:textAlignment w:val="baseline"/>
        <w:rPr>
          <w:rFonts w:ascii="Tahoma" w:eastAsia="Tahoma" w:hAnsi="Tahoma"/>
          <w:color w:val="000000"/>
          <w:sz w:val="16"/>
        </w:rPr>
      </w:pPr>
      <w:r>
        <w:rPr>
          <w:rFonts w:ascii="Tahoma" w:eastAsia="Tahoma" w:hAnsi="Tahoma"/>
          <w:color w:val="000000"/>
          <w:sz w:val="16"/>
        </w:rPr>
        <w:t>Portfolio C</w:t>
      </w:r>
      <w:r w:rsidR="00C51684">
        <w:rPr>
          <w:rFonts w:ascii="Tahoma" w:eastAsia="Tahoma" w:hAnsi="Tahoma"/>
          <w:color w:val="000000"/>
          <w:sz w:val="16"/>
        </w:rPr>
        <w:t>ompanies where the level of data quality is deemed insufficient at any poin</w:t>
      </w:r>
      <w:r>
        <w:rPr>
          <w:rFonts w:ascii="Tahoma" w:eastAsia="Tahoma" w:hAnsi="Tahoma"/>
          <w:color w:val="000000"/>
          <w:sz w:val="16"/>
        </w:rPr>
        <w:t>t during the holding period of Portfolio C</w:t>
      </w:r>
      <w:r w:rsidR="00C51684">
        <w:rPr>
          <w:rFonts w:ascii="Tahoma" w:eastAsia="Tahoma" w:hAnsi="Tahoma"/>
          <w:color w:val="000000"/>
          <w:sz w:val="16"/>
        </w:rPr>
        <w:t>ompanies.</w:t>
      </w:r>
    </w:p>
    <w:p w14:paraId="7AA844BF" w14:textId="77777777" w:rsidR="003E7D48" w:rsidRDefault="00C51684" w:rsidP="00C41FA6">
      <w:pPr>
        <w:spacing w:before="226" w:line="227" w:lineRule="exact"/>
        <w:jc w:val="both"/>
        <w:textAlignment w:val="baseline"/>
        <w:rPr>
          <w:rFonts w:ascii="Tahoma" w:eastAsia="Tahoma" w:hAnsi="Tahoma"/>
          <w:color w:val="000000"/>
          <w:spacing w:val="7"/>
          <w:sz w:val="16"/>
        </w:rPr>
      </w:pPr>
      <w:r>
        <w:rPr>
          <w:rFonts w:ascii="Tahoma" w:eastAsia="Tahoma" w:hAnsi="Tahoma"/>
          <w:color w:val="000000"/>
          <w:spacing w:val="7"/>
          <w:sz w:val="16"/>
        </w:rPr>
        <w:lastRenderedPageBreak/>
        <w:t>In the light of pot</w:t>
      </w:r>
      <w:r w:rsidR="00F756B8">
        <w:rPr>
          <w:rFonts w:ascii="Tahoma" w:eastAsia="Tahoma" w:hAnsi="Tahoma"/>
          <w:color w:val="000000"/>
          <w:spacing w:val="7"/>
          <w:sz w:val="16"/>
        </w:rPr>
        <w:t xml:space="preserve">ential major M&amp;A events the </w:t>
      </w:r>
      <w:r w:rsidR="00F756B8">
        <w:rPr>
          <w:rFonts w:ascii="Tahoma" w:eastAsia="Tahoma" w:hAnsi="Tahoma"/>
          <w:color w:val="000000"/>
          <w:spacing w:val="6"/>
          <w:sz w:val="16"/>
        </w:rPr>
        <w:t>Manager</w:t>
      </w:r>
      <w:r>
        <w:rPr>
          <w:rFonts w:ascii="Tahoma" w:eastAsia="Tahoma" w:hAnsi="Tahoma"/>
          <w:color w:val="000000"/>
          <w:spacing w:val="7"/>
          <w:sz w:val="16"/>
        </w:rPr>
        <w:t xml:space="preserve"> in collaboration with its co-investor analyses the potential effects of such events on the overall portfolio in relation to the promoted characteristics as part of the M&amp;A process and addresses any topics as soon as possible by engaging with the respectiv</w:t>
      </w:r>
      <w:r w:rsidR="00DC0F17">
        <w:rPr>
          <w:rFonts w:ascii="Tahoma" w:eastAsia="Tahoma" w:hAnsi="Tahoma"/>
          <w:color w:val="000000"/>
          <w:spacing w:val="7"/>
          <w:sz w:val="16"/>
        </w:rPr>
        <w:t>e Portfolio C</w:t>
      </w:r>
      <w:r w:rsidR="00F756B8">
        <w:rPr>
          <w:rFonts w:ascii="Tahoma" w:eastAsia="Tahoma" w:hAnsi="Tahoma"/>
          <w:color w:val="000000"/>
          <w:spacing w:val="7"/>
          <w:sz w:val="16"/>
        </w:rPr>
        <w:t xml:space="preserve">ompanies. Additionally, the </w:t>
      </w:r>
      <w:r w:rsidR="00F756B8">
        <w:rPr>
          <w:rFonts w:ascii="Tahoma" w:eastAsia="Tahoma" w:hAnsi="Tahoma"/>
          <w:color w:val="000000"/>
          <w:spacing w:val="6"/>
          <w:sz w:val="16"/>
        </w:rPr>
        <w:t>Manager</w:t>
      </w:r>
      <w:r w:rsidR="00DC0F17">
        <w:rPr>
          <w:rFonts w:ascii="Tahoma" w:eastAsia="Tahoma" w:hAnsi="Tahoma"/>
          <w:color w:val="000000"/>
          <w:spacing w:val="7"/>
          <w:sz w:val="16"/>
        </w:rPr>
        <w:t xml:space="preserve"> identifies Portfolio C</w:t>
      </w:r>
      <w:r>
        <w:rPr>
          <w:rFonts w:ascii="Tahoma" w:eastAsia="Tahoma" w:hAnsi="Tahoma"/>
          <w:color w:val="000000"/>
          <w:spacing w:val="7"/>
          <w:sz w:val="16"/>
        </w:rPr>
        <w:t xml:space="preserve">ompanies which due to the size of investment may contribute more significantly to the promoted characteristics of the </w:t>
      </w:r>
      <w:r w:rsidR="00A2007D">
        <w:rPr>
          <w:rFonts w:ascii="Tahoma" w:eastAsia="Tahoma" w:hAnsi="Tahoma"/>
          <w:color w:val="000000"/>
          <w:spacing w:val="7"/>
          <w:sz w:val="16"/>
        </w:rPr>
        <w:t>Master Sub-Fund</w:t>
      </w:r>
      <w:r>
        <w:rPr>
          <w:rFonts w:ascii="Tahoma" w:eastAsia="Tahoma" w:hAnsi="Tahoma"/>
          <w:color w:val="000000"/>
          <w:spacing w:val="7"/>
          <w:sz w:val="16"/>
        </w:rPr>
        <w:t xml:space="preserve"> and may base on </w:t>
      </w:r>
      <w:r w:rsidR="00DC0F17">
        <w:rPr>
          <w:rFonts w:ascii="Tahoma" w:eastAsia="Tahoma" w:hAnsi="Tahoma"/>
          <w:color w:val="000000"/>
          <w:spacing w:val="7"/>
          <w:sz w:val="16"/>
        </w:rPr>
        <w:t>that assessment focus on those P</w:t>
      </w:r>
      <w:r>
        <w:rPr>
          <w:rFonts w:ascii="Tahoma" w:eastAsia="Tahoma" w:hAnsi="Tahoma"/>
          <w:color w:val="000000"/>
          <w:spacing w:val="7"/>
          <w:sz w:val="16"/>
        </w:rPr>
        <w:t>ortfo</w:t>
      </w:r>
      <w:r w:rsidR="00DC0F17">
        <w:rPr>
          <w:rFonts w:ascii="Tahoma" w:eastAsia="Tahoma" w:hAnsi="Tahoma"/>
          <w:color w:val="000000"/>
          <w:spacing w:val="7"/>
          <w:sz w:val="16"/>
        </w:rPr>
        <w:t>lio C</w:t>
      </w:r>
      <w:r w:rsidR="00F756B8">
        <w:rPr>
          <w:rFonts w:ascii="Tahoma" w:eastAsia="Tahoma" w:hAnsi="Tahoma"/>
          <w:color w:val="000000"/>
          <w:spacing w:val="7"/>
          <w:sz w:val="16"/>
        </w:rPr>
        <w:t xml:space="preserve">ompanies, although the </w:t>
      </w:r>
      <w:r w:rsidR="00F756B8">
        <w:rPr>
          <w:rFonts w:ascii="Tahoma" w:eastAsia="Tahoma" w:hAnsi="Tahoma"/>
          <w:color w:val="000000"/>
          <w:spacing w:val="6"/>
          <w:sz w:val="16"/>
        </w:rPr>
        <w:t>Manager</w:t>
      </w:r>
      <w:r w:rsidR="00DC0F17">
        <w:rPr>
          <w:rFonts w:ascii="Tahoma" w:eastAsia="Tahoma" w:hAnsi="Tahoma"/>
          <w:color w:val="000000"/>
          <w:spacing w:val="7"/>
          <w:sz w:val="16"/>
        </w:rPr>
        <w:t xml:space="preserve"> intends to work with all Portfolio C</w:t>
      </w:r>
      <w:r>
        <w:rPr>
          <w:rFonts w:ascii="Tahoma" w:eastAsia="Tahoma" w:hAnsi="Tahoma"/>
          <w:color w:val="000000"/>
          <w:spacing w:val="7"/>
          <w:sz w:val="16"/>
        </w:rPr>
        <w:t>ompanies to support achieving the promoted characteristics.</w:t>
      </w:r>
    </w:p>
    <w:p w14:paraId="24624D5F" w14:textId="77777777" w:rsidR="003E7D48" w:rsidRDefault="00C51684" w:rsidP="00C41FA6">
      <w:pPr>
        <w:numPr>
          <w:ilvl w:val="0"/>
          <w:numId w:val="5"/>
        </w:numPr>
        <w:tabs>
          <w:tab w:val="clear" w:pos="360"/>
          <w:tab w:val="left" w:pos="648"/>
        </w:tabs>
        <w:spacing w:before="250" w:line="206" w:lineRule="exact"/>
        <w:jc w:val="both"/>
        <w:textAlignment w:val="baseline"/>
        <w:rPr>
          <w:rFonts w:ascii="Tahoma" w:eastAsia="Tahoma" w:hAnsi="Tahoma"/>
          <w:b/>
          <w:color w:val="000000"/>
          <w:sz w:val="16"/>
        </w:rPr>
      </w:pPr>
      <w:r>
        <w:rPr>
          <w:rFonts w:ascii="Tahoma" w:eastAsia="Tahoma" w:hAnsi="Tahoma"/>
          <w:b/>
          <w:color w:val="000000"/>
          <w:sz w:val="16"/>
        </w:rPr>
        <w:t>Due diligence</w:t>
      </w:r>
    </w:p>
    <w:p w14:paraId="6A3F0442" w14:textId="77777777" w:rsidR="003E7D48" w:rsidRDefault="00C51684" w:rsidP="00C41FA6">
      <w:pPr>
        <w:spacing w:line="224" w:lineRule="exact"/>
        <w:jc w:val="both"/>
        <w:textAlignment w:val="baseline"/>
        <w:rPr>
          <w:rFonts w:ascii="Tahoma" w:eastAsia="Tahoma" w:hAnsi="Tahoma"/>
          <w:color w:val="000000"/>
          <w:sz w:val="16"/>
        </w:rPr>
      </w:pPr>
      <w:r>
        <w:rPr>
          <w:rFonts w:ascii="Tahoma" w:eastAsia="Tahoma" w:hAnsi="Tahoma"/>
          <w:color w:val="000000"/>
          <w:sz w:val="16"/>
        </w:rPr>
        <w:t>During the pre-in</w:t>
      </w:r>
      <w:r w:rsidR="00F756B8">
        <w:rPr>
          <w:rFonts w:ascii="Tahoma" w:eastAsia="Tahoma" w:hAnsi="Tahoma"/>
          <w:color w:val="000000"/>
          <w:sz w:val="16"/>
        </w:rPr>
        <w:t xml:space="preserve">vestment phase, the </w:t>
      </w:r>
      <w:r w:rsidR="00F756B8">
        <w:rPr>
          <w:rFonts w:ascii="Tahoma" w:eastAsia="Tahoma" w:hAnsi="Tahoma"/>
          <w:color w:val="000000"/>
          <w:spacing w:val="6"/>
          <w:sz w:val="16"/>
        </w:rPr>
        <w:t>Manager</w:t>
      </w:r>
      <w:r>
        <w:rPr>
          <w:rFonts w:ascii="Tahoma" w:eastAsia="Tahoma" w:hAnsi="Tahoma"/>
          <w:color w:val="000000"/>
          <w:sz w:val="16"/>
        </w:rPr>
        <w:t xml:space="preserve"> and JAB will appoint a third-party expert to proceed with an ESG due diligence of the target investment. The due diligence is tailored but will at minimum: identify material Sustainability Factors and Sustainability Risks, identify impact of acquisition on the </w:t>
      </w:r>
      <w:r w:rsidR="00A2007D">
        <w:rPr>
          <w:rFonts w:ascii="Tahoma" w:eastAsia="Tahoma" w:hAnsi="Tahoma"/>
          <w:color w:val="000000"/>
          <w:sz w:val="16"/>
        </w:rPr>
        <w:t>Master Sub-Fund</w:t>
      </w:r>
      <w:r>
        <w:rPr>
          <w:rFonts w:ascii="Tahoma" w:eastAsia="Tahoma" w:hAnsi="Tahoma"/>
          <w:color w:val="000000"/>
          <w:sz w:val="16"/>
        </w:rPr>
        <w:t>s’ promoted characteristics and finally high-level recommendations for post-acquisition. The Sustainability Factors and Sustainability Risks are considered in the investment process.</w:t>
      </w:r>
    </w:p>
    <w:p w14:paraId="0E935483" w14:textId="77777777" w:rsidR="003E7D48" w:rsidRDefault="00F756B8" w:rsidP="00C41FA6">
      <w:pPr>
        <w:spacing w:line="225" w:lineRule="exact"/>
        <w:jc w:val="both"/>
        <w:textAlignment w:val="baseline"/>
        <w:rPr>
          <w:rFonts w:ascii="Tahoma" w:eastAsia="Tahoma" w:hAnsi="Tahoma"/>
          <w:color w:val="000000"/>
          <w:spacing w:val="6"/>
          <w:sz w:val="16"/>
        </w:rPr>
      </w:pPr>
      <w:r>
        <w:rPr>
          <w:rFonts w:ascii="Tahoma" w:eastAsia="Tahoma" w:hAnsi="Tahoma"/>
          <w:color w:val="000000"/>
          <w:spacing w:val="6"/>
          <w:sz w:val="16"/>
        </w:rPr>
        <w:t>The Manager</w:t>
      </w:r>
      <w:r w:rsidR="00C51684">
        <w:rPr>
          <w:rFonts w:ascii="Tahoma" w:eastAsia="Tahoma" w:hAnsi="Tahoma"/>
          <w:color w:val="000000"/>
          <w:spacing w:val="6"/>
          <w:sz w:val="16"/>
        </w:rPr>
        <w:t xml:space="preserve"> will monitor ongoing evolution of Sustainability Factors a</w:t>
      </w:r>
      <w:r w:rsidR="00DC0F17">
        <w:rPr>
          <w:rFonts w:ascii="Tahoma" w:eastAsia="Tahoma" w:hAnsi="Tahoma"/>
          <w:color w:val="000000"/>
          <w:spacing w:val="6"/>
          <w:sz w:val="16"/>
        </w:rPr>
        <w:t>nd Sustainability Risks in its Portfolio C</w:t>
      </w:r>
      <w:r w:rsidR="00C51684">
        <w:rPr>
          <w:rFonts w:ascii="Tahoma" w:eastAsia="Tahoma" w:hAnsi="Tahoma"/>
          <w:color w:val="000000"/>
          <w:spacing w:val="6"/>
          <w:sz w:val="16"/>
        </w:rPr>
        <w:t>ompanies.</w:t>
      </w:r>
    </w:p>
    <w:p w14:paraId="451DD4B8" w14:textId="77777777" w:rsidR="003E7D48" w:rsidRDefault="00C51684" w:rsidP="00C41FA6">
      <w:pPr>
        <w:numPr>
          <w:ilvl w:val="0"/>
          <w:numId w:val="5"/>
        </w:numPr>
        <w:tabs>
          <w:tab w:val="clear" w:pos="360"/>
          <w:tab w:val="left" w:pos="648"/>
        </w:tabs>
        <w:spacing w:before="246" w:line="205" w:lineRule="exact"/>
        <w:jc w:val="both"/>
        <w:textAlignment w:val="baseline"/>
        <w:rPr>
          <w:rFonts w:ascii="Tahoma" w:eastAsia="Tahoma" w:hAnsi="Tahoma"/>
          <w:b/>
          <w:color w:val="000000"/>
          <w:sz w:val="16"/>
        </w:rPr>
      </w:pPr>
      <w:r>
        <w:rPr>
          <w:rFonts w:ascii="Tahoma" w:eastAsia="Tahoma" w:hAnsi="Tahoma"/>
          <w:b/>
          <w:color w:val="000000"/>
          <w:sz w:val="16"/>
        </w:rPr>
        <w:t>Engagement policies</w:t>
      </w:r>
    </w:p>
    <w:p w14:paraId="24767A5A" w14:textId="77777777" w:rsidR="003E7D48" w:rsidRDefault="00C51684" w:rsidP="00C41FA6">
      <w:pPr>
        <w:spacing w:before="34" w:line="192" w:lineRule="exact"/>
        <w:jc w:val="both"/>
        <w:textAlignment w:val="baseline"/>
        <w:rPr>
          <w:rFonts w:ascii="Tahoma" w:eastAsia="Tahoma" w:hAnsi="Tahoma"/>
          <w:color w:val="000000"/>
          <w:spacing w:val="1"/>
          <w:sz w:val="16"/>
        </w:rPr>
      </w:pPr>
      <w:r>
        <w:rPr>
          <w:rFonts w:ascii="Tahoma" w:eastAsia="Tahoma" w:hAnsi="Tahoma"/>
          <w:color w:val="000000"/>
          <w:spacing w:val="1"/>
          <w:sz w:val="16"/>
        </w:rPr>
        <w:t>Being subject to Directive (EU) 2017/828 (the “</w:t>
      </w:r>
      <w:r>
        <w:rPr>
          <w:rFonts w:ascii="Tahoma" w:eastAsia="Tahoma" w:hAnsi="Tahoma"/>
          <w:b/>
          <w:color w:val="000000"/>
          <w:spacing w:val="1"/>
          <w:sz w:val="16"/>
        </w:rPr>
        <w:t>Shareholder Rights Directive II” - “SRD II</w:t>
      </w:r>
      <w:r w:rsidR="00F756B8">
        <w:rPr>
          <w:rFonts w:ascii="Tahoma" w:eastAsia="Tahoma" w:hAnsi="Tahoma"/>
          <w:color w:val="000000"/>
          <w:spacing w:val="1"/>
          <w:sz w:val="16"/>
        </w:rPr>
        <w:t>”) the</w:t>
      </w:r>
      <w:r w:rsidR="00F73ED6">
        <w:rPr>
          <w:rFonts w:ascii="Tahoma" w:eastAsia="Tahoma" w:hAnsi="Tahoma"/>
          <w:color w:val="000000"/>
          <w:spacing w:val="6"/>
          <w:sz w:val="16"/>
        </w:rPr>
        <w:t xml:space="preserve"> AIFM</w:t>
      </w:r>
      <w:r w:rsidR="00F756B8">
        <w:rPr>
          <w:rFonts w:ascii="Tahoma" w:eastAsia="Tahoma" w:hAnsi="Tahoma"/>
          <w:color w:val="000000"/>
          <w:spacing w:val="1"/>
          <w:sz w:val="16"/>
        </w:rPr>
        <w:t xml:space="preserve"> </w:t>
      </w:r>
      <w:r>
        <w:rPr>
          <w:rFonts w:ascii="Tahoma" w:eastAsia="Tahoma" w:hAnsi="Tahoma"/>
          <w:color w:val="000000"/>
          <w:spacing w:val="1"/>
          <w:sz w:val="16"/>
        </w:rPr>
        <w:t>implemented</w:t>
      </w:r>
    </w:p>
    <w:p w14:paraId="70408A8F" w14:textId="77777777" w:rsidR="003E7D48" w:rsidRDefault="00C51684" w:rsidP="00C41FA6">
      <w:pPr>
        <w:spacing w:before="34" w:line="192" w:lineRule="exact"/>
        <w:jc w:val="both"/>
        <w:textAlignment w:val="baseline"/>
        <w:rPr>
          <w:rFonts w:ascii="Tahoma" w:eastAsia="Tahoma" w:hAnsi="Tahoma"/>
          <w:color w:val="000000"/>
          <w:spacing w:val="6"/>
          <w:sz w:val="16"/>
        </w:rPr>
      </w:pPr>
      <w:r>
        <w:rPr>
          <w:rFonts w:ascii="Tahoma" w:eastAsia="Tahoma" w:hAnsi="Tahoma"/>
          <w:color w:val="000000"/>
          <w:spacing w:val="6"/>
          <w:sz w:val="16"/>
        </w:rPr>
        <w:t xml:space="preserve">an engagement policy as part of its voting rights policy. </w:t>
      </w:r>
      <w:r w:rsidR="00F73ED6">
        <w:rPr>
          <w:rFonts w:ascii="Tahoma" w:eastAsia="Tahoma" w:hAnsi="Tahoma"/>
          <w:color w:val="000000"/>
          <w:spacing w:val="6"/>
          <w:sz w:val="16"/>
        </w:rPr>
        <w:t>The policy is available online a</w:t>
      </w:r>
      <w:r>
        <w:rPr>
          <w:rFonts w:ascii="Tahoma" w:eastAsia="Tahoma" w:hAnsi="Tahoma"/>
          <w:color w:val="000000"/>
          <w:spacing w:val="6"/>
          <w:sz w:val="16"/>
        </w:rPr>
        <w:t xml:space="preserve"> summary of the policy is</w:t>
      </w:r>
    </w:p>
    <w:p w14:paraId="7710952B" w14:textId="6E3A7A5E" w:rsidR="003E7D48" w:rsidRPr="00671312" w:rsidRDefault="00C51684" w:rsidP="00C41FA6">
      <w:pPr>
        <w:tabs>
          <w:tab w:val="left" w:pos="3384"/>
          <w:tab w:val="left" w:pos="5976"/>
        </w:tabs>
        <w:spacing w:before="29" w:line="191" w:lineRule="exact"/>
        <w:jc w:val="both"/>
        <w:textAlignment w:val="baseline"/>
        <w:rPr>
          <w:rFonts w:ascii="Tahoma" w:eastAsia="Tahoma" w:hAnsi="Tahoma"/>
          <w:color w:val="000000"/>
          <w:spacing w:val="6"/>
          <w:sz w:val="16"/>
          <w:lang w:val="fr-LU"/>
        </w:rPr>
      </w:pPr>
      <w:proofErr w:type="spellStart"/>
      <w:r w:rsidRPr="00671312">
        <w:rPr>
          <w:rFonts w:ascii="Tahoma" w:eastAsia="Tahoma" w:hAnsi="Tahoma"/>
          <w:color w:val="000000"/>
          <w:spacing w:val="6"/>
          <w:sz w:val="16"/>
          <w:lang w:val="fr-LU"/>
        </w:rPr>
        <w:t>available</w:t>
      </w:r>
      <w:proofErr w:type="spellEnd"/>
      <w:r w:rsidRPr="00671312">
        <w:rPr>
          <w:rFonts w:ascii="Tahoma" w:eastAsia="Tahoma" w:hAnsi="Tahoma"/>
          <w:color w:val="000000"/>
          <w:spacing w:val="6"/>
          <w:sz w:val="16"/>
          <w:lang w:val="fr-LU"/>
        </w:rPr>
        <w:tab/>
        <w:t>on:</w:t>
      </w:r>
      <w:r w:rsidRPr="00671312">
        <w:rPr>
          <w:rFonts w:ascii="Tahoma" w:eastAsia="Tahoma" w:hAnsi="Tahoma"/>
          <w:color w:val="000000"/>
          <w:spacing w:val="6"/>
          <w:sz w:val="16"/>
          <w:lang w:val="fr-LU"/>
        </w:rPr>
        <w:tab/>
      </w:r>
      <w:hyperlink r:id="rId8" w:history="1">
        <w:r w:rsidR="00671312" w:rsidRPr="00671312">
          <w:rPr>
            <w:rStyle w:val="Hyperlink"/>
            <w:rFonts w:ascii="Tahoma" w:eastAsia="Tahoma" w:hAnsi="Tahoma"/>
            <w:spacing w:val="6"/>
            <w:sz w:val="16"/>
            <w:lang w:val="fr-LU"/>
          </w:rPr>
          <w:t xml:space="preserve">Luxembourg SFDR </w:t>
        </w:r>
        <w:proofErr w:type="spellStart"/>
        <w:r w:rsidR="00671312" w:rsidRPr="00671312">
          <w:rPr>
            <w:rStyle w:val="Hyperlink"/>
            <w:rFonts w:ascii="Tahoma" w:eastAsia="Tahoma" w:hAnsi="Tahoma"/>
            <w:spacing w:val="6"/>
            <w:sz w:val="16"/>
            <w:lang w:val="fr-LU"/>
          </w:rPr>
          <w:t>Disclosures</w:t>
        </w:r>
        <w:proofErr w:type="spellEnd"/>
        <w:r w:rsidR="00671312" w:rsidRPr="00671312">
          <w:rPr>
            <w:rStyle w:val="Hyperlink"/>
            <w:rFonts w:ascii="Tahoma" w:eastAsia="Tahoma" w:hAnsi="Tahoma"/>
            <w:spacing w:val="6"/>
            <w:sz w:val="16"/>
            <w:lang w:val="fr-LU"/>
          </w:rPr>
          <w:t xml:space="preserve"> - IQ-EQ</w:t>
        </w:r>
      </w:hyperlink>
    </w:p>
    <w:p w14:paraId="52379153" w14:textId="77777777" w:rsidR="003E7D48" w:rsidRDefault="00C51684" w:rsidP="00C41FA6">
      <w:pPr>
        <w:numPr>
          <w:ilvl w:val="0"/>
          <w:numId w:val="5"/>
        </w:numPr>
        <w:tabs>
          <w:tab w:val="clear" w:pos="360"/>
          <w:tab w:val="left" w:pos="648"/>
        </w:tabs>
        <w:spacing w:before="251" w:line="205" w:lineRule="exact"/>
        <w:jc w:val="both"/>
        <w:textAlignment w:val="baseline"/>
        <w:rPr>
          <w:rFonts w:ascii="Tahoma" w:eastAsia="Tahoma" w:hAnsi="Tahoma"/>
          <w:b/>
          <w:color w:val="000000"/>
          <w:spacing w:val="4"/>
          <w:sz w:val="16"/>
        </w:rPr>
      </w:pPr>
      <w:r>
        <w:rPr>
          <w:rFonts w:ascii="Tahoma" w:eastAsia="Tahoma" w:hAnsi="Tahoma"/>
          <w:b/>
          <w:color w:val="000000"/>
          <w:spacing w:val="4"/>
          <w:sz w:val="16"/>
        </w:rPr>
        <w:t>Designated reference benchmark</w:t>
      </w:r>
    </w:p>
    <w:p w14:paraId="38CEFCFD" w14:textId="77777777" w:rsidR="003E7D48" w:rsidRDefault="00C51684" w:rsidP="00C41FA6">
      <w:pPr>
        <w:spacing w:before="30" w:line="191" w:lineRule="exact"/>
        <w:jc w:val="both"/>
        <w:textAlignment w:val="baseline"/>
        <w:rPr>
          <w:rFonts w:ascii="Tahoma" w:eastAsia="Tahoma" w:hAnsi="Tahoma"/>
          <w:color w:val="000000"/>
          <w:spacing w:val="5"/>
          <w:sz w:val="16"/>
        </w:rPr>
      </w:pPr>
      <w:r>
        <w:rPr>
          <w:rFonts w:ascii="Tahoma" w:eastAsia="Tahoma" w:hAnsi="Tahoma"/>
          <w:color w:val="000000"/>
          <w:spacing w:val="5"/>
          <w:sz w:val="16"/>
        </w:rPr>
        <w:t xml:space="preserve">The </w:t>
      </w:r>
      <w:r w:rsidR="00A2007D">
        <w:rPr>
          <w:rFonts w:ascii="Tahoma" w:eastAsia="Tahoma" w:hAnsi="Tahoma"/>
          <w:color w:val="000000"/>
          <w:spacing w:val="5"/>
          <w:sz w:val="16"/>
        </w:rPr>
        <w:t>Sub-Fund</w:t>
      </w:r>
      <w:r>
        <w:rPr>
          <w:rFonts w:ascii="Tahoma" w:eastAsia="Tahoma" w:hAnsi="Tahoma"/>
          <w:color w:val="000000"/>
          <w:spacing w:val="5"/>
          <w:sz w:val="16"/>
        </w:rPr>
        <w:t xml:space="preserve"> does not use a specific index designated as a reference benchmark. Therefore, this question is</w:t>
      </w:r>
    </w:p>
    <w:p w14:paraId="77CC3599" w14:textId="77777777" w:rsidR="003E7D48" w:rsidRDefault="00C51684" w:rsidP="00C41FA6">
      <w:pPr>
        <w:spacing w:before="39" w:after="4444" w:line="192" w:lineRule="exact"/>
        <w:jc w:val="both"/>
        <w:textAlignment w:val="baseline"/>
        <w:rPr>
          <w:rFonts w:ascii="Tahoma" w:eastAsia="Tahoma" w:hAnsi="Tahoma"/>
          <w:color w:val="000000"/>
          <w:spacing w:val="5"/>
          <w:sz w:val="16"/>
        </w:rPr>
      </w:pPr>
      <w:r>
        <w:rPr>
          <w:rFonts w:ascii="Tahoma" w:eastAsia="Tahoma" w:hAnsi="Tahoma"/>
          <w:color w:val="000000"/>
          <w:spacing w:val="5"/>
          <w:sz w:val="16"/>
        </w:rPr>
        <w:t>not applicable, and no information is included in this section.</w:t>
      </w:r>
    </w:p>
    <w:p w14:paraId="76DDCCED"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764B24B7"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2E15BB0C"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576C6243"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230DAA14"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37B0613F" w14:textId="77777777" w:rsidR="00EC7A1E" w:rsidRDefault="00EC7A1E" w:rsidP="00EC7A1E">
      <w:pPr>
        <w:spacing w:before="258" w:after="115" w:line="205" w:lineRule="exact"/>
        <w:textAlignment w:val="baseline"/>
        <w:rPr>
          <w:rFonts w:ascii="Tahoma" w:eastAsia="Tahoma" w:hAnsi="Tahoma"/>
          <w:b/>
          <w:color w:val="000000"/>
          <w:spacing w:val="16"/>
          <w:sz w:val="16"/>
        </w:rPr>
      </w:pPr>
    </w:p>
    <w:p w14:paraId="5B08C908" w14:textId="62610758" w:rsidR="00EC7A1E" w:rsidRDefault="00EC7A1E" w:rsidP="00EC7A1E">
      <w:pPr>
        <w:spacing w:before="258" w:after="115" w:line="205" w:lineRule="exact"/>
        <w:textAlignment w:val="baseline"/>
        <w:rPr>
          <w:rFonts w:ascii="Tahoma" w:eastAsia="Tahoma" w:hAnsi="Tahoma"/>
          <w:b/>
          <w:color w:val="000000"/>
          <w:spacing w:val="16"/>
          <w:sz w:val="16"/>
        </w:rPr>
      </w:pPr>
      <w:r>
        <w:rPr>
          <w:rFonts w:ascii="Tahoma" w:eastAsia="Tahoma" w:hAnsi="Tahoma"/>
          <w:b/>
          <w:color w:val="000000"/>
          <w:spacing w:val="16"/>
          <w:sz w:val="16"/>
        </w:rPr>
        <w:lastRenderedPageBreak/>
        <w:t xml:space="preserve">1. </w:t>
      </w:r>
      <w:r>
        <w:rPr>
          <w:rFonts w:ascii="Tahoma" w:eastAsia="Tahoma" w:hAnsi="Tahoma"/>
          <w:b/>
          <w:color w:val="000000"/>
          <w:spacing w:val="16"/>
          <w:sz w:val="16"/>
        </w:rPr>
        <w:t>Résumé</w:t>
      </w:r>
    </w:p>
    <w:tbl>
      <w:tblPr>
        <w:tblW w:w="9622" w:type="dxa"/>
        <w:tblInd w:w="11" w:type="dxa"/>
        <w:tblCellMar>
          <w:left w:w="0" w:type="dxa"/>
          <w:right w:w="0" w:type="dxa"/>
        </w:tblCellMar>
        <w:tblLook w:val="0000" w:firstRow="0" w:lastRow="0" w:firstColumn="0" w:lastColumn="0" w:noHBand="0" w:noVBand="0"/>
      </w:tblPr>
      <w:tblGrid>
        <w:gridCol w:w="9622"/>
      </w:tblGrid>
      <w:tr w:rsidR="00EC7A1E" w14:paraId="758CB912" w14:textId="77777777" w:rsidTr="00593F5E">
        <w:trPr>
          <w:trHeight w:hRule="exact" w:val="379"/>
        </w:trPr>
        <w:tc>
          <w:tcPr>
            <w:tcW w:w="9622" w:type="dxa"/>
            <w:tcBorders>
              <w:top w:val="single" w:sz="5" w:space="0" w:color="000000"/>
              <w:left w:val="single" w:sz="5" w:space="0" w:color="000000"/>
              <w:bottom w:val="single" w:sz="5" w:space="0" w:color="000000"/>
              <w:right w:val="single" w:sz="5" w:space="0" w:color="000000"/>
            </w:tcBorders>
            <w:vAlign w:val="center"/>
          </w:tcPr>
          <w:p w14:paraId="7B15272C" w14:textId="19E02532" w:rsidR="00EC7A1E" w:rsidRDefault="00EC7A1E" w:rsidP="0034713A">
            <w:pPr>
              <w:spacing w:before="82" w:after="90" w:line="206" w:lineRule="exact"/>
              <w:ind w:left="144"/>
              <w:textAlignment w:val="baseline"/>
              <w:rPr>
                <w:rFonts w:ascii="Tahoma" w:eastAsia="Tahoma" w:hAnsi="Tahoma"/>
                <w:b/>
                <w:color w:val="000000"/>
                <w:sz w:val="16"/>
              </w:rPr>
            </w:pPr>
            <w:r>
              <w:rPr>
                <w:rFonts w:ascii="Tahoma" w:eastAsia="Tahoma" w:hAnsi="Tahoma"/>
                <w:b/>
                <w:color w:val="000000"/>
                <w:sz w:val="16"/>
              </w:rPr>
              <w:t xml:space="preserve">Pas </w:t>
            </w:r>
            <w:proofErr w:type="spellStart"/>
            <w:r w:rsidRPr="00EC7A1E">
              <w:rPr>
                <w:rFonts w:ascii="Tahoma" w:eastAsia="Tahoma" w:hAnsi="Tahoma"/>
                <w:b/>
                <w:color w:val="000000"/>
                <w:sz w:val="16"/>
              </w:rPr>
              <w:t>d’objectif</w:t>
            </w:r>
            <w:proofErr w:type="spellEnd"/>
            <w:r w:rsidRPr="00EC7A1E">
              <w:rPr>
                <w:rFonts w:ascii="Tahoma" w:eastAsia="Tahoma" w:hAnsi="Tahoma"/>
                <w:b/>
                <w:color w:val="000000"/>
                <w:sz w:val="16"/>
              </w:rPr>
              <w:t xml:space="preserve"> </w:t>
            </w:r>
            <w:proofErr w:type="spellStart"/>
            <w:r w:rsidRPr="00EC7A1E">
              <w:rPr>
                <w:rFonts w:ascii="Tahoma" w:eastAsia="Tahoma" w:hAnsi="Tahoma"/>
                <w:b/>
                <w:color w:val="000000"/>
                <w:sz w:val="16"/>
              </w:rPr>
              <w:t>d’investissement</w:t>
            </w:r>
            <w:proofErr w:type="spellEnd"/>
            <w:r w:rsidRPr="00EC7A1E">
              <w:rPr>
                <w:rFonts w:ascii="Tahoma" w:eastAsia="Tahoma" w:hAnsi="Tahoma"/>
                <w:b/>
                <w:color w:val="000000"/>
                <w:sz w:val="16"/>
              </w:rPr>
              <w:t xml:space="preserve"> durable</w:t>
            </w:r>
          </w:p>
        </w:tc>
      </w:tr>
      <w:tr w:rsidR="00EC7A1E" w:rsidRPr="00EC7A1E" w14:paraId="77226665" w14:textId="77777777" w:rsidTr="00593F5E">
        <w:trPr>
          <w:trHeight w:hRule="exact" w:val="634"/>
        </w:trPr>
        <w:tc>
          <w:tcPr>
            <w:tcW w:w="9622" w:type="dxa"/>
            <w:tcBorders>
              <w:top w:val="single" w:sz="5" w:space="0" w:color="000000"/>
              <w:left w:val="single" w:sz="5" w:space="0" w:color="000000"/>
              <w:bottom w:val="single" w:sz="5" w:space="0" w:color="000000"/>
              <w:right w:val="single" w:sz="5" w:space="0" w:color="000000"/>
            </w:tcBorders>
          </w:tcPr>
          <w:p w14:paraId="32A4CB92" w14:textId="620F3D32" w:rsidR="00EC7A1E" w:rsidRPr="00EC7A1E" w:rsidRDefault="00EC7A1E" w:rsidP="0034713A">
            <w:pPr>
              <w:spacing w:before="115" w:after="76" w:line="221" w:lineRule="exact"/>
              <w:ind w:left="144" w:right="108"/>
              <w:jc w:val="both"/>
              <w:textAlignment w:val="baseline"/>
              <w:rPr>
                <w:rFonts w:ascii="Tahoma" w:eastAsia="Tahoma" w:hAnsi="Tahoma"/>
                <w:color w:val="000000"/>
                <w:sz w:val="16"/>
                <w:lang w:val="fr-LU"/>
              </w:rPr>
            </w:pPr>
            <w:r w:rsidRPr="00EC7A1E">
              <w:rPr>
                <w:rFonts w:ascii="Tahoma" w:eastAsia="Tahoma" w:hAnsi="Tahoma"/>
                <w:color w:val="000000"/>
                <w:sz w:val="16"/>
                <w:lang w:val="fr-LU"/>
              </w:rPr>
              <w:t>Ce produit financier promeut des caractéristiques environnementales ou sociales, mais ne s’engage pas à réaliser des investissements durables, y compris ceux alignés sur la taxonomie européenne.</w:t>
            </w:r>
          </w:p>
        </w:tc>
      </w:tr>
      <w:tr w:rsidR="00EC7A1E" w:rsidRPr="00EC7A1E" w14:paraId="283CD01D" w14:textId="77777777" w:rsidTr="00593F5E">
        <w:trPr>
          <w:trHeight w:hRule="exact" w:val="374"/>
        </w:trPr>
        <w:tc>
          <w:tcPr>
            <w:tcW w:w="9622" w:type="dxa"/>
            <w:tcBorders>
              <w:top w:val="single" w:sz="5" w:space="0" w:color="000000"/>
              <w:left w:val="single" w:sz="5" w:space="0" w:color="000000"/>
              <w:bottom w:val="single" w:sz="5" w:space="0" w:color="000000"/>
              <w:right w:val="single" w:sz="5" w:space="0" w:color="000000"/>
            </w:tcBorders>
            <w:vAlign w:val="center"/>
          </w:tcPr>
          <w:p w14:paraId="7DBF2008" w14:textId="2FFB3BAC" w:rsidR="00EC7A1E" w:rsidRPr="00EC7A1E" w:rsidRDefault="00EC7A1E" w:rsidP="0034713A">
            <w:pPr>
              <w:spacing w:before="72" w:after="95" w:line="206" w:lineRule="exact"/>
              <w:ind w:left="144"/>
              <w:textAlignment w:val="baseline"/>
              <w:rPr>
                <w:rFonts w:ascii="Tahoma" w:eastAsia="Tahoma" w:hAnsi="Tahoma"/>
                <w:b/>
                <w:color w:val="000000"/>
                <w:sz w:val="16"/>
                <w:lang w:val="fr-LU"/>
              </w:rPr>
            </w:pPr>
            <w:r w:rsidRPr="00EC7A1E">
              <w:rPr>
                <w:rFonts w:ascii="Tahoma" w:eastAsia="Tahoma" w:hAnsi="Tahoma"/>
                <w:b/>
                <w:bCs/>
                <w:color w:val="000000"/>
                <w:sz w:val="16"/>
                <w:lang w:val="fr-LU"/>
              </w:rPr>
              <w:t>Caractéristiques environnementales ou sociales du produit financier</w:t>
            </w:r>
          </w:p>
        </w:tc>
      </w:tr>
      <w:tr w:rsidR="00EC7A1E" w:rsidRPr="00EC7A1E" w14:paraId="5EB91CED" w14:textId="77777777" w:rsidTr="00593F5E">
        <w:trPr>
          <w:trHeight w:hRule="exact" w:val="964"/>
        </w:trPr>
        <w:tc>
          <w:tcPr>
            <w:tcW w:w="9622" w:type="dxa"/>
            <w:tcBorders>
              <w:top w:val="single" w:sz="5" w:space="0" w:color="000000"/>
              <w:left w:val="single" w:sz="5" w:space="0" w:color="000000"/>
              <w:bottom w:val="single" w:sz="5" w:space="0" w:color="000000"/>
              <w:right w:val="single" w:sz="5" w:space="0" w:color="000000"/>
            </w:tcBorders>
          </w:tcPr>
          <w:p w14:paraId="61436324" w14:textId="691CB20F" w:rsidR="00EC7A1E" w:rsidRPr="00EC7A1E" w:rsidRDefault="00EC7A1E" w:rsidP="00EC7A1E">
            <w:pPr>
              <w:ind w:left="127"/>
              <w:rPr>
                <w:rFonts w:ascii="Tahoma" w:hAnsi="Tahoma" w:cs="Tahoma"/>
                <w:color w:val="000000"/>
                <w:sz w:val="16"/>
                <w:szCs w:val="16"/>
                <w:lang w:val="fr-LU"/>
              </w:rPr>
            </w:pPr>
            <w:r w:rsidRPr="00EC7A1E">
              <w:rPr>
                <w:rFonts w:ascii="Tahoma" w:hAnsi="Tahoma" w:cs="Tahoma"/>
                <w:color w:val="000000"/>
                <w:sz w:val="16"/>
                <w:szCs w:val="16"/>
                <w:lang w:val="fr-LU"/>
              </w:rPr>
              <w:t>Le Compartiment investit</w:t>
            </w:r>
            <w:r w:rsidRPr="00536127">
              <w:rPr>
                <w:rFonts w:ascii="Tahoma" w:hAnsi="Tahoma" w:cs="Tahoma"/>
                <w:color w:val="000000"/>
                <w:sz w:val="16"/>
                <w:szCs w:val="16"/>
                <w:lang w:val="fr-LU"/>
              </w:rPr>
              <w:t xml:space="preserve"> les fonds</w:t>
            </w:r>
            <w:r w:rsidRPr="00EC7A1E">
              <w:rPr>
                <w:rFonts w:ascii="Tahoma" w:hAnsi="Tahoma" w:cs="Tahoma"/>
                <w:color w:val="000000"/>
                <w:sz w:val="16"/>
                <w:szCs w:val="16"/>
                <w:lang w:val="fr-LU"/>
              </w:rPr>
              <w:t xml:space="preserve"> disponibles dans JAB Consumer </w:t>
            </w:r>
            <w:proofErr w:type="spellStart"/>
            <w:r w:rsidRPr="00EC7A1E">
              <w:rPr>
                <w:rFonts w:ascii="Tahoma" w:hAnsi="Tahoma" w:cs="Tahoma"/>
                <w:color w:val="000000"/>
                <w:sz w:val="16"/>
                <w:szCs w:val="16"/>
                <w:lang w:val="fr-LU"/>
              </w:rPr>
              <w:t>Partners</w:t>
            </w:r>
            <w:proofErr w:type="spellEnd"/>
            <w:r w:rsidRPr="00EC7A1E">
              <w:rPr>
                <w:rFonts w:ascii="Tahoma" w:hAnsi="Tahoma" w:cs="Tahoma"/>
                <w:color w:val="000000"/>
                <w:sz w:val="16"/>
                <w:szCs w:val="16"/>
                <w:lang w:val="fr-LU"/>
              </w:rPr>
              <w:t xml:space="preserve"> SCA SICAR – JCP V (USD) (le « Compartiment Maître »). Les investissements de ce dernier sont réalisés conformément à sa politique d’investissement générale, telle que décrite dans son </w:t>
            </w:r>
            <w:r w:rsidRPr="00EC7A1E">
              <w:rPr>
                <w:rFonts w:ascii="Tahoma" w:hAnsi="Tahoma" w:cs="Tahoma"/>
                <w:i/>
                <w:iCs/>
                <w:color w:val="000000"/>
                <w:sz w:val="16"/>
                <w:szCs w:val="16"/>
                <w:lang w:val="fr-LU"/>
              </w:rPr>
              <w:t xml:space="preserve">Private Placement </w:t>
            </w:r>
            <w:proofErr w:type="spellStart"/>
            <w:r w:rsidRPr="00EC7A1E">
              <w:rPr>
                <w:rFonts w:ascii="Tahoma" w:hAnsi="Tahoma" w:cs="Tahoma"/>
                <w:i/>
                <w:iCs/>
                <w:color w:val="000000"/>
                <w:sz w:val="16"/>
                <w:szCs w:val="16"/>
                <w:lang w:val="fr-LU"/>
              </w:rPr>
              <w:t>Memorandum</w:t>
            </w:r>
            <w:proofErr w:type="spellEnd"/>
            <w:r w:rsidRPr="00EC7A1E">
              <w:rPr>
                <w:rFonts w:ascii="Tahoma" w:hAnsi="Tahoma" w:cs="Tahoma"/>
                <w:color w:val="000000"/>
                <w:sz w:val="16"/>
                <w:szCs w:val="16"/>
                <w:lang w:val="fr-LU"/>
              </w:rPr>
              <w:t> (le « PPM »).</w:t>
            </w:r>
          </w:p>
          <w:p w14:paraId="713F54B6" w14:textId="77777777" w:rsidR="00EC7A1E" w:rsidRPr="00EC7A1E" w:rsidRDefault="00EC7A1E" w:rsidP="00EC7A1E">
            <w:pPr>
              <w:ind w:left="127"/>
              <w:rPr>
                <w:rFonts w:ascii="Tahoma" w:hAnsi="Tahoma" w:cs="Tahoma"/>
                <w:color w:val="000000"/>
                <w:sz w:val="16"/>
                <w:szCs w:val="16"/>
                <w:lang w:val="fr-LU"/>
              </w:rPr>
            </w:pPr>
            <w:r w:rsidRPr="00EC7A1E">
              <w:rPr>
                <w:rFonts w:ascii="Tahoma" w:hAnsi="Tahoma" w:cs="Tahoma"/>
                <w:color w:val="000000"/>
                <w:sz w:val="16"/>
                <w:szCs w:val="16"/>
                <w:lang w:val="fr-LU"/>
              </w:rPr>
              <w:t>Conformément à l’article 8 du SFDR, le Compartiment promeut des objectifs liés au climat, à l’égalité des chances, à la diversité et à l’inclusion.</w:t>
            </w:r>
          </w:p>
          <w:p w14:paraId="28584E1B" w14:textId="5797451E" w:rsidR="00EC7A1E" w:rsidRPr="00536127" w:rsidRDefault="00EC7A1E" w:rsidP="0034713A">
            <w:pPr>
              <w:spacing w:before="105" w:after="62" w:line="226" w:lineRule="exact"/>
              <w:ind w:left="127" w:right="108"/>
              <w:jc w:val="both"/>
              <w:textAlignment w:val="baseline"/>
              <w:rPr>
                <w:rFonts w:ascii="Tahoma" w:eastAsia="Tahoma" w:hAnsi="Tahoma"/>
                <w:color w:val="000000"/>
                <w:sz w:val="16"/>
                <w:lang w:val="fr-LU"/>
              </w:rPr>
            </w:pPr>
          </w:p>
        </w:tc>
      </w:tr>
      <w:tr w:rsidR="00EC7A1E" w14:paraId="1862590A" w14:textId="77777777" w:rsidTr="00593F5E">
        <w:trPr>
          <w:trHeight w:hRule="exact" w:val="374"/>
        </w:trPr>
        <w:tc>
          <w:tcPr>
            <w:tcW w:w="9622" w:type="dxa"/>
            <w:tcBorders>
              <w:top w:val="single" w:sz="5" w:space="0" w:color="000000"/>
              <w:left w:val="single" w:sz="5" w:space="0" w:color="000000"/>
              <w:bottom w:val="single" w:sz="5" w:space="0" w:color="000000"/>
              <w:right w:val="single" w:sz="5" w:space="0" w:color="000000"/>
            </w:tcBorders>
            <w:vAlign w:val="center"/>
          </w:tcPr>
          <w:p w14:paraId="17CCF511" w14:textId="77777777" w:rsidR="00EC7A1E" w:rsidRPr="00EC7A1E" w:rsidRDefault="00EC7A1E" w:rsidP="00EC7A1E">
            <w:pPr>
              <w:spacing w:before="73" w:after="86" w:line="205" w:lineRule="exact"/>
              <w:ind w:left="144"/>
              <w:textAlignment w:val="baseline"/>
              <w:rPr>
                <w:rFonts w:ascii="Tahoma" w:eastAsia="Tahoma" w:hAnsi="Tahoma"/>
                <w:b/>
                <w:bCs/>
                <w:color w:val="000000"/>
                <w:sz w:val="16"/>
                <w:lang w:val="fr-LU"/>
              </w:rPr>
            </w:pPr>
            <w:r w:rsidRPr="00EC7A1E">
              <w:rPr>
                <w:rFonts w:ascii="Tahoma" w:eastAsia="Tahoma" w:hAnsi="Tahoma"/>
                <w:b/>
                <w:bCs/>
                <w:color w:val="000000"/>
                <w:sz w:val="16"/>
                <w:lang w:val="fr-LU"/>
              </w:rPr>
              <w:t>Stratégie d’investissement</w:t>
            </w:r>
          </w:p>
          <w:p w14:paraId="7E9795FF" w14:textId="2D1EF5EB" w:rsidR="00EC7A1E" w:rsidRDefault="00EC7A1E" w:rsidP="0034713A">
            <w:pPr>
              <w:spacing w:before="73" w:after="86" w:line="205" w:lineRule="exact"/>
              <w:ind w:left="144"/>
              <w:textAlignment w:val="baseline"/>
              <w:rPr>
                <w:rFonts w:ascii="Tahoma" w:eastAsia="Tahoma" w:hAnsi="Tahoma"/>
                <w:b/>
                <w:color w:val="000000"/>
                <w:sz w:val="16"/>
              </w:rPr>
            </w:pPr>
          </w:p>
        </w:tc>
      </w:tr>
      <w:tr w:rsidR="00EC7A1E" w:rsidRPr="00536127" w14:paraId="219E7FCB" w14:textId="77777777" w:rsidTr="00593F5E">
        <w:trPr>
          <w:trHeight w:hRule="exact" w:val="3345"/>
        </w:trPr>
        <w:tc>
          <w:tcPr>
            <w:tcW w:w="9622" w:type="dxa"/>
            <w:tcBorders>
              <w:top w:val="single" w:sz="5" w:space="0" w:color="000000"/>
              <w:left w:val="single" w:sz="5" w:space="0" w:color="000000"/>
              <w:bottom w:val="single" w:sz="5" w:space="0" w:color="000000"/>
              <w:right w:val="single" w:sz="5" w:space="0" w:color="000000"/>
            </w:tcBorders>
            <w:vAlign w:val="center"/>
          </w:tcPr>
          <w:p w14:paraId="4C6BAD42" w14:textId="77777777" w:rsidR="00536127" w:rsidRPr="00536127" w:rsidRDefault="00536127" w:rsidP="00536127">
            <w:pPr>
              <w:spacing w:before="144" w:line="192" w:lineRule="exact"/>
              <w:ind w:left="144"/>
              <w:textAlignment w:val="baseline"/>
              <w:rPr>
                <w:rFonts w:ascii="Tahoma" w:eastAsia="Tahoma" w:hAnsi="Tahoma"/>
                <w:color w:val="000000"/>
                <w:sz w:val="16"/>
                <w:lang w:val="fr-LU"/>
              </w:rPr>
            </w:pPr>
            <w:r w:rsidRPr="00536127">
              <w:rPr>
                <w:rFonts w:ascii="Tahoma" w:eastAsia="Tahoma" w:hAnsi="Tahoma"/>
                <w:color w:val="000000"/>
                <w:sz w:val="16"/>
                <w:lang w:val="fr-LU"/>
              </w:rPr>
              <w:t>La stratégie d’investissement prévoit les étapes suivantes :</w:t>
            </w:r>
          </w:p>
          <w:p w14:paraId="59E2A174" w14:textId="77777777" w:rsidR="00536127" w:rsidRPr="00536127" w:rsidRDefault="00536127" w:rsidP="00536127">
            <w:pPr>
              <w:numPr>
                <w:ilvl w:val="0"/>
                <w:numId w:val="6"/>
              </w:numPr>
              <w:spacing w:before="144" w:line="192" w:lineRule="exact"/>
              <w:textAlignment w:val="baseline"/>
              <w:rPr>
                <w:rFonts w:ascii="Tahoma" w:eastAsia="Tahoma" w:hAnsi="Tahoma"/>
                <w:color w:val="000000"/>
                <w:sz w:val="16"/>
                <w:lang w:val="fr-LU"/>
              </w:rPr>
            </w:pPr>
            <w:r w:rsidRPr="00536127">
              <w:rPr>
                <w:rFonts w:ascii="Tahoma" w:eastAsia="Tahoma" w:hAnsi="Tahoma"/>
                <w:color w:val="000000"/>
                <w:sz w:val="16"/>
                <w:lang w:val="fr-LU"/>
              </w:rPr>
              <w:t>Une fois acquise, chaque société en portefeuille dispose de 12 mois pour élaborer et publier un plan de transition définissant des actions concrètes (la « Période de Plan de Transition »).</w:t>
            </w:r>
          </w:p>
          <w:p w14:paraId="6658CF3B" w14:textId="77777777" w:rsidR="00536127" w:rsidRPr="00536127" w:rsidRDefault="00536127" w:rsidP="00536127">
            <w:pPr>
              <w:numPr>
                <w:ilvl w:val="0"/>
                <w:numId w:val="6"/>
              </w:numPr>
              <w:spacing w:before="144" w:line="192" w:lineRule="exact"/>
              <w:textAlignment w:val="baseline"/>
              <w:rPr>
                <w:rFonts w:ascii="Tahoma" w:eastAsia="Tahoma" w:hAnsi="Tahoma"/>
                <w:color w:val="000000"/>
                <w:sz w:val="16"/>
                <w:lang w:val="fr-LU"/>
              </w:rPr>
            </w:pPr>
            <w:r w:rsidRPr="00536127">
              <w:rPr>
                <w:rFonts w:ascii="Tahoma" w:eastAsia="Tahoma" w:hAnsi="Tahoma"/>
                <w:color w:val="000000"/>
                <w:sz w:val="16"/>
                <w:lang w:val="fr-LU"/>
              </w:rPr>
              <w:t>Ensuite, elle dispose de 24 mois pour atteindre les objectifs de durabilité fixés et mettre en œuvre ce plan (la « Période de Mise en Œuvre »).</w:t>
            </w:r>
          </w:p>
          <w:p w14:paraId="78130071" w14:textId="77777777" w:rsidR="00536127" w:rsidRPr="00536127" w:rsidRDefault="00536127" w:rsidP="00536127">
            <w:pPr>
              <w:spacing w:before="144" w:line="192" w:lineRule="exact"/>
              <w:ind w:left="144"/>
              <w:textAlignment w:val="baseline"/>
              <w:rPr>
                <w:rFonts w:ascii="Tahoma" w:eastAsia="Tahoma" w:hAnsi="Tahoma"/>
                <w:color w:val="000000"/>
                <w:sz w:val="16"/>
                <w:lang w:val="fr-LU"/>
              </w:rPr>
            </w:pPr>
            <w:r w:rsidRPr="00536127">
              <w:rPr>
                <w:rFonts w:ascii="Tahoma" w:eastAsia="Tahoma" w:hAnsi="Tahoma"/>
                <w:color w:val="000000"/>
                <w:sz w:val="16"/>
                <w:lang w:val="fr-LU"/>
              </w:rPr>
              <w:t>La Période de Transition totale ne doit donc pas dépasser 36 mois, sauf en cas d’événement majeur de fusion ou acquisition, qui pourrait entraîner un redémarrage de cette période.</w:t>
            </w:r>
          </w:p>
          <w:p w14:paraId="0C04F27A" w14:textId="77777777" w:rsidR="00536127" w:rsidRPr="00536127" w:rsidRDefault="00536127" w:rsidP="00536127">
            <w:pPr>
              <w:spacing w:before="144" w:line="192" w:lineRule="exact"/>
              <w:ind w:left="144"/>
              <w:textAlignment w:val="baseline"/>
              <w:rPr>
                <w:rFonts w:ascii="Tahoma" w:eastAsia="Tahoma" w:hAnsi="Tahoma"/>
                <w:color w:val="000000"/>
                <w:sz w:val="16"/>
                <w:lang w:val="fr-LU"/>
              </w:rPr>
            </w:pPr>
            <w:r w:rsidRPr="00536127">
              <w:rPr>
                <w:rFonts w:ascii="Tahoma" w:eastAsia="Tahoma" w:hAnsi="Tahoma"/>
                <w:color w:val="000000"/>
                <w:sz w:val="16"/>
                <w:lang w:val="fr-LU"/>
              </w:rPr>
              <w:t>Pendant cette période, sauf retard, les sociétés sont considérées comme actives dans la mise en œuvre des caractéristiques environnementales ou sociales promues.</w:t>
            </w:r>
          </w:p>
          <w:p w14:paraId="34D6FCE0" w14:textId="2A847366" w:rsidR="00536127" w:rsidRPr="00536127" w:rsidRDefault="00536127" w:rsidP="00536127">
            <w:pPr>
              <w:spacing w:before="144" w:line="192" w:lineRule="exact"/>
              <w:ind w:left="144"/>
              <w:textAlignment w:val="baseline"/>
              <w:rPr>
                <w:rFonts w:ascii="Tahoma" w:eastAsia="Tahoma" w:hAnsi="Tahoma"/>
                <w:color w:val="000000"/>
                <w:sz w:val="16"/>
                <w:lang w:val="fr-LU"/>
              </w:rPr>
            </w:pPr>
            <w:r w:rsidRPr="00536127">
              <w:rPr>
                <w:rFonts w:ascii="Tahoma" w:eastAsia="Tahoma" w:hAnsi="Tahoma"/>
                <w:color w:val="000000"/>
                <w:sz w:val="16"/>
                <w:lang w:val="fr-LU"/>
              </w:rPr>
              <w:t xml:space="preserve">Le </w:t>
            </w:r>
            <w:r>
              <w:rPr>
                <w:rFonts w:ascii="Tahoma" w:eastAsia="Tahoma" w:hAnsi="Tahoma"/>
                <w:color w:val="000000"/>
                <w:sz w:val="16"/>
                <w:lang w:val="fr-LU"/>
              </w:rPr>
              <w:t>Fond</w:t>
            </w:r>
            <w:r w:rsidRPr="00536127">
              <w:rPr>
                <w:rFonts w:ascii="Tahoma" w:eastAsia="Tahoma" w:hAnsi="Tahoma"/>
                <w:color w:val="000000"/>
                <w:sz w:val="16"/>
                <w:lang w:val="fr-LU"/>
              </w:rPr>
              <w:t xml:space="preserve"> Maître vise à atteindre le seuil minimum défini au cours de l’exercice suivant la phase de déploiement initial.</w:t>
            </w:r>
          </w:p>
          <w:p w14:paraId="36AFECF3" w14:textId="77777777" w:rsidR="00536127" w:rsidRPr="00536127" w:rsidRDefault="00536127" w:rsidP="00536127">
            <w:pPr>
              <w:spacing w:before="144" w:line="192" w:lineRule="exact"/>
              <w:ind w:left="144"/>
              <w:textAlignment w:val="baseline"/>
              <w:rPr>
                <w:rFonts w:ascii="Tahoma" w:eastAsia="Tahoma" w:hAnsi="Tahoma"/>
                <w:color w:val="000000"/>
                <w:sz w:val="16"/>
                <w:lang w:val="fr-LU"/>
              </w:rPr>
            </w:pPr>
            <w:r w:rsidRPr="00536127">
              <w:rPr>
                <w:rFonts w:ascii="Tahoma" w:eastAsia="Tahoma" w:hAnsi="Tahoma"/>
                <w:color w:val="000000"/>
                <w:sz w:val="16"/>
                <w:lang w:val="fr-LU"/>
              </w:rPr>
              <w:t>Le gestionnaire du Compartiment Maître (le « Gestionnaire »), en tant que gestionnaire de portefeuille, a mis en place une grille d’évaluation pour suivre régulièrement l’adhésion des sociétés en portefeuille aux bonnes pratiques éthiques et de gouvernance.</w:t>
            </w:r>
          </w:p>
          <w:p w14:paraId="39AC49F8" w14:textId="186DEEB7" w:rsidR="00EC7A1E" w:rsidRPr="00536127" w:rsidRDefault="00EC7A1E" w:rsidP="0034713A">
            <w:pPr>
              <w:spacing w:before="73" w:after="86" w:line="205" w:lineRule="exact"/>
              <w:ind w:left="144"/>
              <w:textAlignment w:val="baseline"/>
              <w:rPr>
                <w:rFonts w:ascii="Tahoma" w:eastAsia="Tahoma" w:hAnsi="Tahoma"/>
                <w:b/>
                <w:color w:val="000000"/>
                <w:sz w:val="16"/>
                <w:lang w:val="fr-LU"/>
              </w:rPr>
            </w:pPr>
          </w:p>
        </w:tc>
      </w:tr>
      <w:tr w:rsidR="00EC7A1E" w14:paraId="0E290CDE" w14:textId="77777777" w:rsidTr="00593F5E">
        <w:trPr>
          <w:trHeight w:hRule="exact" w:val="374"/>
        </w:trPr>
        <w:tc>
          <w:tcPr>
            <w:tcW w:w="9622" w:type="dxa"/>
            <w:tcBorders>
              <w:top w:val="single" w:sz="5" w:space="0" w:color="000000"/>
              <w:left w:val="single" w:sz="5" w:space="0" w:color="000000"/>
              <w:bottom w:val="single" w:sz="5" w:space="0" w:color="000000"/>
              <w:right w:val="single" w:sz="5" w:space="0" w:color="000000"/>
            </w:tcBorders>
            <w:vAlign w:val="center"/>
          </w:tcPr>
          <w:p w14:paraId="35455416" w14:textId="77777777" w:rsidR="00536127" w:rsidRPr="00536127" w:rsidRDefault="00536127" w:rsidP="00536127">
            <w:pPr>
              <w:spacing w:before="73" w:after="91" w:line="205" w:lineRule="exact"/>
              <w:ind w:left="144"/>
              <w:textAlignment w:val="baseline"/>
              <w:rPr>
                <w:rFonts w:ascii="Tahoma" w:eastAsia="Tahoma" w:hAnsi="Tahoma"/>
                <w:b/>
                <w:bCs/>
                <w:color w:val="000000"/>
                <w:sz w:val="16"/>
                <w:lang w:val="fr-LU"/>
              </w:rPr>
            </w:pPr>
            <w:r w:rsidRPr="00536127">
              <w:rPr>
                <w:rFonts w:ascii="Tahoma" w:eastAsia="Tahoma" w:hAnsi="Tahoma"/>
                <w:b/>
                <w:bCs/>
                <w:color w:val="000000"/>
                <w:sz w:val="16"/>
                <w:lang w:val="fr-LU"/>
              </w:rPr>
              <w:t>Proportion des investissements</w:t>
            </w:r>
          </w:p>
          <w:p w14:paraId="58995A46" w14:textId="652771CB" w:rsidR="00EC7A1E" w:rsidRDefault="00EC7A1E" w:rsidP="0034713A">
            <w:pPr>
              <w:spacing w:before="73" w:after="91" w:line="205" w:lineRule="exact"/>
              <w:ind w:left="144"/>
              <w:textAlignment w:val="baseline"/>
              <w:rPr>
                <w:rFonts w:ascii="Tahoma" w:eastAsia="Tahoma" w:hAnsi="Tahoma"/>
                <w:b/>
                <w:color w:val="000000"/>
                <w:sz w:val="16"/>
              </w:rPr>
            </w:pPr>
          </w:p>
        </w:tc>
      </w:tr>
      <w:tr w:rsidR="00EC7A1E" w:rsidRPr="00536127" w14:paraId="30939FCD" w14:textId="77777777" w:rsidTr="00593F5E">
        <w:trPr>
          <w:trHeight w:hRule="exact" w:val="624"/>
        </w:trPr>
        <w:tc>
          <w:tcPr>
            <w:tcW w:w="9622" w:type="dxa"/>
            <w:tcBorders>
              <w:top w:val="single" w:sz="5" w:space="0" w:color="000000"/>
              <w:left w:val="single" w:sz="5" w:space="0" w:color="000000"/>
              <w:bottom w:val="single" w:sz="5" w:space="0" w:color="000000"/>
              <w:right w:val="single" w:sz="5" w:space="0" w:color="000000"/>
            </w:tcBorders>
          </w:tcPr>
          <w:p w14:paraId="57DF6788" w14:textId="34EC4B37" w:rsidR="00EC7A1E" w:rsidRPr="00536127" w:rsidRDefault="00536127" w:rsidP="0034713A">
            <w:pPr>
              <w:spacing w:before="102" w:after="66" w:line="230" w:lineRule="exact"/>
              <w:ind w:left="144" w:right="108"/>
              <w:jc w:val="both"/>
              <w:textAlignment w:val="baseline"/>
              <w:rPr>
                <w:rFonts w:ascii="Tahoma" w:eastAsia="Tahoma" w:hAnsi="Tahoma"/>
                <w:color w:val="000000"/>
                <w:sz w:val="16"/>
                <w:lang w:val="fr-LU"/>
              </w:rPr>
            </w:pPr>
            <w:r w:rsidRPr="00536127">
              <w:rPr>
                <w:rFonts w:ascii="Tahoma" w:eastAsia="Tahoma" w:hAnsi="Tahoma"/>
                <w:color w:val="000000"/>
                <w:sz w:val="16"/>
                <w:lang w:val="fr-LU"/>
              </w:rPr>
              <w:t xml:space="preserve">Le </w:t>
            </w:r>
            <w:r>
              <w:rPr>
                <w:rFonts w:ascii="Tahoma" w:eastAsia="Tahoma" w:hAnsi="Tahoma"/>
                <w:color w:val="000000"/>
                <w:sz w:val="16"/>
                <w:lang w:val="fr-LU"/>
              </w:rPr>
              <w:t>Fond</w:t>
            </w:r>
            <w:r w:rsidRPr="00536127">
              <w:rPr>
                <w:rFonts w:ascii="Tahoma" w:eastAsia="Tahoma" w:hAnsi="Tahoma"/>
                <w:color w:val="000000"/>
                <w:sz w:val="16"/>
                <w:lang w:val="fr-LU"/>
              </w:rPr>
              <w:t xml:space="preserve"> Maître vise à investir au moins 50 % de son capital dans des sociétés respectant la méthodologie du Gestionnaire pour atteindre les caractéristiques promues.</w:t>
            </w:r>
          </w:p>
        </w:tc>
      </w:tr>
      <w:tr w:rsidR="00EC7A1E" w:rsidRPr="00536127" w14:paraId="33D804BE" w14:textId="77777777" w:rsidTr="00593F5E">
        <w:trPr>
          <w:trHeight w:hRule="exact" w:val="375"/>
        </w:trPr>
        <w:tc>
          <w:tcPr>
            <w:tcW w:w="9622" w:type="dxa"/>
            <w:tcBorders>
              <w:top w:val="single" w:sz="5" w:space="0" w:color="000000"/>
              <w:left w:val="single" w:sz="5" w:space="0" w:color="000000"/>
              <w:bottom w:val="single" w:sz="5" w:space="0" w:color="000000"/>
              <w:right w:val="single" w:sz="5" w:space="0" w:color="000000"/>
            </w:tcBorders>
            <w:vAlign w:val="center"/>
          </w:tcPr>
          <w:p w14:paraId="3359034C" w14:textId="77777777" w:rsidR="00536127" w:rsidRPr="00536127" w:rsidRDefault="00536127" w:rsidP="00536127">
            <w:pPr>
              <w:spacing w:before="73" w:after="96" w:line="205" w:lineRule="exact"/>
              <w:ind w:left="144"/>
              <w:textAlignment w:val="baseline"/>
              <w:rPr>
                <w:rFonts w:ascii="Tahoma" w:eastAsia="Tahoma" w:hAnsi="Tahoma"/>
                <w:b/>
                <w:bCs/>
                <w:color w:val="000000"/>
                <w:sz w:val="16"/>
                <w:lang w:val="fr-LU"/>
              </w:rPr>
            </w:pPr>
            <w:r w:rsidRPr="00536127">
              <w:rPr>
                <w:rFonts w:ascii="Tahoma" w:eastAsia="Tahoma" w:hAnsi="Tahoma"/>
                <w:b/>
                <w:bCs/>
                <w:color w:val="000000"/>
                <w:sz w:val="16"/>
                <w:lang w:val="fr-LU"/>
              </w:rPr>
              <w:t>Suivi des caractéristiques environnementales ou sociales</w:t>
            </w:r>
          </w:p>
          <w:p w14:paraId="2A665BAF" w14:textId="74C1369C" w:rsidR="00EC7A1E" w:rsidRPr="00536127" w:rsidRDefault="00EC7A1E" w:rsidP="0034713A">
            <w:pPr>
              <w:spacing w:before="73" w:after="96" w:line="205" w:lineRule="exact"/>
              <w:ind w:left="144"/>
              <w:textAlignment w:val="baseline"/>
              <w:rPr>
                <w:rFonts w:ascii="Tahoma" w:eastAsia="Tahoma" w:hAnsi="Tahoma"/>
                <w:b/>
                <w:color w:val="000000"/>
                <w:sz w:val="16"/>
                <w:lang w:val="fr-LU"/>
              </w:rPr>
            </w:pPr>
          </w:p>
        </w:tc>
      </w:tr>
      <w:tr w:rsidR="00EC7A1E" w:rsidRPr="008E3EB7" w14:paraId="1B13F295" w14:textId="77777777" w:rsidTr="00593F5E">
        <w:trPr>
          <w:trHeight w:hRule="exact" w:val="2324"/>
        </w:trPr>
        <w:tc>
          <w:tcPr>
            <w:tcW w:w="9622" w:type="dxa"/>
            <w:tcBorders>
              <w:top w:val="single" w:sz="5" w:space="0" w:color="000000"/>
              <w:left w:val="single" w:sz="5" w:space="0" w:color="000000"/>
              <w:bottom w:val="single" w:sz="5" w:space="0" w:color="000000"/>
              <w:right w:val="single" w:sz="5" w:space="0" w:color="000000"/>
            </w:tcBorders>
          </w:tcPr>
          <w:p w14:paraId="39D5C424" w14:textId="0DB7F835" w:rsidR="00C77576" w:rsidRPr="00C77576" w:rsidRDefault="00C77576" w:rsidP="00C77576">
            <w:pPr>
              <w:spacing w:before="102" w:line="228" w:lineRule="exact"/>
              <w:ind w:left="144" w:right="108"/>
              <w:jc w:val="both"/>
              <w:textAlignment w:val="baseline"/>
              <w:rPr>
                <w:rFonts w:ascii="Tahoma" w:eastAsia="Tahoma" w:hAnsi="Tahoma"/>
                <w:color w:val="000000"/>
                <w:sz w:val="16"/>
                <w:lang w:val="fr-LU"/>
              </w:rPr>
            </w:pPr>
            <w:r w:rsidRPr="00C77576">
              <w:rPr>
                <w:rFonts w:ascii="Tahoma" w:eastAsia="Tahoma" w:hAnsi="Tahoma"/>
                <w:color w:val="000000"/>
                <w:sz w:val="16"/>
                <w:lang w:val="fr-LU"/>
              </w:rPr>
              <w:t xml:space="preserve">Pendant la phase </w:t>
            </w:r>
            <w:r w:rsidRPr="00C77576">
              <w:rPr>
                <w:rFonts w:ascii="Tahoma" w:eastAsia="Tahoma" w:hAnsi="Tahoma"/>
                <w:color w:val="000000"/>
                <w:sz w:val="16"/>
                <w:lang w:val="fr-LU"/>
              </w:rPr>
              <w:t>préinvestissement</w:t>
            </w:r>
            <w:r w:rsidRPr="00C77576">
              <w:rPr>
                <w:rFonts w:ascii="Tahoma" w:eastAsia="Tahoma" w:hAnsi="Tahoma"/>
                <w:color w:val="000000"/>
                <w:sz w:val="16"/>
                <w:lang w:val="fr-LU"/>
              </w:rPr>
              <w:t>, le Gestionnaire identifiera, à travers un processus de due diligence, les initiatives nécessaires pour aligner les sociétés en portefeuille sur les caractéristiques environnementales et sociales promues, ainsi que sur les indicateurs clés de performance prédéfinis (les « indicateurs de durabilité »).</w:t>
            </w:r>
          </w:p>
          <w:p w14:paraId="58D26EB8" w14:textId="77777777" w:rsidR="00C77576" w:rsidRPr="00C77576" w:rsidRDefault="00C77576" w:rsidP="00C77576">
            <w:pPr>
              <w:spacing w:before="102" w:line="228" w:lineRule="exact"/>
              <w:ind w:left="144" w:right="108"/>
              <w:jc w:val="both"/>
              <w:textAlignment w:val="baseline"/>
              <w:rPr>
                <w:rFonts w:ascii="Tahoma" w:eastAsia="Tahoma" w:hAnsi="Tahoma"/>
                <w:color w:val="000000"/>
                <w:sz w:val="16"/>
                <w:lang w:val="fr-LU"/>
              </w:rPr>
            </w:pPr>
            <w:r w:rsidRPr="00C77576">
              <w:rPr>
                <w:rFonts w:ascii="Tahoma" w:eastAsia="Tahoma" w:hAnsi="Tahoma"/>
                <w:color w:val="000000"/>
                <w:sz w:val="16"/>
                <w:lang w:val="fr-LU"/>
              </w:rPr>
              <w:t>Durant la Période de Transition, le Gestionnaire exigera des sociétés concernées qu’elles rendent compte, sur une base semestrielle, de leurs progrès vers l’atteinte des indicateurs de durabilité. Ces progrès sont évalués selon les étapes suivantes : adoption d’un plan de transition et avancement par rapport au plan approuvé par la société en portefeuille.</w:t>
            </w:r>
          </w:p>
          <w:p w14:paraId="1BEE7A4A" w14:textId="77777777" w:rsidR="00C77576" w:rsidRPr="00C77576" w:rsidRDefault="00C77576" w:rsidP="00C77576">
            <w:pPr>
              <w:spacing w:before="102" w:line="228" w:lineRule="exact"/>
              <w:ind w:left="144" w:right="108"/>
              <w:jc w:val="both"/>
              <w:textAlignment w:val="baseline"/>
              <w:rPr>
                <w:rFonts w:ascii="Tahoma" w:eastAsia="Tahoma" w:hAnsi="Tahoma"/>
                <w:color w:val="000000"/>
                <w:sz w:val="16"/>
                <w:lang w:val="fr-LU"/>
              </w:rPr>
            </w:pPr>
            <w:r w:rsidRPr="00C77576">
              <w:rPr>
                <w:rFonts w:ascii="Tahoma" w:eastAsia="Tahoma" w:hAnsi="Tahoma"/>
                <w:color w:val="000000"/>
                <w:sz w:val="16"/>
                <w:lang w:val="fr-LU"/>
              </w:rPr>
              <w:t>À l’issue de la Période de Transition, le Gestionnaire évalue et suit le développement des sociétés en portefeuille au regard des caractéristiques environnementales et sociales promues, en s’appuyant sur les indicateurs prédéfinis.</w:t>
            </w:r>
          </w:p>
          <w:p w14:paraId="6F9AA760" w14:textId="5D2A4F2B" w:rsidR="008E3EB7" w:rsidRPr="008E3EB7" w:rsidRDefault="008E3EB7" w:rsidP="008E3EB7">
            <w:pPr>
              <w:rPr>
                <w:rFonts w:ascii="Tahoma" w:eastAsia="Tahoma" w:hAnsi="Tahoma"/>
                <w:sz w:val="16"/>
                <w:lang w:val="fr-LU"/>
              </w:rPr>
            </w:pPr>
          </w:p>
        </w:tc>
      </w:tr>
      <w:tr w:rsidR="00EC7A1E" w14:paraId="34F290B4" w14:textId="77777777" w:rsidTr="00593F5E">
        <w:trPr>
          <w:trHeight w:hRule="exact" w:val="384"/>
        </w:trPr>
        <w:tc>
          <w:tcPr>
            <w:tcW w:w="9622" w:type="dxa"/>
            <w:tcBorders>
              <w:top w:val="single" w:sz="5" w:space="0" w:color="000000"/>
              <w:left w:val="single" w:sz="5" w:space="0" w:color="000000"/>
              <w:bottom w:val="single" w:sz="5" w:space="0" w:color="000000"/>
              <w:right w:val="single" w:sz="5" w:space="0" w:color="000000"/>
            </w:tcBorders>
            <w:vAlign w:val="center"/>
          </w:tcPr>
          <w:p w14:paraId="674DF666" w14:textId="4ED15E6A" w:rsidR="00EC7A1E" w:rsidRDefault="008E3EB7" w:rsidP="008E3EB7">
            <w:pPr>
              <w:spacing w:before="83" w:after="82" w:line="205" w:lineRule="exact"/>
              <w:textAlignment w:val="baseline"/>
              <w:rPr>
                <w:rFonts w:ascii="Tahoma" w:eastAsia="Tahoma" w:hAnsi="Tahoma"/>
                <w:b/>
                <w:color w:val="000000"/>
                <w:sz w:val="16"/>
              </w:rPr>
            </w:pPr>
            <w:r w:rsidRPr="00C77576">
              <w:rPr>
                <w:rFonts w:ascii="Tahoma" w:eastAsia="Tahoma" w:hAnsi="Tahoma"/>
                <w:b/>
                <w:color w:val="000000"/>
                <w:sz w:val="16"/>
                <w:lang w:val="fr-LU"/>
              </w:rPr>
              <w:t xml:space="preserve"> </w:t>
            </w:r>
            <w:proofErr w:type="spellStart"/>
            <w:r w:rsidR="00EC7A1E">
              <w:rPr>
                <w:rFonts w:ascii="Tahoma" w:eastAsia="Tahoma" w:hAnsi="Tahoma"/>
                <w:b/>
                <w:color w:val="000000"/>
                <w:sz w:val="16"/>
              </w:rPr>
              <w:t>M</w:t>
            </w:r>
            <w:r>
              <w:rPr>
                <w:rFonts w:ascii="Tahoma" w:eastAsia="Tahoma" w:hAnsi="Tahoma"/>
                <w:b/>
                <w:color w:val="000000"/>
                <w:sz w:val="16"/>
              </w:rPr>
              <w:t>é</w:t>
            </w:r>
            <w:r w:rsidR="00EC7A1E">
              <w:rPr>
                <w:rFonts w:ascii="Tahoma" w:eastAsia="Tahoma" w:hAnsi="Tahoma"/>
                <w:b/>
                <w:color w:val="000000"/>
                <w:sz w:val="16"/>
              </w:rPr>
              <w:t>thodologies</w:t>
            </w:r>
            <w:proofErr w:type="spellEnd"/>
          </w:p>
        </w:tc>
      </w:tr>
      <w:tr w:rsidR="00EC7A1E" w:rsidRPr="00A24794" w14:paraId="69DD2F96" w14:textId="77777777" w:rsidTr="00593F5E">
        <w:trPr>
          <w:trHeight w:hRule="exact" w:val="2093"/>
        </w:trPr>
        <w:tc>
          <w:tcPr>
            <w:tcW w:w="9622" w:type="dxa"/>
            <w:tcBorders>
              <w:top w:val="single" w:sz="5" w:space="0" w:color="000000"/>
              <w:left w:val="single" w:sz="5" w:space="0" w:color="000000"/>
              <w:bottom w:val="single" w:sz="5" w:space="0" w:color="000000"/>
              <w:right w:val="single" w:sz="5" w:space="0" w:color="000000"/>
            </w:tcBorders>
          </w:tcPr>
          <w:p w14:paraId="0490CBD6" w14:textId="77777777" w:rsidR="002F0786" w:rsidRDefault="00A24794" w:rsidP="002F0786">
            <w:pPr>
              <w:pStyle w:val="ListParagraph"/>
              <w:numPr>
                <w:ilvl w:val="0"/>
                <w:numId w:val="8"/>
              </w:numPr>
              <w:tabs>
                <w:tab w:val="left" w:pos="720"/>
              </w:tabs>
              <w:spacing w:before="108" w:line="225" w:lineRule="exact"/>
              <w:ind w:right="108"/>
              <w:jc w:val="both"/>
              <w:textAlignment w:val="baseline"/>
              <w:rPr>
                <w:rFonts w:ascii="Tahoma" w:eastAsia="Tahoma" w:hAnsi="Tahoma"/>
                <w:color w:val="000000"/>
                <w:sz w:val="16"/>
                <w:lang w:val="fr-LU"/>
              </w:rPr>
            </w:pPr>
            <w:r w:rsidRPr="002F0786">
              <w:rPr>
                <w:rFonts w:ascii="Tahoma" w:eastAsia="Tahoma" w:hAnsi="Tahoma"/>
                <w:color w:val="000000"/>
                <w:sz w:val="16"/>
                <w:lang w:val="fr-LU"/>
              </w:rPr>
              <w:t>Climat (émissions de GES) : suivi de l’adoption d’objectifs scientifiques de décarbonation (</w:t>
            </w:r>
            <w:r w:rsidRPr="002F0786">
              <w:rPr>
                <w:rFonts w:ascii="Tahoma" w:eastAsia="Tahoma" w:hAnsi="Tahoma"/>
                <w:i/>
                <w:iCs/>
                <w:color w:val="000000"/>
                <w:sz w:val="16"/>
                <w:lang w:val="fr-LU"/>
              </w:rPr>
              <w:t xml:space="preserve">Science </w:t>
            </w:r>
            <w:proofErr w:type="spellStart"/>
            <w:r w:rsidRPr="002F0786">
              <w:rPr>
                <w:rFonts w:ascii="Tahoma" w:eastAsia="Tahoma" w:hAnsi="Tahoma"/>
                <w:i/>
                <w:iCs/>
                <w:color w:val="000000"/>
                <w:sz w:val="16"/>
                <w:lang w:val="fr-LU"/>
              </w:rPr>
              <w:t>Based</w:t>
            </w:r>
            <w:proofErr w:type="spellEnd"/>
            <w:r w:rsidRPr="002F0786">
              <w:rPr>
                <w:rFonts w:ascii="Tahoma" w:eastAsia="Tahoma" w:hAnsi="Tahoma"/>
                <w:i/>
                <w:iCs/>
                <w:color w:val="000000"/>
                <w:sz w:val="16"/>
                <w:lang w:val="fr-LU"/>
              </w:rPr>
              <w:t xml:space="preserve"> </w:t>
            </w:r>
            <w:proofErr w:type="spellStart"/>
            <w:r w:rsidRPr="002F0786">
              <w:rPr>
                <w:rFonts w:ascii="Tahoma" w:eastAsia="Tahoma" w:hAnsi="Tahoma"/>
                <w:i/>
                <w:iCs/>
                <w:color w:val="000000"/>
                <w:sz w:val="16"/>
                <w:lang w:val="fr-LU"/>
              </w:rPr>
              <w:t>Targets</w:t>
            </w:r>
            <w:proofErr w:type="spellEnd"/>
            <w:r w:rsidRPr="002F0786">
              <w:rPr>
                <w:rFonts w:ascii="Tahoma" w:eastAsia="Tahoma" w:hAnsi="Tahoma"/>
                <w:color w:val="000000"/>
                <w:sz w:val="16"/>
                <w:lang w:val="fr-LU"/>
              </w:rPr>
              <w:t>) et/ou de la publication annuelle de rapports conformes au TCFD.</w:t>
            </w:r>
          </w:p>
          <w:p w14:paraId="0C13AC59" w14:textId="5F52BFB1" w:rsidR="00A24794" w:rsidRPr="002F0786" w:rsidRDefault="00A24794" w:rsidP="002F0786">
            <w:pPr>
              <w:pStyle w:val="ListParagraph"/>
              <w:numPr>
                <w:ilvl w:val="0"/>
                <w:numId w:val="8"/>
              </w:numPr>
              <w:tabs>
                <w:tab w:val="left" w:pos="720"/>
              </w:tabs>
              <w:spacing w:before="108" w:line="225" w:lineRule="exact"/>
              <w:ind w:right="108"/>
              <w:jc w:val="both"/>
              <w:textAlignment w:val="baseline"/>
              <w:rPr>
                <w:rFonts w:ascii="Tahoma" w:eastAsia="Tahoma" w:hAnsi="Tahoma"/>
                <w:color w:val="000000"/>
                <w:sz w:val="16"/>
                <w:lang w:val="fr-LU"/>
              </w:rPr>
            </w:pPr>
            <w:r w:rsidRPr="002F0786">
              <w:rPr>
                <w:rFonts w:ascii="Tahoma" w:eastAsia="Tahoma" w:hAnsi="Tahoma"/>
                <w:color w:val="000000"/>
                <w:sz w:val="16"/>
                <w:lang w:val="fr-LU"/>
              </w:rPr>
              <w:t>Égalité des chances, diversité et inclusion : suivi de la représentation féminine au sein du conseil d’administration, avec un objectif d’au moins 30 %.</w:t>
            </w:r>
          </w:p>
          <w:p w14:paraId="69C79265" w14:textId="77777777" w:rsidR="00A24794" w:rsidRPr="00A24794" w:rsidRDefault="00A24794" w:rsidP="002F0786">
            <w:pPr>
              <w:tabs>
                <w:tab w:val="left" w:pos="720"/>
              </w:tabs>
              <w:spacing w:before="108" w:line="225" w:lineRule="exact"/>
              <w:ind w:right="108"/>
              <w:jc w:val="both"/>
              <w:textAlignment w:val="baseline"/>
              <w:rPr>
                <w:rFonts w:ascii="Tahoma" w:eastAsia="Tahoma" w:hAnsi="Tahoma"/>
                <w:color w:val="000000"/>
                <w:sz w:val="16"/>
                <w:lang w:val="fr-LU"/>
              </w:rPr>
            </w:pPr>
            <w:r w:rsidRPr="00A24794">
              <w:rPr>
                <w:rFonts w:ascii="Tahoma" w:eastAsia="Tahoma" w:hAnsi="Tahoma"/>
                <w:color w:val="000000"/>
                <w:sz w:val="16"/>
                <w:lang w:val="fr-LU"/>
              </w:rPr>
              <w:t>En cas de données insuffisantes, le Gestionnaire collabore étroitement avec les sociétés concernées pour leur fournir le soutien nécessaire.</w:t>
            </w:r>
          </w:p>
          <w:p w14:paraId="0441C2DC" w14:textId="14A3FBE7" w:rsidR="00EC7A1E" w:rsidRPr="00A24794" w:rsidRDefault="00EC7A1E" w:rsidP="0034713A">
            <w:pPr>
              <w:spacing w:before="106" w:after="62" w:line="230" w:lineRule="exact"/>
              <w:ind w:left="144" w:right="108"/>
              <w:jc w:val="both"/>
              <w:textAlignment w:val="baseline"/>
              <w:rPr>
                <w:rFonts w:ascii="Tahoma" w:eastAsia="Tahoma" w:hAnsi="Tahoma"/>
                <w:color w:val="000000"/>
                <w:sz w:val="16"/>
                <w:lang w:val="fr-LU"/>
              </w:rPr>
            </w:pPr>
          </w:p>
        </w:tc>
      </w:tr>
      <w:tr w:rsidR="00EC7A1E" w14:paraId="33957917" w14:textId="77777777" w:rsidTr="00593F5E">
        <w:trPr>
          <w:trHeight w:hRule="exact" w:val="374"/>
        </w:trPr>
        <w:tc>
          <w:tcPr>
            <w:tcW w:w="9622" w:type="dxa"/>
            <w:tcBorders>
              <w:top w:val="single" w:sz="5" w:space="0" w:color="000000"/>
              <w:left w:val="single" w:sz="5" w:space="0" w:color="000000"/>
              <w:bottom w:val="single" w:sz="5" w:space="0" w:color="000000"/>
              <w:right w:val="single" w:sz="5" w:space="0" w:color="000000"/>
            </w:tcBorders>
            <w:vAlign w:val="center"/>
          </w:tcPr>
          <w:p w14:paraId="456A9CEB" w14:textId="77777777" w:rsidR="00BC5533" w:rsidRPr="00BC5533" w:rsidRDefault="00BC5533" w:rsidP="00BC5533">
            <w:pPr>
              <w:spacing w:before="78" w:after="86" w:line="205" w:lineRule="exact"/>
              <w:ind w:left="72"/>
              <w:textAlignment w:val="baseline"/>
              <w:rPr>
                <w:rFonts w:ascii="Tahoma" w:eastAsia="Tahoma" w:hAnsi="Tahoma"/>
                <w:b/>
                <w:bCs/>
                <w:color w:val="000000"/>
                <w:sz w:val="16"/>
                <w:lang w:val="fr-LU"/>
              </w:rPr>
            </w:pPr>
            <w:r w:rsidRPr="00BC5533">
              <w:rPr>
                <w:rFonts w:ascii="Tahoma" w:eastAsia="Tahoma" w:hAnsi="Tahoma"/>
                <w:b/>
                <w:bCs/>
                <w:color w:val="000000"/>
                <w:sz w:val="16"/>
                <w:lang w:val="fr-LU"/>
              </w:rPr>
              <w:t>Sources et traitement des données</w:t>
            </w:r>
          </w:p>
          <w:p w14:paraId="65777A23" w14:textId="778E4655" w:rsidR="00EC7A1E" w:rsidRDefault="00EC7A1E" w:rsidP="0034713A">
            <w:pPr>
              <w:spacing w:before="78" w:after="86" w:line="205" w:lineRule="exact"/>
              <w:ind w:left="72"/>
              <w:textAlignment w:val="baseline"/>
              <w:rPr>
                <w:rFonts w:ascii="Tahoma" w:eastAsia="Tahoma" w:hAnsi="Tahoma"/>
                <w:b/>
                <w:color w:val="000000"/>
                <w:sz w:val="16"/>
              </w:rPr>
            </w:pPr>
          </w:p>
        </w:tc>
      </w:tr>
      <w:tr w:rsidR="00EC7A1E" w:rsidRPr="00711392" w14:paraId="7D1E4B27" w14:textId="77777777" w:rsidTr="00593F5E">
        <w:trPr>
          <w:trHeight w:hRule="exact" w:val="859"/>
        </w:trPr>
        <w:tc>
          <w:tcPr>
            <w:tcW w:w="9622" w:type="dxa"/>
            <w:tcBorders>
              <w:top w:val="single" w:sz="5" w:space="0" w:color="000000"/>
              <w:left w:val="single" w:sz="5" w:space="0" w:color="000000"/>
              <w:bottom w:val="single" w:sz="5" w:space="0" w:color="000000"/>
              <w:right w:val="single" w:sz="5" w:space="0" w:color="000000"/>
            </w:tcBorders>
          </w:tcPr>
          <w:p w14:paraId="0853422C" w14:textId="0B855835" w:rsidR="00EC7A1E" w:rsidRPr="00711392" w:rsidRDefault="00711392" w:rsidP="0034713A">
            <w:pPr>
              <w:spacing w:before="104" w:after="57" w:line="228" w:lineRule="exact"/>
              <w:ind w:left="144" w:right="108"/>
              <w:jc w:val="both"/>
              <w:textAlignment w:val="baseline"/>
              <w:rPr>
                <w:rFonts w:ascii="Tahoma" w:eastAsia="Tahoma" w:hAnsi="Tahoma"/>
                <w:color w:val="000000"/>
                <w:spacing w:val="6"/>
                <w:sz w:val="16"/>
                <w:lang w:val="fr-LU"/>
              </w:rPr>
            </w:pPr>
            <w:r w:rsidRPr="00711392">
              <w:rPr>
                <w:rFonts w:ascii="Tahoma" w:eastAsia="Tahoma" w:hAnsi="Tahoma"/>
                <w:color w:val="000000"/>
                <w:spacing w:val="6"/>
                <w:sz w:val="16"/>
                <w:lang w:val="fr-LU"/>
              </w:rPr>
              <w:lastRenderedPageBreak/>
              <w:t xml:space="preserve">Après la Période de Transition, le Gestionnaire, via son </w:t>
            </w:r>
            <w:proofErr w:type="spellStart"/>
            <w:r w:rsidRPr="00711392">
              <w:rPr>
                <w:rFonts w:ascii="Tahoma" w:eastAsia="Tahoma" w:hAnsi="Tahoma"/>
                <w:color w:val="000000"/>
                <w:spacing w:val="6"/>
                <w:sz w:val="16"/>
                <w:lang w:val="fr-LU"/>
              </w:rPr>
              <w:t>co</w:t>
            </w:r>
            <w:proofErr w:type="spellEnd"/>
            <w:r w:rsidRPr="00711392">
              <w:rPr>
                <w:rFonts w:ascii="Tahoma" w:eastAsia="Tahoma" w:hAnsi="Tahoma"/>
                <w:color w:val="000000"/>
                <w:spacing w:val="6"/>
                <w:sz w:val="16"/>
                <w:lang w:val="fr-LU"/>
              </w:rPr>
              <w:t>-investisseur JAB, collecte les données ESG au moins une fois par an à l’aide d’un questionnaire envoyé aux sociétés en portefeuille.</w:t>
            </w:r>
          </w:p>
        </w:tc>
      </w:tr>
      <w:tr w:rsidR="00EC7A1E" w:rsidRPr="008954DA" w14:paraId="49D2A45D" w14:textId="77777777" w:rsidTr="00593F5E">
        <w:trPr>
          <w:trHeight w:hRule="exact" w:val="375"/>
        </w:trPr>
        <w:tc>
          <w:tcPr>
            <w:tcW w:w="9622" w:type="dxa"/>
            <w:tcBorders>
              <w:top w:val="single" w:sz="5" w:space="0" w:color="000000"/>
              <w:left w:val="single" w:sz="5" w:space="0" w:color="000000"/>
              <w:bottom w:val="single" w:sz="5" w:space="0" w:color="000000"/>
              <w:right w:val="single" w:sz="5" w:space="0" w:color="000000"/>
            </w:tcBorders>
            <w:vAlign w:val="center"/>
          </w:tcPr>
          <w:p w14:paraId="139711C3" w14:textId="77777777" w:rsidR="008954DA" w:rsidRPr="008954DA" w:rsidRDefault="008954DA" w:rsidP="008954DA">
            <w:pPr>
              <w:spacing w:before="69" w:after="86" w:line="205" w:lineRule="exact"/>
              <w:ind w:left="72"/>
              <w:textAlignment w:val="baseline"/>
              <w:rPr>
                <w:rFonts w:ascii="Tahoma" w:eastAsia="Tahoma" w:hAnsi="Tahoma"/>
                <w:b/>
                <w:bCs/>
                <w:color w:val="000000"/>
                <w:sz w:val="16"/>
                <w:lang w:val="fr-LU"/>
              </w:rPr>
            </w:pPr>
            <w:r w:rsidRPr="008954DA">
              <w:rPr>
                <w:rFonts w:ascii="Tahoma" w:eastAsia="Tahoma" w:hAnsi="Tahoma"/>
                <w:b/>
                <w:bCs/>
                <w:color w:val="000000"/>
                <w:sz w:val="16"/>
                <w:lang w:val="fr-LU"/>
              </w:rPr>
              <w:t>Limites des méthodologies et des données</w:t>
            </w:r>
          </w:p>
          <w:p w14:paraId="0E3607B7" w14:textId="69F91492" w:rsidR="00EC7A1E" w:rsidRPr="008954DA" w:rsidRDefault="00EC7A1E" w:rsidP="0034713A">
            <w:pPr>
              <w:spacing w:before="69" w:after="86" w:line="205" w:lineRule="exact"/>
              <w:ind w:left="72"/>
              <w:textAlignment w:val="baseline"/>
              <w:rPr>
                <w:rFonts w:ascii="Tahoma" w:eastAsia="Tahoma" w:hAnsi="Tahoma"/>
                <w:b/>
                <w:color w:val="000000"/>
                <w:sz w:val="16"/>
                <w:lang w:val="fr-LU"/>
              </w:rPr>
            </w:pPr>
          </w:p>
        </w:tc>
      </w:tr>
      <w:tr w:rsidR="00EC7A1E" w:rsidRPr="003C69AA" w14:paraId="6F4F260D" w14:textId="77777777" w:rsidTr="00593F5E">
        <w:trPr>
          <w:trHeight w:hRule="exact" w:val="2468"/>
        </w:trPr>
        <w:tc>
          <w:tcPr>
            <w:tcW w:w="9622" w:type="dxa"/>
            <w:tcBorders>
              <w:top w:val="single" w:sz="5" w:space="0" w:color="000000"/>
              <w:left w:val="single" w:sz="5" w:space="0" w:color="000000"/>
              <w:bottom w:val="single" w:sz="5" w:space="0" w:color="000000"/>
              <w:right w:val="single" w:sz="5" w:space="0" w:color="000000"/>
            </w:tcBorders>
          </w:tcPr>
          <w:p w14:paraId="66B1BF14" w14:textId="77777777" w:rsidR="003C69AA" w:rsidRPr="003C69AA" w:rsidRDefault="003C69AA" w:rsidP="003C69AA">
            <w:pPr>
              <w:spacing w:before="140" w:line="191" w:lineRule="exact"/>
              <w:ind w:left="72"/>
              <w:textAlignment w:val="baseline"/>
              <w:rPr>
                <w:rFonts w:ascii="Tahoma" w:eastAsia="Tahoma" w:hAnsi="Tahoma"/>
                <w:color w:val="000000"/>
                <w:sz w:val="16"/>
                <w:lang w:val="fr-LU"/>
              </w:rPr>
            </w:pPr>
            <w:r w:rsidRPr="003C69AA">
              <w:rPr>
                <w:rFonts w:ascii="Tahoma" w:eastAsia="Tahoma" w:hAnsi="Tahoma"/>
                <w:color w:val="000000"/>
                <w:sz w:val="16"/>
                <w:lang w:val="fr-LU"/>
              </w:rPr>
              <w:t>Dans certains cas, les informations pertinentes liées aux critères ESG peuvent ne pas être disponibles ou communiquées par la société en portefeuille.</w:t>
            </w:r>
          </w:p>
          <w:p w14:paraId="4BFC4D30" w14:textId="77777777" w:rsidR="003C69AA" w:rsidRPr="003C69AA" w:rsidRDefault="003C69AA" w:rsidP="003C69AA">
            <w:pPr>
              <w:spacing w:before="140" w:line="191" w:lineRule="exact"/>
              <w:ind w:left="72"/>
              <w:textAlignment w:val="baseline"/>
              <w:rPr>
                <w:rFonts w:ascii="Tahoma" w:eastAsia="Tahoma" w:hAnsi="Tahoma"/>
                <w:color w:val="000000"/>
                <w:sz w:val="16"/>
                <w:lang w:val="fr-LU"/>
              </w:rPr>
            </w:pPr>
            <w:r w:rsidRPr="003C69AA">
              <w:rPr>
                <w:rFonts w:ascii="Tahoma" w:eastAsia="Tahoma" w:hAnsi="Tahoma"/>
                <w:color w:val="000000"/>
                <w:sz w:val="16"/>
                <w:lang w:val="fr-LU"/>
              </w:rPr>
              <w:t>Compte tenu de la nature du Compartiment Maître et de sa stratégie d’investissement prévue, la phase de déploiement du capital, telle que décrite ci-dessus, peut être prolongée en fonction de la disponibilité des opportunités d’investissement.</w:t>
            </w:r>
          </w:p>
          <w:p w14:paraId="292A0BFF" w14:textId="77777777" w:rsidR="003C69AA" w:rsidRPr="003C69AA" w:rsidRDefault="003C69AA" w:rsidP="003C69AA">
            <w:pPr>
              <w:spacing w:before="140" w:line="191" w:lineRule="exact"/>
              <w:ind w:left="72"/>
              <w:textAlignment w:val="baseline"/>
              <w:rPr>
                <w:rFonts w:ascii="Tahoma" w:eastAsia="Tahoma" w:hAnsi="Tahoma"/>
                <w:color w:val="000000"/>
                <w:sz w:val="16"/>
                <w:lang w:val="fr-LU"/>
              </w:rPr>
            </w:pPr>
            <w:r w:rsidRPr="003C69AA">
              <w:rPr>
                <w:rFonts w:ascii="Tahoma" w:eastAsia="Tahoma" w:hAnsi="Tahoma"/>
                <w:color w:val="000000"/>
                <w:sz w:val="16"/>
                <w:lang w:val="fr-LU"/>
              </w:rPr>
              <w:t>Par ailleurs, l’atteinte des caractéristiques définies par les sociétés en portefeuille peut être perturbée par des événements majeurs de fusion ou d’acquisition, susceptibles d’entraîner un redémarrage de la période de transition.</w:t>
            </w:r>
          </w:p>
          <w:p w14:paraId="4D1AFC25" w14:textId="05BB1924" w:rsidR="003C69AA" w:rsidRPr="003C69AA" w:rsidRDefault="003C69AA" w:rsidP="003C69AA">
            <w:pPr>
              <w:spacing w:before="140" w:line="191" w:lineRule="exact"/>
              <w:ind w:left="72"/>
              <w:textAlignment w:val="baseline"/>
              <w:rPr>
                <w:rFonts w:ascii="Tahoma" w:eastAsia="Tahoma" w:hAnsi="Tahoma"/>
                <w:color w:val="000000"/>
                <w:sz w:val="16"/>
                <w:lang w:val="fr-LU"/>
              </w:rPr>
            </w:pPr>
            <w:r w:rsidRPr="003C69AA">
              <w:rPr>
                <w:rFonts w:ascii="Tahoma" w:eastAsia="Tahoma" w:hAnsi="Tahoma"/>
                <w:color w:val="000000"/>
                <w:sz w:val="16"/>
                <w:lang w:val="fr-LU"/>
              </w:rPr>
              <w:t>Bien que le Compartiment Maître vise un certain niveau de diversification, une concentration des investissements peut exister, ce qui pourrait avoir un impact significatif sur l’atteinte des caractéristiques promues, en particulier au cours des premières années du cycle de vie du Compartiment.</w:t>
            </w:r>
          </w:p>
          <w:p w14:paraId="31F06B3F" w14:textId="4A8836F9" w:rsidR="00EC7A1E" w:rsidRPr="003C69AA" w:rsidRDefault="00EC7A1E" w:rsidP="0034713A">
            <w:pPr>
              <w:spacing w:before="60" w:after="66" w:line="225" w:lineRule="exact"/>
              <w:ind w:left="144" w:right="108"/>
              <w:jc w:val="both"/>
              <w:textAlignment w:val="baseline"/>
              <w:rPr>
                <w:rFonts w:ascii="Tahoma" w:eastAsia="Tahoma" w:hAnsi="Tahoma"/>
                <w:color w:val="000000"/>
                <w:spacing w:val="5"/>
                <w:sz w:val="16"/>
                <w:lang w:val="fr-LU"/>
              </w:rPr>
            </w:pPr>
          </w:p>
        </w:tc>
      </w:tr>
      <w:tr w:rsidR="00EC7A1E" w14:paraId="55165D58" w14:textId="77777777" w:rsidTr="00593F5E">
        <w:trPr>
          <w:trHeight w:hRule="exact" w:val="375"/>
        </w:trPr>
        <w:tc>
          <w:tcPr>
            <w:tcW w:w="9622" w:type="dxa"/>
            <w:tcBorders>
              <w:top w:val="single" w:sz="5" w:space="0" w:color="000000"/>
              <w:left w:val="single" w:sz="5" w:space="0" w:color="000000"/>
              <w:bottom w:val="single" w:sz="5" w:space="0" w:color="000000"/>
              <w:right w:val="single" w:sz="5" w:space="0" w:color="000000"/>
            </w:tcBorders>
            <w:vAlign w:val="center"/>
          </w:tcPr>
          <w:p w14:paraId="4A73BC94" w14:textId="77777777" w:rsidR="00EC7A1E" w:rsidRDefault="00EC7A1E" w:rsidP="0034713A">
            <w:pPr>
              <w:spacing w:before="74" w:after="91" w:line="205" w:lineRule="exact"/>
              <w:ind w:left="72"/>
              <w:textAlignment w:val="baseline"/>
              <w:rPr>
                <w:rFonts w:ascii="Tahoma" w:eastAsia="Tahoma" w:hAnsi="Tahoma"/>
                <w:b/>
                <w:color w:val="000000"/>
                <w:sz w:val="16"/>
              </w:rPr>
            </w:pPr>
            <w:r>
              <w:rPr>
                <w:rFonts w:ascii="Tahoma" w:eastAsia="Tahoma" w:hAnsi="Tahoma"/>
                <w:b/>
                <w:color w:val="000000"/>
                <w:sz w:val="16"/>
              </w:rPr>
              <w:t>Due diligence</w:t>
            </w:r>
          </w:p>
        </w:tc>
      </w:tr>
      <w:tr w:rsidR="00EC7A1E" w:rsidRPr="00A8037E" w14:paraId="4A6FAFFD" w14:textId="77777777" w:rsidTr="00593F5E">
        <w:trPr>
          <w:trHeight w:hRule="exact" w:val="1588"/>
        </w:trPr>
        <w:tc>
          <w:tcPr>
            <w:tcW w:w="9622" w:type="dxa"/>
            <w:tcBorders>
              <w:top w:val="single" w:sz="5" w:space="0" w:color="000000"/>
              <w:left w:val="single" w:sz="5" w:space="0" w:color="000000"/>
              <w:bottom w:val="single" w:sz="5" w:space="0" w:color="000000"/>
              <w:right w:val="single" w:sz="5" w:space="0" w:color="000000"/>
            </w:tcBorders>
          </w:tcPr>
          <w:p w14:paraId="6B65C0DD" w14:textId="40494AA6" w:rsidR="00A8037E" w:rsidRPr="00A8037E" w:rsidRDefault="00A8037E" w:rsidP="00A8037E">
            <w:pPr>
              <w:spacing w:before="114" w:line="224" w:lineRule="exact"/>
              <w:ind w:left="144" w:right="108"/>
              <w:jc w:val="both"/>
              <w:textAlignment w:val="baseline"/>
              <w:rPr>
                <w:rFonts w:ascii="Tahoma" w:eastAsia="Tahoma" w:hAnsi="Tahoma"/>
                <w:color w:val="000000"/>
                <w:spacing w:val="5"/>
                <w:sz w:val="16"/>
                <w:lang w:val="fr-LU"/>
              </w:rPr>
            </w:pPr>
            <w:r w:rsidRPr="00A8037E">
              <w:rPr>
                <w:rFonts w:ascii="Tahoma" w:eastAsia="Tahoma" w:hAnsi="Tahoma"/>
                <w:color w:val="000000"/>
                <w:spacing w:val="5"/>
                <w:sz w:val="16"/>
                <w:lang w:val="fr-LU"/>
              </w:rPr>
              <w:t xml:space="preserve">En phase </w:t>
            </w:r>
            <w:r w:rsidRPr="00A8037E">
              <w:rPr>
                <w:rFonts w:ascii="Tahoma" w:eastAsia="Tahoma" w:hAnsi="Tahoma"/>
                <w:color w:val="000000"/>
                <w:spacing w:val="5"/>
                <w:sz w:val="16"/>
                <w:lang w:val="fr-LU"/>
              </w:rPr>
              <w:t>préinvestissement</w:t>
            </w:r>
            <w:r w:rsidRPr="00A8037E">
              <w:rPr>
                <w:rFonts w:ascii="Tahoma" w:eastAsia="Tahoma" w:hAnsi="Tahoma"/>
                <w:color w:val="000000"/>
                <w:spacing w:val="5"/>
                <w:sz w:val="16"/>
                <w:lang w:val="fr-LU"/>
              </w:rPr>
              <w:t>, le Gestionnaire et JAB mandatent un expert tiers pour réaliser une due diligence ESG. Celle-ci identifie les facteurs et risques de durabilité, leur impact sur les caractéristiques promues, et fournit des recommandations post-acquisition. Ces éléments sont intégrés à la proposition d’investissement soumise au comité d’investissement et au conseil de gestion.</w:t>
            </w:r>
          </w:p>
          <w:p w14:paraId="39A4D74C" w14:textId="77777777" w:rsidR="00A8037E" w:rsidRPr="00A8037E" w:rsidRDefault="00A8037E" w:rsidP="00A8037E">
            <w:pPr>
              <w:spacing w:before="114" w:line="224" w:lineRule="exact"/>
              <w:ind w:left="144" w:right="108"/>
              <w:jc w:val="both"/>
              <w:textAlignment w:val="baseline"/>
              <w:rPr>
                <w:rFonts w:ascii="Tahoma" w:eastAsia="Tahoma" w:hAnsi="Tahoma"/>
                <w:color w:val="000000"/>
                <w:spacing w:val="5"/>
                <w:sz w:val="16"/>
                <w:lang w:val="fr-LU"/>
              </w:rPr>
            </w:pPr>
            <w:r w:rsidRPr="00A8037E">
              <w:rPr>
                <w:rFonts w:ascii="Tahoma" w:eastAsia="Tahoma" w:hAnsi="Tahoma"/>
                <w:color w:val="000000"/>
                <w:spacing w:val="5"/>
                <w:sz w:val="16"/>
                <w:lang w:val="fr-LU"/>
              </w:rPr>
              <w:t>Le Gestionnaire suit ensuite l’évolution continue des facteurs et risques de durabilité.</w:t>
            </w:r>
          </w:p>
          <w:p w14:paraId="077C665D" w14:textId="797A7EF7" w:rsidR="00EC7A1E" w:rsidRPr="00A8037E" w:rsidRDefault="00EC7A1E" w:rsidP="0034713A">
            <w:pPr>
              <w:spacing w:before="96" w:after="57" w:line="192" w:lineRule="exact"/>
              <w:ind w:left="72"/>
              <w:textAlignment w:val="baseline"/>
              <w:rPr>
                <w:rFonts w:ascii="Tahoma" w:eastAsia="Tahoma" w:hAnsi="Tahoma"/>
                <w:color w:val="000000"/>
                <w:sz w:val="16"/>
                <w:lang w:val="fr-LU"/>
              </w:rPr>
            </w:pPr>
          </w:p>
        </w:tc>
      </w:tr>
      <w:tr w:rsidR="00EC7A1E" w14:paraId="7AB52956" w14:textId="77777777" w:rsidTr="00593F5E">
        <w:trPr>
          <w:trHeight w:hRule="exact" w:val="375"/>
        </w:trPr>
        <w:tc>
          <w:tcPr>
            <w:tcW w:w="9622" w:type="dxa"/>
            <w:tcBorders>
              <w:top w:val="single" w:sz="5" w:space="0" w:color="000000"/>
              <w:left w:val="single" w:sz="5" w:space="0" w:color="000000"/>
              <w:bottom w:val="single" w:sz="5" w:space="0" w:color="000000"/>
              <w:right w:val="single" w:sz="5" w:space="0" w:color="000000"/>
            </w:tcBorders>
            <w:vAlign w:val="center"/>
          </w:tcPr>
          <w:p w14:paraId="19941894" w14:textId="77777777" w:rsidR="00FC6066" w:rsidRPr="00FC6066" w:rsidRDefault="00FC6066" w:rsidP="00FC6066">
            <w:pPr>
              <w:spacing w:before="74" w:after="86" w:line="205" w:lineRule="exact"/>
              <w:ind w:left="72"/>
              <w:textAlignment w:val="baseline"/>
              <w:rPr>
                <w:rFonts w:ascii="Tahoma" w:eastAsia="Tahoma" w:hAnsi="Tahoma"/>
                <w:b/>
                <w:bCs/>
                <w:color w:val="000000"/>
                <w:sz w:val="16"/>
                <w:lang w:val="fr-LU"/>
              </w:rPr>
            </w:pPr>
            <w:r w:rsidRPr="00FC6066">
              <w:rPr>
                <w:rFonts w:ascii="Tahoma" w:eastAsia="Tahoma" w:hAnsi="Tahoma"/>
                <w:b/>
                <w:bCs/>
                <w:color w:val="000000"/>
                <w:sz w:val="16"/>
                <w:lang w:val="fr-LU"/>
              </w:rPr>
              <w:t>Politique d’engagement</w:t>
            </w:r>
          </w:p>
          <w:p w14:paraId="39BF4B36" w14:textId="236FF844" w:rsidR="00EC7A1E" w:rsidRDefault="00EC7A1E" w:rsidP="0034713A">
            <w:pPr>
              <w:spacing w:before="74" w:after="86" w:line="205" w:lineRule="exact"/>
              <w:ind w:left="72"/>
              <w:textAlignment w:val="baseline"/>
              <w:rPr>
                <w:rFonts w:ascii="Tahoma" w:eastAsia="Tahoma" w:hAnsi="Tahoma"/>
                <w:b/>
                <w:color w:val="000000"/>
                <w:sz w:val="16"/>
              </w:rPr>
            </w:pPr>
          </w:p>
        </w:tc>
      </w:tr>
      <w:tr w:rsidR="00EC7A1E" w:rsidRPr="00FC6066" w14:paraId="7707AE32" w14:textId="77777777" w:rsidTr="00593F5E">
        <w:trPr>
          <w:trHeight w:hRule="exact" w:val="629"/>
        </w:trPr>
        <w:tc>
          <w:tcPr>
            <w:tcW w:w="9622" w:type="dxa"/>
            <w:tcBorders>
              <w:top w:val="single" w:sz="5" w:space="0" w:color="000000"/>
              <w:left w:val="single" w:sz="5" w:space="0" w:color="000000"/>
              <w:bottom w:val="single" w:sz="5" w:space="0" w:color="000000"/>
              <w:right w:val="single" w:sz="5" w:space="0" w:color="000000"/>
            </w:tcBorders>
          </w:tcPr>
          <w:p w14:paraId="12FFB677" w14:textId="22D508A8" w:rsidR="00EC7A1E" w:rsidRPr="00FC6066" w:rsidRDefault="00FC6066" w:rsidP="0034713A">
            <w:pPr>
              <w:spacing w:before="112" w:after="62" w:line="225" w:lineRule="exact"/>
              <w:ind w:left="144" w:right="108"/>
              <w:jc w:val="both"/>
              <w:textAlignment w:val="baseline"/>
              <w:rPr>
                <w:rFonts w:ascii="Tahoma" w:eastAsia="Tahoma" w:hAnsi="Tahoma"/>
                <w:color w:val="000000"/>
                <w:sz w:val="16"/>
                <w:lang w:val="fr-LU"/>
              </w:rPr>
            </w:pPr>
            <w:r w:rsidRPr="00FC6066">
              <w:rPr>
                <w:rFonts w:ascii="Tahoma" w:eastAsia="Tahoma" w:hAnsi="Tahoma"/>
                <w:color w:val="000000"/>
                <w:sz w:val="16"/>
                <w:lang w:val="fr-LU"/>
              </w:rPr>
              <w:t>Conformément à la Directive (UE) 2017/828 (« SRD II »), le Gestionnaire a mis en place une politique d’engagement intégrée à sa politique de vote.</w:t>
            </w:r>
          </w:p>
        </w:tc>
      </w:tr>
      <w:tr w:rsidR="00EC7A1E" w14:paraId="6E766F33" w14:textId="77777777" w:rsidTr="00593F5E">
        <w:trPr>
          <w:trHeight w:hRule="exact" w:val="374"/>
        </w:trPr>
        <w:tc>
          <w:tcPr>
            <w:tcW w:w="9622" w:type="dxa"/>
            <w:tcBorders>
              <w:top w:val="single" w:sz="5" w:space="0" w:color="000000"/>
              <w:left w:val="single" w:sz="5" w:space="0" w:color="000000"/>
              <w:bottom w:val="single" w:sz="5" w:space="0" w:color="000000"/>
              <w:right w:val="single" w:sz="5" w:space="0" w:color="000000"/>
            </w:tcBorders>
            <w:vAlign w:val="center"/>
          </w:tcPr>
          <w:p w14:paraId="79A38AAF" w14:textId="77777777" w:rsidR="00FC6066" w:rsidRPr="00FC6066" w:rsidRDefault="00FC6066" w:rsidP="00FC6066">
            <w:pPr>
              <w:spacing w:before="73" w:after="91" w:line="205" w:lineRule="exact"/>
              <w:ind w:left="72"/>
              <w:textAlignment w:val="baseline"/>
              <w:rPr>
                <w:rFonts w:ascii="Tahoma" w:eastAsia="Tahoma" w:hAnsi="Tahoma"/>
                <w:b/>
                <w:bCs/>
                <w:color w:val="000000"/>
                <w:sz w:val="16"/>
                <w:lang w:val="fr-LU"/>
              </w:rPr>
            </w:pPr>
            <w:r w:rsidRPr="00FC6066">
              <w:rPr>
                <w:rFonts w:ascii="Tahoma" w:eastAsia="Tahoma" w:hAnsi="Tahoma"/>
                <w:b/>
                <w:bCs/>
                <w:color w:val="000000"/>
                <w:sz w:val="16"/>
                <w:lang w:val="fr-LU"/>
              </w:rPr>
              <w:t>Indice de référence désigné</w:t>
            </w:r>
          </w:p>
          <w:p w14:paraId="7CB2B27D" w14:textId="68254A62" w:rsidR="00EC7A1E" w:rsidRDefault="00EC7A1E" w:rsidP="0034713A">
            <w:pPr>
              <w:spacing w:before="73" w:after="91" w:line="205" w:lineRule="exact"/>
              <w:ind w:left="72"/>
              <w:textAlignment w:val="baseline"/>
              <w:rPr>
                <w:rFonts w:ascii="Tahoma" w:eastAsia="Tahoma" w:hAnsi="Tahoma"/>
                <w:b/>
                <w:color w:val="000000"/>
                <w:sz w:val="16"/>
              </w:rPr>
            </w:pPr>
          </w:p>
        </w:tc>
      </w:tr>
      <w:tr w:rsidR="00EC7A1E" w:rsidRPr="00227C15" w14:paraId="7E2A1017" w14:textId="77777777" w:rsidTr="00593F5E">
        <w:trPr>
          <w:trHeight w:hRule="exact" w:val="639"/>
        </w:trPr>
        <w:tc>
          <w:tcPr>
            <w:tcW w:w="9622" w:type="dxa"/>
            <w:tcBorders>
              <w:top w:val="single" w:sz="5" w:space="0" w:color="000000"/>
              <w:left w:val="single" w:sz="5" w:space="0" w:color="000000"/>
              <w:bottom w:val="single" w:sz="5" w:space="0" w:color="000000"/>
              <w:right w:val="single" w:sz="5" w:space="0" w:color="000000"/>
            </w:tcBorders>
          </w:tcPr>
          <w:p w14:paraId="5094F93A" w14:textId="45E91318" w:rsidR="00EC7A1E" w:rsidRPr="00227C15" w:rsidRDefault="00227C15" w:rsidP="0034713A">
            <w:pPr>
              <w:spacing w:before="112" w:after="67" w:line="225" w:lineRule="exact"/>
              <w:ind w:left="144" w:right="108"/>
              <w:jc w:val="both"/>
              <w:textAlignment w:val="baseline"/>
              <w:rPr>
                <w:rFonts w:ascii="Tahoma" w:eastAsia="Tahoma" w:hAnsi="Tahoma"/>
                <w:color w:val="000000"/>
                <w:sz w:val="16"/>
                <w:lang w:val="fr-LU"/>
              </w:rPr>
            </w:pPr>
            <w:r w:rsidRPr="00227C15">
              <w:rPr>
                <w:rFonts w:ascii="Tahoma" w:eastAsia="Tahoma" w:hAnsi="Tahoma"/>
                <w:color w:val="000000"/>
                <w:sz w:val="16"/>
                <w:lang w:val="fr-LU"/>
              </w:rPr>
              <w:t xml:space="preserve">Le </w:t>
            </w:r>
            <w:r w:rsidRPr="00227C15">
              <w:rPr>
                <w:rFonts w:ascii="Tahoma" w:eastAsia="Tahoma" w:hAnsi="Tahoma"/>
                <w:color w:val="000000"/>
                <w:sz w:val="16"/>
                <w:lang w:val="fr-LU"/>
              </w:rPr>
              <w:t>Fond</w:t>
            </w:r>
            <w:r w:rsidRPr="00227C15">
              <w:rPr>
                <w:rFonts w:ascii="Tahoma" w:eastAsia="Tahoma" w:hAnsi="Tahoma"/>
                <w:color w:val="000000"/>
                <w:sz w:val="16"/>
                <w:lang w:val="fr-LU"/>
              </w:rPr>
              <w:t xml:space="preserve"> Maître n’utilise pas d’indice de référence spécifique. Cette section n’est donc pas applicable.</w:t>
            </w:r>
          </w:p>
        </w:tc>
      </w:tr>
    </w:tbl>
    <w:p w14:paraId="54B3FF96" w14:textId="77777777" w:rsidR="00EC7A1E" w:rsidRPr="00227C15" w:rsidRDefault="00EC7A1E" w:rsidP="00C41FA6">
      <w:pPr>
        <w:spacing w:before="39" w:after="4444" w:line="192" w:lineRule="exact"/>
        <w:jc w:val="both"/>
        <w:textAlignment w:val="baseline"/>
        <w:rPr>
          <w:rFonts w:ascii="Tahoma" w:eastAsia="Tahoma" w:hAnsi="Tahoma"/>
          <w:color w:val="000000"/>
          <w:spacing w:val="5"/>
          <w:sz w:val="16"/>
          <w:lang w:val="fr-LU"/>
        </w:rPr>
      </w:pPr>
    </w:p>
    <w:sectPr w:rsidR="00EC7A1E" w:rsidRPr="00227C15" w:rsidSect="008C1AAC">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83C4D" w14:textId="77777777" w:rsidR="00F540B8" w:rsidRDefault="00F540B8">
      <w:r>
        <w:separator/>
      </w:r>
    </w:p>
  </w:endnote>
  <w:endnote w:type="continuationSeparator" w:id="0">
    <w:p w14:paraId="3486980D" w14:textId="77777777" w:rsidR="00F540B8" w:rsidRDefault="00F5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rPr>
      <w:id w:val="393854530"/>
      <w:docPartObj>
        <w:docPartGallery w:val="Page Numbers (Bottom of Page)"/>
        <w:docPartUnique/>
      </w:docPartObj>
    </w:sdtPr>
    <w:sdtContent>
      <w:sdt>
        <w:sdtPr>
          <w:rPr>
            <w:rFonts w:ascii="Tahoma" w:hAnsi="Tahoma" w:cs="Tahoma"/>
            <w:sz w:val="18"/>
          </w:rPr>
          <w:id w:val="1728636285"/>
          <w:docPartObj>
            <w:docPartGallery w:val="Page Numbers (Top of Page)"/>
            <w:docPartUnique/>
          </w:docPartObj>
        </w:sdtPr>
        <w:sdtContent>
          <w:p w14:paraId="606C0CDE" w14:textId="188A6422" w:rsidR="00C41FA6" w:rsidRPr="00C41FA6" w:rsidRDefault="00C41FA6">
            <w:pPr>
              <w:pStyle w:val="Footer"/>
              <w:jc w:val="center"/>
              <w:rPr>
                <w:rFonts w:ascii="Tahoma" w:hAnsi="Tahoma" w:cs="Tahoma"/>
                <w:sz w:val="18"/>
              </w:rPr>
            </w:pPr>
            <w:r w:rsidRPr="00C41FA6">
              <w:rPr>
                <w:rFonts w:ascii="Tahoma" w:hAnsi="Tahoma" w:cs="Tahoma"/>
                <w:sz w:val="18"/>
              </w:rPr>
              <w:t xml:space="preserve">Page </w:t>
            </w:r>
            <w:r w:rsidRPr="00C41FA6">
              <w:rPr>
                <w:rFonts w:ascii="Tahoma" w:hAnsi="Tahoma" w:cs="Tahoma"/>
                <w:b/>
                <w:bCs/>
                <w:sz w:val="20"/>
                <w:szCs w:val="24"/>
              </w:rPr>
              <w:fldChar w:fldCharType="begin"/>
            </w:r>
            <w:r w:rsidRPr="00C41FA6">
              <w:rPr>
                <w:rFonts w:ascii="Tahoma" w:hAnsi="Tahoma" w:cs="Tahoma"/>
                <w:b/>
                <w:bCs/>
                <w:sz w:val="18"/>
              </w:rPr>
              <w:instrText xml:space="preserve"> PAGE </w:instrText>
            </w:r>
            <w:r w:rsidRPr="00C41FA6">
              <w:rPr>
                <w:rFonts w:ascii="Tahoma" w:hAnsi="Tahoma" w:cs="Tahoma"/>
                <w:b/>
                <w:bCs/>
                <w:sz w:val="20"/>
                <w:szCs w:val="24"/>
              </w:rPr>
              <w:fldChar w:fldCharType="separate"/>
            </w:r>
            <w:r w:rsidR="003111A1">
              <w:rPr>
                <w:rFonts w:ascii="Tahoma" w:hAnsi="Tahoma" w:cs="Tahoma"/>
                <w:b/>
                <w:bCs/>
                <w:noProof/>
                <w:sz w:val="18"/>
              </w:rPr>
              <w:t>5</w:t>
            </w:r>
            <w:r w:rsidRPr="00C41FA6">
              <w:rPr>
                <w:rFonts w:ascii="Tahoma" w:hAnsi="Tahoma" w:cs="Tahoma"/>
                <w:b/>
                <w:bCs/>
                <w:sz w:val="20"/>
                <w:szCs w:val="24"/>
              </w:rPr>
              <w:fldChar w:fldCharType="end"/>
            </w:r>
            <w:r w:rsidRPr="00C41FA6">
              <w:rPr>
                <w:rFonts w:ascii="Tahoma" w:hAnsi="Tahoma" w:cs="Tahoma"/>
                <w:sz w:val="18"/>
              </w:rPr>
              <w:t xml:space="preserve"> of </w:t>
            </w:r>
            <w:r w:rsidRPr="00C41FA6">
              <w:rPr>
                <w:rFonts w:ascii="Tahoma" w:hAnsi="Tahoma" w:cs="Tahoma"/>
                <w:b/>
                <w:bCs/>
                <w:sz w:val="20"/>
                <w:szCs w:val="24"/>
              </w:rPr>
              <w:fldChar w:fldCharType="begin"/>
            </w:r>
            <w:r w:rsidRPr="00C41FA6">
              <w:rPr>
                <w:rFonts w:ascii="Tahoma" w:hAnsi="Tahoma" w:cs="Tahoma"/>
                <w:b/>
                <w:bCs/>
                <w:sz w:val="18"/>
              </w:rPr>
              <w:instrText xml:space="preserve"> NUMPAGES  </w:instrText>
            </w:r>
            <w:r w:rsidRPr="00C41FA6">
              <w:rPr>
                <w:rFonts w:ascii="Tahoma" w:hAnsi="Tahoma" w:cs="Tahoma"/>
                <w:b/>
                <w:bCs/>
                <w:sz w:val="20"/>
                <w:szCs w:val="24"/>
              </w:rPr>
              <w:fldChar w:fldCharType="separate"/>
            </w:r>
            <w:r w:rsidR="003111A1">
              <w:rPr>
                <w:rFonts w:ascii="Tahoma" w:hAnsi="Tahoma" w:cs="Tahoma"/>
                <w:b/>
                <w:bCs/>
                <w:noProof/>
                <w:sz w:val="18"/>
              </w:rPr>
              <w:t>5</w:t>
            </w:r>
            <w:r w:rsidRPr="00C41FA6">
              <w:rPr>
                <w:rFonts w:ascii="Tahoma" w:hAnsi="Tahoma" w:cs="Tahoma"/>
                <w:b/>
                <w:bCs/>
                <w:sz w:val="20"/>
                <w:szCs w:val="24"/>
              </w:rPr>
              <w:fldChar w:fldCharType="end"/>
            </w:r>
          </w:p>
        </w:sdtContent>
      </w:sdt>
    </w:sdtContent>
  </w:sdt>
  <w:p w14:paraId="2C369769" w14:textId="77777777" w:rsidR="00C41FA6" w:rsidRDefault="00C4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9D78" w14:textId="77777777" w:rsidR="00F540B8" w:rsidRDefault="00F540B8"/>
  </w:footnote>
  <w:footnote w:type="continuationSeparator" w:id="0">
    <w:p w14:paraId="4827627A" w14:textId="77777777" w:rsidR="00F540B8" w:rsidRDefault="00F540B8">
      <w:r>
        <w:continuationSeparator/>
      </w:r>
    </w:p>
  </w:footnote>
  <w:footnote w:id="1">
    <w:p w14:paraId="0D073650" w14:textId="77777777" w:rsidR="00DD5307" w:rsidRPr="00DD5307" w:rsidRDefault="00DD5307">
      <w:pPr>
        <w:pStyle w:val="FootnoteText"/>
        <w:rPr>
          <w:lang w:val="en-GB"/>
        </w:rPr>
      </w:pPr>
      <w:r>
        <w:rPr>
          <w:rStyle w:val="FootnoteReference"/>
        </w:rPr>
        <w:footnoteRef/>
      </w:r>
      <w:r>
        <w:t xml:space="preserve"> </w:t>
      </w:r>
      <w:r w:rsidRPr="00FD79D1">
        <w:rPr>
          <w:rFonts w:ascii="Tahoma" w:hAnsi="Tahoma" w:cs="Tahoma"/>
          <w:sz w:val="16"/>
          <w:szCs w:val="16"/>
          <w:lang w:val="en-GB"/>
        </w:rPr>
        <w:t xml:space="preserve">Defined terms used in this disclosure (unless defined herein) are as set out in the </w:t>
      </w:r>
      <w:r w:rsidR="00B86006" w:rsidRPr="00FD79D1">
        <w:rPr>
          <w:rFonts w:ascii="Tahoma" w:hAnsi="Tahoma" w:cs="Tahoma"/>
          <w:sz w:val="16"/>
          <w:szCs w:val="16"/>
          <w:lang w:val="en-GB"/>
        </w:rPr>
        <w:t xml:space="preserve">offering document of the </w:t>
      </w:r>
      <w:r w:rsidR="00274AB3" w:rsidRPr="00FD79D1">
        <w:rPr>
          <w:rFonts w:ascii="Tahoma" w:hAnsi="Tahoma" w:cs="Tahoma"/>
          <w:sz w:val="16"/>
          <w:szCs w:val="16"/>
          <w:lang w:val="en-GB"/>
        </w:rPr>
        <w:t>Sub-</w:t>
      </w:r>
      <w:r w:rsidR="00B86006" w:rsidRPr="00FD79D1">
        <w:rPr>
          <w:rFonts w:ascii="Tahoma" w:hAnsi="Tahoma" w:cs="Tahoma"/>
          <w:sz w:val="16"/>
          <w:szCs w:val="16"/>
          <w:lang w:val="en-GB"/>
        </w:rPr>
        <w:t>Fund (the “</w:t>
      </w:r>
      <w:r w:rsidR="00B86006" w:rsidRPr="00FD79D1">
        <w:rPr>
          <w:rFonts w:ascii="Tahoma" w:hAnsi="Tahoma" w:cs="Tahoma"/>
          <w:b/>
          <w:sz w:val="16"/>
          <w:szCs w:val="16"/>
          <w:lang w:val="en-GB"/>
        </w:rPr>
        <w:t>OD</w:t>
      </w:r>
      <w:r w:rsidR="00B86006" w:rsidRPr="00FD79D1">
        <w:rPr>
          <w:rFonts w:ascii="Tahoma" w:hAnsi="Tahoma" w:cs="Tahoma"/>
          <w:sz w:val="16"/>
          <w:szCs w:val="16"/>
          <w:lang w:val="en-GB"/>
        </w:rPr>
        <w:t>”). Terms used in the summary have the same meaning as in the rest of this website disclosure.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5C8B"/>
    <w:multiLevelType w:val="multilevel"/>
    <w:tmpl w:val="194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C7B47"/>
    <w:multiLevelType w:val="multilevel"/>
    <w:tmpl w:val="3900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B5D2F"/>
    <w:multiLevelType w:val="multilevel"/>
    <w:tmpl w:val="226831C4"/>
    <w:lvl w:ilvl="0">
      <w:start w:val="1"/>
      <w:numFmt w:val="decimal"/>
      <w:lvlText w:val="%1)"/>
      <w:lvlJc w:val="left"/>
      <w:pPr>
        <w:tabs>
          <w:tab w:val="left" w:pos="216"/>
        </w:tabs>
      </w:pPr>
      <w:rPr>
        <w:rFonts w:ascii="Tahoma" w:eastAsia="Tahoma" w:hAnsi="Tahoma"/>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95D6E"/>
    <w:multiLevelType w:val="multilevel"/>
    <w:tmpl w:val="3B767824"/>
    <w:lvl w:ilvl="0">
      <w:numFmt w:val="bullet"/>
      <w:lvlText w:val="·"/>
      <w:lvlJc w:val="left"/>
      <w:pPr>
        <w:tabs>
          <w:tab w:val="left" w:pos="360"/>
        </w:tabs>
      </w:pPr>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377029"/>
    <w:multiLevelType w:val="multilevel"/>
    <w:tmpl w:val="246E0324"/>
    <w:lvl w:ilvl="0">
      <w:start w:val="10"/>
      <w:numFmt w:val="decimal"/>
      <w:lvlText w:val="%1."/>
      <w:lvlJc w:val="left"/>
      <w:pPr>
        <w:tabs>
          <w:tab w:val="left" w:pos="360"/>
        </w:tabs>
      </w:pPr>
      <w:rPr>
        <w:rFonts w:ascii="Tahoma" w:eastAsia="Tahoma" w:hAnsi="Tahoma"/>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57611D"/>
    <w:multiLevelType w:val="multilevel"/>
    <w:tmpl w:val="AF863852"/>
    <w:lvl w:ilvl="0">
      <w:start w:val="1"/>
      <w:numFmt w:val="decimal"/>
      <w:lvlText w:val="%1."/>
      <w:lvlJc w:val="left"/>
      <w:pPr>
        <w:tabs>
          <w:tab w:val="left" w:pos="360"/>
        </w:tabs>
      </w:pPr>
      <w:rPr>
        <w:rFonts w:ascii="Tahoma" w:eastAsia="Tahoma" w:hAnsi="Tahoma"/>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923E5D"/>
    <w:multiLevelType w:val="hybridMultilevel"/>
    <w:tmpl w:val="EC16C66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82E5FC8"/>
    <w:multiLevelType w:val="multilevel"/>
    <w:tmpl w:val="7E5E4B26"/>
    <w:lvl w:ilvl="0">
      <w:start w:val="2"/>
      <w:numFmt w:val="decimal"/>
      <w:lvlText w:val="%1."/>
      <w:lvlJc w:val="left"/>
      <w:pPr>
        <w:tabs>
          <w:tab w:val="left" w:pos="288"/>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0056678">
    <w:abstractNumId w:val="3"/>
  </w:num>
  <w:num w:numId="2" w16cid:durableId="226230310">
    <w:abstractNumId w:val="5"/>
  </w:num>
  <w:num w:numId="3" w16cid:durableId="12071678">
    <w:abstractNumId w:val="7"/>
  </w:num>
  <w:num w:numId="4" w16cid:durableId="449394877">
    <w:abstractNumId w:val="2"/>
  </w:num>
  <w:num w:numId="5" w16cid:durableId="1476526163">
    <w:abstractNumId w:val="4"/>
  </w:num>
  <w:num w:numId="6" w16cid:durableId="1017541181">
    <w:abstractNumId w:val="0"/>
  </w:num>
  <w:num w:numId="7" w16cid:durableId="1312179151">
    <w:abstractNumId w:val="1"/>
  </w:num>
  <w:num w:numId="8" w16cid:durableId="301663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48"/>
    <w:rsid w:val="00022388"/>
    <w:rsid w:val="001000EF"/>
    <w:rsid w:val="001103CA"/>
    <w:rsid w:val="001D4F61"/>
    <w:rsid w:val="00227C15"/>
    <w:rsid w:val="00274AB3"/>
    <w:rsid w:val="002F0786"/>
    <w:rsid w:val="003111A1"/>
    <w:rsid w:val="00391C78"/>
    <w:rsid w:val="00394578"/>
    <w:rsid w:val="003C69AA"/>
    <w:rsid w:val="003E7D48"/>
    <w:rsid w:val="0051797C"/>
    <w:rsid w:val="00536127"/>
    <w:rsid w:val="00593F5E"/>
    <w:rsid w:val="00671312"/>
    <w:rsid w:val="00711392"/>
    <w:rsid w:val="00722AF2"/>
    <w:rsid w:val="007F6687"/>
    <w:rsid w:val="0082358A"/>
    <w:rsid w:val="00862604"/>
    <w:rsid w:val="008954DA"/>
    <w:rsid w:val="008C1AAC"/>
    <w:rsid w:val="008E3EB7"/>
    <w:rsid w:val="008E6744"/>
    <w:rsid w:val="00A0488C"/>
    <w:rsid w:val="00A2007D"/>
    <w:rsid w:val="00A24794"/>
    <w:rsid w:val="00A8037E"/>
    <w:rsid w:val="00A84FEA"/>
    <w:rsid w:val="00AA1D13"/>
    <w:rsid w:val="00B86006"/>
    <w:rsid w:val="00BC5533"/>
    <w:rsid w:val="00C079E5"/>
    <w:rsid w:val="00C41FA6"/>
    <w:rsid w:val="00C51684"/>
    <w:rsid w:val="00C60FB7"/>
    <w:rsid w:val="00C77576"/>
    <w:rsid w:val="00DC0F17"/>
    <w:rsid w:val="00DD5307"/>
    <w:rsid w:val="00EC7A1E"/>
    <w:rsid w:val="00EE2935"/>
    <w:rsid w:val="00F540B8"/>
    <w:rsid w:val="00F73ED6"/>
    <w:rsid w:val="00F756B8"/>
    <w:rsid w:val="00F829E2"/>
    <w:rsid w:val="00FC6066"/>
    <w:rsid w:val="00FD79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4A13"/>
  <w15:docId w15:val="{C8FC7AFD-DDFB-4B9D-8EFA-ED221FEE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5307"/>
    <w:rPr>
      <w:sz w:val="20"/>
      <w:szCs w:val="20"/>
    </w:rPr>
  </w:style>
  <w:style w:type="character" w:customStyle="1" w:styleId="FootnoteTextChar">
    <w:name w:val="Footnote Text Char"/>
    <w:basedOn w:val="DefaultParagraphFont"/>
    <w:link w:val="FootnoteText"/>
    <w:uiPriority w:val="99"/>
    <w:semiHidden/>
    <w:rsid w:val="00DD5307"/>
    <w:rPr>
      <w:sz w:val="20"/>
      <w:szCs w:val="20"/>
    </w:rPr>
  </w:style>
  <w:style w:type="character" w:styleId="FootnoteReference">
    <w:name w:val="footnote reference"/>
    <w:basedOn w:val="DefaultParagraphFont"/>
    <w:uiPriority w:val="99"/>
    <w:semiHidden/>
    <w:unhideWhenUsed/>
    <w:rsid w:val="00DD5307"/>
    <w:rPr>
      <w:vertAlign w:val="superscript"/>
    </w:rPr>
  </w:style>
  <w:style w:type="paragraph" w:styleId="Header">
    <w:name w:val="header"/>
    <w:basedOn w:val="Normal"/>
    <w:link w:val="HeaderChar"/>
    <w:uiPriority w:val="99"/>
    <w:unhideWhenUsed/>
    <w:rsid w:val="008C1AAC"/>
    <w:pPr>
      <w:tabs>
        <w:tab w:val="center" w:pos="4513"/>
        <w:tab w:val="right" w:pos="9026"/>
      </w:tabs>
    </w:pPr>
  </w:style>
  <w:style w:type="character" w:customStyle="1" w:styleId="HeaderChar">
    <w:name w:val="Header Char"/>
    <w:basedOn w:val="DefaultParagraphFont"/>
    <w:link w:val="Header"/>
    <w:uiPriority w:val="99"/>
    <w:rsid w:val="008C1AAC"/>
  </w:style>
  <w:style w:type="paragraph" w:styleId="Footer">
    <w:name w:val="footer"/>
    <w:basedOn w:val="Normal"/>
    <w:link w:val="FooterChar"/>
    <w:uiPriority w:val="99"/>
    <w:unhideWhenUsed/>
    <w:rsid w:val="008C1AAC"/>
    <w:pPr>
      <w:tabs>
        <w:tab w:val="center" w:pos="4513"/>
        <w:tab w:val="right" w:pos="9026"/>
      </w:tabs>
    </w:pPr>
  </w:style>
  <w:style w:type="character" w:customStyle="1" w:styleId="FooterChar">
    <w:name w:val="Footer Char"/>
    <w:basedOn w:val="DefaultParagraphFont"/>
    <w:link w:val="Footer"/>
    <w:uiPriority w:val="99"/>
    <w:rsid w:val="008C1AAC"/>
  </w:style>
  <w:style w:type="paragraph" w:styleId="BalloonText">
    <w:name w:val="Balloon Text"/>
    <w:basedOn w:val="Normal"/>
    <w:link w:val="BalloonTextChar"/>
    <w:uiPriority w:val="99"/>
    <w:semiHidden/>
    <w:unhideWhenUsed/>
    <w:rsid w:val="00C6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7"/>
    <w:rPr>
      <w:rFonts w:ascii="Segoe UI" w:hAnsi="Segoe UI" w:cs="Segoe UI"/>
      <w:sz w:val="18"/>
      <w:szCs w:val="18"/>
    </w:rPr>
  </w:style>
  <w:style w:type="character" w:styleId="CommentReference">
    <w:name w:val="annotation reference"/>
    <w:basedOn w:val="DefaultParagraphFont"/>
    <w:uiPriority w:val="99"/>
    <w:semiHidden/>
    <w:unhideWhenUsed/>
    <w:rsid w:val="00394578"/>
    <w:rPr>
      <w:sz w:val="16"/>
      <w:szCs w:val="16"/>
    </w:rPr>
  </w:style>
  <w:style w:type="paragraph" w:styleId="CommentText">
    <w:name w:val="annotation text"/>
    <w:basedOn w:val="Normal"/>
    <w:link w:val="CommentTextChar"/>
    <w:uiPriority w:val="99"/>
    <w:unhideWhenUsed/>
    <w:rsid w:val="00394578"/>
    <w:rPr>
      <w:sz w:val="20"/>
      <w:szCs w:val="20"/>
    </w:rPr>
  </w:style>
  <w:style w:type="character" w:customStyle="1" w:styleId="CommentTextChar">
    <w:name w:val="Comment Text Char"/>
    <w:basedOn w:val="DefaultParagraphFont"/>
    <w:link w:val="CommentText"/>
    <w:uiPriority w:val="99"/>
    <w:rsid w:val="00394578"/>
    <w:rPr>
      <w:sz w:val="20"/>
      <w:szCs w:val="20"/>
    </w:rPr>
  </w:style>
  <w:style w:type="paragraph" w:styleId="CommentSubject">
    <w:name w:val="annotation subject"/>
    <w:basedOn w:val="CommentText"/>
    <w:next w:val="CommentText"/>
    <w:link w:val="CommentSubjectChar"/>
    <w:uiPriority w:val="99"/>
    <w:semiHidden/>
    <w:unhideWhenUsed/>
    <w:rsid w:val="00394578"/>
    <w:rPr>
      <w:b/>
      <w:bCs/>
    </w:rPr>
  </w:style>
  <w:style w:type="character" w:customStyle="1" w:styleId="CommentSubjectChar">
    <w:name w:val="Comment Subject Char"/>
    <w:basedOn w:val="CommentTextChar"/>
    <w:link w:val="CommentSubject"/>
    <w:uiPriority w:val="99"/>
    <w:semiHidden/>
    <w:rsid w:val="00394578"/>
    <w:rPr>
      <w:b/>
      <w:bCs/>
      <w:sz w:val="20"/>
      <w:szCs w:val="20"/>
    </w:rPr>
  </w:style>
  <w:style w:type="paragraph" w:styleId="ListParagraph">
    <w:name w:val="List Paragraph"/>
    <w:basedOn w:val="Normal"/>
    <w:uiPriority w:val="34"/>
    <w:qFormat/>
    <w:rsid w:val="002F0786"/>
    <w:pPr>
      <w:ind w:left="720"/>
      <w:contextualSpacing/>
    </w:pPr>
  </w:style>
  <w:style w:type="character" w:styleId="Hyperlink">
    <w:name w:val="Hyperlink"/>
    <w:basedOn w:val="DefaultParagraphFont"/>
    <w:uiPriority w:val="99"/>
    <w:unhideWhenUsed/>
    <w:rsid w:val="00671312"/>
    <w:rPr>
      <w:color w:val="0563C1" w:themeColor="hyperlink"/>
      <w:u w:val="single"/>
    </w:rPr>
  </w:style>
  <w:style w:type="character" w:styleId="UnresolvedMention">
    <w:name w:val="Unresolved Mention"/>
    <w:basedOn w:val="DefaultParagraphFont"/>
    <w:uiPriority w:val="99"/>
    <w:semiHidden/>
    <w:unhideWhenUsed/>
    <w:rsid w:val="0067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7385">
      <w:bodyDiv w:val="1"/>
      <w:marLeft w:val="0"/>
      <w:marRight w:val="0"/>
      <w:marTop w:val="0"/>
      <w:marBottom w:val="0"/>
      <w:divBdr>
        <w:top w:val="none" w:sz="0" w:space="0" w:color="auto"/>
        <w:left w:val="none" w:sz="0" w:space="0" w:color="auto"/>
        <w:bottom w:val="none" w:sz="0" w:space="0" w:color="auto"/>
        <w:right w:val="none" w:sz="0" w:space="0" w:color="auto"/>
      </w:divBdr>
    </w:div>
    <w:div w:id="192963201">
      <w:bodyDiv w:val="1"/>
      <w:marLeft w:val="0"/>
      <w:marRight w:val="0"/>
      <w:marTop w:val="0"/>
      <w:marBottom w:val="0"/>
      <w:divBdr>
        <w:top w:val="none" w:sz="0" w:space="0" w:color="auto"/>
        <w:left w:val="none" w:sz="0" w:space="0" w:color="auto"/>
        <w:bottom w:val="none" w:sz="0" w:space="0" w:color="auto"/>
        <w:right w:val="none" w:sz="0" w:space="0" w:color="auto"/>
      </w:divBdr>
    </w:div>
    <w:div w:id="222563816">
      <w:bodyDiv w:val="1"/>
      <w:marLeft w:val="0"/>
      <w:marRight w:val="0"/>
      <w:marTop w:val="0"/>
      <w:marBottom w:val="0"/>
      <w:divBdr>
        <w:top w:val="none" w:sz="0" w:space="0" w:color="auto"/>
        <w:left w:val="none" w:sz="0" w:space="0" w:color="auto"/>
        <w:bottom w:val="none" w:sz="0" w:space="0" w:color="auto"/>
        <w:right w:val="none" w:sz="0" w:space="0" w:color="auto"/>
      </w:divBdr>
    </w:div>
    <w:div w:id="244000809">
      <w:bodyDiv w:val="1"/>
      <w:marLeft w:val="0"/>
      <w:marRight w:val="0"/>
      <w:marTop w:val="0"/>
      <w:marBottom w:val="0"/>
      <w:divBdr>
        <w:top w:val="none" w:sz="0" w:space="0" w:color="auto"/>
        <w:left w:val="none" w:sz="0" w:space="0" w:color="auto"/>
        <w:bottom w:val="none" w:sz="0" w:space="0" w:color="auto"/>
        <w:right w:val="none" w:sz="0" w:space="0" w:color="auto"/>
      </w:divBdr>
    </w:div>
    <w:div w:id="285164273">
      <w:bodyDiv w:val="1"/>
      <w:marLeft w:val="0"/>
      <w:marRight w:val="0"/>
      <w:marTop w:val="0"/>
      <w:marBottom w:val="0"/>
      <w:divBdr>
        <w:top w:val="none" w:sz="0" w:space="0" w:color="auto"/>
        <w:left w:val="none" w:sz="0" w:space="0" w:color="auto"/>
        <w:bottom w:val="none" w:sz="0" w:space="0" w:color="auto"/>
        <w:right w:val="none" w:sz="0" w:space="0" w:color="auto"/>
      </w:divBdr>
    </w:div>
    <w:div w:id="305429423">
      <w:bodyDiv w:val="1"/>
      <w:marLeft w:val="0"/>
      <w:marRight w:val="0"/>
      <w:marTop w:val="0"/>
      <w:marBottom w:val="0"/>
      <w:divBdr>
        <w:top w:val="none" w:sz="0" w:space="0" w:color="auto"/>
        <w:left w:val="none" w:sz="0" w:space="0" w:color="auto"/>
        <w:bottom w:val="none" w:sz="0" w:space="0" w:color="auto"/>
        <w:right w:val="none" w:sz="0" w:space="0" w:color="auto"/>
      </w:divBdr>
    </w:div>
    <w:div w:id="345644726">
      <w:bodyDiv w:val="1"/>
      <w:marLeft w:val="0"/>
      <w:marRight w:val="0"/>
      <w:marTop w:val="0"/>
      <w:marBottom w:val="0"/>
      <w:divBdr>
        <w:top w:val="none" w:sz="0" w:space="0" w:color="auto"/>
        <w:left w:val="none" w:sz="0" w:space="0" w:color="auto"/>
        <w:bottom w:val="none" w:sz="0" w:space="0" w:color="auto"/>
        <w:right w:val="none" w:sz="0" w:space="0" w:color="auto"/>
      </w:divBdr>
    </w:div>
    <w:div w:id="355276556">
      <w:bodyDiv w:val="1"/>
      <w:marLeft w:val="0"/>
      <w:marRight w:val="0"/>
      <w:marTop w:val="0"/>
      <w:marBottom w:val="0"/>
      <w:divBdr>
        <w:top w:val="none" w:sz="0" w:space="0" w:color="auto"/>
        <w:left w:val="none" w:sz="0" w:space="0" w:color="auto"/>
        <w:bottom w:val="none" w:sz="0" w:space="0" w:color="auto"/>
        <w:right w:val="none" w:sz="0" w:space="0" w:color="auto"/>
      </w:divBdr>
    </w:div>
    <w:div w:id="420371513">
      <w:bodyDiv w:val="1"/>
      <w:marLeft w:val="0"/>
      <w:marRight w:val="0"/>
      <w:marTop w:val="0"/>
      <w:marBottom w:val="0"/>
      <w:divBdr>
        <w:top w:val="none" w:sz="0" w:space="0" w:color="auto"/>
        <w:left w:val="none" w:sz="0" w:space="0" w:color="auto"/>
        <w:bottom w:val="none" w:sz="0" w:space="0" w:color="auto"/>
        <w:right w:val="none" w:sz="0" w:space="0" w:color="auto"/>
      </w:divBdr>
    </w:div>
    <w:div w:id="422729153">
      <w:bodyDiv w:val="1"/>
      <w:marLeft w:val="0"/>
      <w:marRight w:val="0"/>
      <w:marTop w:val="0"/>
      <w:marBottom w:val="0"/>
      <w:divBdr>
        <w:top w:val="none" w:sz="0" w:space="0" w:color="auto"/>
        <w:left w:val="none" w:sz="0" w:space="0" w:color="auto"/>
        <w:bottom w:val="none" w:sz="0" w:space="0" w:color="auto"/>
        <w:right w:val="none" w:sz="0" w:space="0" w:color="auto"/>
      </w:divBdr>
    </w:div>
    <w:div w:id="462115446">
      <w:bodyDiv w:val="1"/>
      <w:marLeft w:val="0"/>
      <w:marRight w:val="0"/>
      <w:marTop w:val="0"/>
      <w:marBottom w:val="0"/>
      <w:divBdr>
        <w:top w:val="none" w:sz="0" w:space="0" w:color="auto"/>
        <w:left w:val="none" w:sz="0" w:space="0" w:color="auto"/>
        <w:bottom w:val="none" w:sz="0" w:space="0" w:color="auto"/>
        <w:right w:val="none" w:sz="0" w:space="0" w:color="auto"/>
      </w:divBdr>
    </w:div>
    <w:div w:id="581646442">
      <w:bodyDiv w:val="1"/>
      <w:marLeft w:val="0"/>
      <w:marRight w:val="0"/>
      <w:marTop w:val="0"/>
      <w:marBottom w:val="0"/>
      <w:divBdr>
        <w:top w:val="none" w:sz="0" w:space="0" w:color="auto"/>
        <w:left w:val="none" w:sz="0" w:space="0" w:color="auto"/>
        <w:bottom w:val="none" w:sz="0" w:space="0" w:color="auto"/>
        <w:right w:val="none" w:sz="0" w:space="0" w:color="auto"/>
      </w:divBdr>
    </w:div>
    <w:div w:id="762602448">
      <w:bodyDiv w:val="1"/>
      <w:marLeft w:val="0"/>
      <w:marRight w:val="0"/>
      <w:marTop w:val="0"/>
      <w:marBottom w:val="0"/>
      <w:divBdr>
        <w:top w:val="none" w:sz="0" w:space="0" w:color="auto"/>
        <w:left w:val="none" w:sz="0" w:space="0" w:color="auto"/>
        <w:bottom w:val="none" w:sz="0" w:space="0" w:color="auto"/>
        <w:right w:val="none" w:sz="0" w:space="0" w:color="auto"/>
      </w:divBdr>
    </w:div>
    <w:div w:id="794253888">
      <w:bodyDiv w:val="1"/>
      <w:marLeft w:val="0"/>
      <w:marRight w:val="0"/>
      <w:marTop w:val="0"/>
      <w:marBottom w:val="0"/>
      <w:divBdr>
        <w:top w:val="none" w:sz="0" w:space="0" w:color="auto"/>
        <w:left w:val="none" w:sz="0" w:space="0" w:color="auto"/>
        <w:bottom w:val="none" w:sz="0" w:space="0" w:color="auto"/>
        <w:right w:val="none" w:sz="0" w:space="0" w:color="auto"/>
      </w:divBdr>
    </w:div>
    <w:div w:id="817301703">
      <w:bodyDiv w:val="1"/>
      <w:marLeft w:val="0"/>
      <w:marRight w:val="0"/>
      <w:marTop w:val="0"/>
      <w:marBottom w:val="0"/>
      <w:divBdr>
        <w:top w:val="none" w:sz="0" w:space="0" w:color="auto"/>
        <w:left w:val="none" w:sz="0" w:space="0" w:color="auto"/>
        <w:bottom w:val="none" w:sz="0" w:space="0" w:color="auto"/>
        <w:right w:val="none" w:sz="0" w:space="0" w:color="auto"/>
      </w:divBdr>
    </w:div>
    <w:div w:id="945579943">
      <w:bodyDiv w:val="1"/>
      <w:marLeft w:val="0"/>
      <w:marRight w:val="0"/>
      <w:marTop w:val="0"/>
      <w:marBottom w:val="0"/>
      <w:divBdr>
        <w:top w:val="none" w:sz="0" w:space="0" w:color="auto"/>
        <w:left w:val="none" w:sz="0" w:space="0" w:color="auto"/>
        <w:bottom w:val="none" w:sz="0" w:space="0" w:color="auto"/>
        <w:right w:val="none" w:sz="0" w:space="0" w:color="auto"/>
      </w:divBdr>
    </w:div>
    <w:div w:id="982662111">
      <w:bodyDiv w:val="1"/>
      <w:marLeft w:val="0"/>
      <w:marRight w:val="0"/>
      <w:marTop w:val="0"/>
      <w:marBottom w:val="0"/>
      <w:divBdr>
        <w:top w:val="none" w:sz="0" w:space="0" w:color="auto"/>
        <w:left w:val="none" w:sz="0" w:space="0" w:color="auto"/>
        <w:bottom w:val="none" w:sz="0" w:space="0" w:color="auto"/>
        <w:right w:val="none" w:sz="0" w:space="0" w:color="auto"/>
      </w:divBdr>
    </w:div>
    <w:div w:id="983197056">
      <w:bodyDiv w:val="1"/>
      <w:marLeft w:val="0"/>
      <w:marRight w:val="0"/>
      <w:marTop w:val="0"/>
      <w:marBottom w:val="0"/>
      <w:divBdr>
        <w:top w:val="none" w:sz="0" w:space="0" w:color="auto"/>
        <w:left w:val="none" w:sz="0" w:space="0" w:color="auto"/>
        <w:bottom w:val="none" w:sz="0" w:space="0" w:color="auto"/>
        <w:right w:val="none" w:sz="0" w:space="0" w:color="auto"/>
      </w:divBdr>
    </w:div>
    <w:div w:id="1020282912">
      <w:bodyDiv w:val="1"/>
      <w:marLeft w:val="0"/>
      <w:marRight w:val="0"/>
      <w:marTop w:val="0"/>
      <w:marBottom w:val="0"/>
      <w:divBdr>
        <w:top w:val="none" w:sz="0" w:space="0" w:color="auto"/>
        <w:left w:val="none" w:sz="0" w:space="0" w:color="auto"/>
        <w:bottom w:val="none" w:sz="0" w:space="0" w:color="auto"/>
        <w:right w:val="none" w:sz="0" w:space="0" w:color="auto"/>
      </w:divBdr>
    </w:div>
    <w:div w:id="1069957667">
      <w:bodyDiv w:val="1"/>
      <w:marLeft w:val="0"/>
      <w:marRight w:val="0"/>
      <w:marTop w:val="0"/>
      <w:marBottom w:val="0"/>
      <w:divBdr>
        <w:top w:val="none" w:sz="0" w:space="0" w:color="auto"/>
        <w:left w:val="none" w:sz="0" w:space="0" w:color="auto"/>
        <w:bottom w:val="none" w:sz="0" w:space="0" w:color="auto"/>
        <w:right w:val="none" w:sz="0" w:space="0" w:color="auto"/>
      </w:divBdr>
    </w:div>
    <w:div w:id="1107651170">
      <w:bodyDiv w:val="1"/>
      <w:marLeft w:val="0"/>
      <w:marRight w:val="0"/>
      <w:marTop w:val="0"/>
      <w:marBottom w:val="0"/>
      <w:divBdr>
        <w:top w:val="none" w:sz="0" w:space="0" w:color="auto"/>
        <w:left w:val="none" w:sz="0" w:space="0" w:color="auto"/>
        <w:bottom w:val="none" w:sz="0" w:space="0" w:color="auto"/>
        <w:right w:val="none" w:sz="0" w:space="0" w:color="auto"/>
      </w:divBdr>
    </w:div>
    <w:div w:id="1111121613">
      <w:bodyDiv w:val="1"/>
      <w:marLeft w:val="0"/>
      <w:marRight w:val="0"/>
      <w:marTop w:val="0"/>
      <w:marBottom w:val="0"/>
      <w:divBdr>
        <w:top w:val="none" w:sz="0" w:space="0" w:color="auto"/>
        <w:left w:val="none" w:sz="0" w:space="0" w:color="auto"/>
        <w:bottom w:val="none" w:sz="0" w:space="0" w:color="auto"/>
        <w:right w:val="none" w:sz="0" w:space="0" w:color="auto"/>
      </w:divBdr>
    </w:div>
    <w:div w:id="1399745496">
      <w:bodyDiv w:val="1"/>
      <w:marLeft w:val="0"/>
      <w:marRight w:val="0"/>
      <w:marTop w:val="0"/>
      <w:marBottom w:val="0"/>
      <w:divBdr>
        <w:top w:val="none" w:sz="0" w:space="0" w:color="auto"/>
        <w:left w:val="none" w:sz="0" w:space="0" w:color="auto"/>
        <w:bottom w:val="none" w:sz="0" w:space="0" w:color="auto"/>
        <w:right w:val="none" w:sz="0" w:space="0" w:color="auto"/>
      </w:divBdr>
    </w:div>
    <w:div w:id="1501967758">
      <w:bodyDiv w:val="1"/>
      <w:marLeft w:val="0"/>
      <w:marRight w:val="0"/>
      <w:marTop w:val="0"/>
      <w:marBottom w:val="0"/>
      <w:divBdr>
        <w:top w:val="none" w:sz="0" w:space="0" w:color="auto"/>
        <w:left w:val="none" w:sz="0" w:space="0" w:color="auto"/>
        <w:bottom w:val="none" w:sz="0" w:space="0" w:color="auto"/>
        <w:right w:val="none" w:sz="0" w:space="0" w:color="auto"/>
      </w:divBdr>
    </w:div>
    <w:div w:id="1511412337">
      <w:bodyDiv w:val="1"/>
      <w:marLeft w:val="0"/>
      <w:marRight w:val="0"/>
      <w:marTop w:val="0"/>
      <w:marBottom w:val="0"/>
      <w:divBdr>
        <w:top w:val="none" w:sz="0" w:space="0" w:color="auto"/>
        <w:left w:val="none" w:sz="0" w:space="0" w:color="auto"/>
        <w:bottom w:val="none" w:sz="0" w:space="0" w:color="auto"/>
        <w:right w:val="none" w:sz="0" w:space="0" w:color="auto"/>
      </w:divBdr>
    </w:div>
    <w:div w:id="1512331964">
      <w:bodyDiv w:val="1"/>
      <w:marLeft w:val="0"/>
      <w:marRight w:val="0"/>
      <w:marTop w:val="0"/>
      <w:marBottom w:val="0"/>
      <w:divBdr>
        <w:top w:val="none" w:sz="0" w:space="0" w:color="auto"/>
        <w:left w:val="none" w:sz="0" w:space="0" w:color="auto"/>
        <w:bottom w:val="none" w:sz="0" w:space="0" w:color="auto"/>
        <w:right w:val="none" w:sz="0" w:space="0" w:color="auto"/>
      </w:divBdr>
    </w:div>
    <w:div w:id="1739546443">
      <w:bodyDiv w:val="1"/>
      <w:marLeft w:val="0"/>
      <w:marRight w:val="0"/>
      <w:marTop w:val="0"/>
      <w:marBottom w:val="0"/>
      <w:divBdr>
        <w:top w:val="none" w:sz="0" w:space="0" w:color="auto"/>
        <w:left w:val="none" w:sz="0" w:space="0" w:color="auto"/>
        <w:bottom w:val="none" w:sz="0" w:space="0" w:color="auto"/>
        <w:right w:val="none" w:sz="0" w:space="0" w:color="auto"/>
      </w:divBdr>
    </w:div>
    <w:div w:id="193720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qeq.com/luxembourg-sfdr-disclosures/" TargetMode="Externa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BB1B-8FE4-402D-8251-FBB29785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3625</Words>
  <Characters>19941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Microsoft Word - JCP_JCFM_Website_disclosure_V05 - Final</vt:lpstr>
    </vt:vector>
  </TitlesOfParts>
  <Company>KLEYRGRASSO</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JCP_JCFM_Website_disclosure_V05 - Final</dc:title>
  <dc:creator>sdekerdrel</dc:creator>
  <cp:lastModifiedBy>Charley Castaing</cp:lastModifiedBy>
  <cp:revision>16</cp:revision>
  <cp:lastPrinted>2024-02-06T15:36:00Z</cp:lastPrinted>
  <dcterms:created xsi:type="dcterms:W3CDTF">2025-06-04T12:54:00Z</dcterms:created>
  <dcterms:modified xsi:type="dcterms:W3CDTF">2025-06-04T14:29:00Z</dcterms:modified>
</cp:coreProperties>
</file>