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AD06" w14:textId="3C7BD74D"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605BA156" w14:textId="77777777"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36493822" w14:textId="77777777"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31FB4CAA" w14:textId="77777777"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10B8E735" w14:textId="77777777"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208AA0BE" w14:textId="77777777" w:rsidR="00DA606B" w:rsidRPr="00162979" w:rsidRDefault="00DA606B" w:rsidP="00DA606B">
      <w:pPr>
        <w:pStyle w:val="doc-ti"/>
        <w:shd w:val="clear" w:color="auto" w:fill="FFFFFF"/>
        <w:spacing w:before="0" w:beforeAutospacing="0" w:after="0" w:afterAutospacing="0" w:line="312" w:lineRule="atLeast"/>
        <w:jc w:val="center"/>
        <w:rPr>
          <w:rFonts w:ascii="Calibri" w:hAnsi="Calibri"/>
          <w:noProof/>
          <w:lang w:val="en-US"/>
        </w:rPr>
      </w:pPr>
    </w:p>
    <w:p w14:paraId="01454D41" w14:textId="77777777" w:rsidR="0057642C" w:rsidRPr="00162979" w:rsidRDefault="0057642C" w:rsidP="00DA606B">
      <w:pPr>
        <w:pStyle w:val="doc-ti"/>
        <w:shd w:val="clear" w:color="auto" w:fill="FFFFFF"/>
        <w:spacing w:before="0" w:beforeAutospacing="0" w:after="0" w:afterAutospacing="0" w:line="312" w:lineRule="atLeast"/>
        <w:jc w:val="center"/>
        <w:rPr>
          <w:rFonts w:ascii="Calibri" w:hAnsi="Calibri"/>
          <w:noProof/>
          <w:lang w:val="en-US"/>
        </w:rPr>
      </w:pPr>
    </w:p>
    <w:p w14:paraId="5AB15AE1" w14:textId="77777777" w:rsidR="0057642C" w:rsidRPr="00162979" w:rsidRDefault="0057642C" w:rsidP="00DA606B">
      <w:pPr>
        <w:pStyle w:val="doc-ti"/>
        <w:shd w:val="clear" w:color="auto" w:fill="FFFFFF"/>
        <w:spacing w:before="0" w:beforeAutospacing="0" w:after="0" w:afterAutospacing="0" w:line="312" w:lineRule="atLeast"/>
        <w:jc w:val="center"/>
        <w:rPr>
          <w:rFonts w:ascii="Calibri" w:hAnsi="Calibri"/>
          <w:noProof/>
          <w:lang w:val="en-US"/>
        </w:rPr>
      </w:pPr>
    </w:p>
    <w:p w14:paraId="60F84048" w14:textId="77777777" w:rsidR="0057642C" w:rsidRPr="00162979" w:rsidRDefault="0057642C" w:rsidP="00DA606B">
      <w:pPr>
        <w:pStyle w:val="doc-ti"/>
        <w:shd w:val="clear" w:color="auto" w:fill="FFFFFF"/>
        <w:spacing w:before="0" w:beforeAutospacing="0" w:after="0" w:afterAutospacing="0" w:line="312" w:lineRule="atLeast"/>
        <w:jc w:val="center"/>
        <w:rPr>
          <w:rFonts w:ascii="Calibri" w:hAnsi="Calibri"/>
          <w:noProof/>
          <w:lang w:val="en-US"/>
        </w:rPr>
      </w:pPr>
    </w:p>
    <w:p w14:paraId="2EC6E798" w14:textId="77777777" w:rsidR="0057642C" w:rsidRPr="00162979" w:rsidRDefault="0057642C" w:rsidP="00DA606B">
      <w:pPr>
        <w:pStyle w:val="doc-ti"/>
        <w:shd w:val="clear" w:color="auto" w:fill="FFFFFF"/>
        <w:spacing w:before="0" w:beforeAutospacing="0" w:after="0" w:afterAutospacing="0" w:line="312" w:lineRule="atLeast"/>
        <w:jc w:val="center"/>
        <w:rPr>
          <w:rFonts w:ascii="Calibri" w:hAnsi="Calibri"/>
          <w:noProof/>
          <w:lang w:val="en-US"/>
        </w:rPr>
      </w:pPr>
    </w:p>
    <w:p w14:paraId="1FAF791A" w14:textId="77777777" w:rsidR="00DA606B" w:rsidRPr="00162979" w:rsidRDefault="00DA606B" w:rsidP="0057642C">
      <w:pPr>
        <w:pStyle w:val="doc-ti"/>
        <w:shd w:val="clear" w:color="auto" w:fill="FFFFFF"/>
        <w:spacing w:before="0" w:beforeAutospacing="0" w:after="0" w:afterAutospacing="0" w:line="312" w:lineRule="atLeast"/>
        <w:ind w:left="-1417"/>
        <w:jc w:val="center"/>
        <w:rPr>
          <w:rFonts w:ascii="Calibri" w:hAnsi="Calibri"/>
          <w:noProof/>
          <w:lang w:val="en-US"/>
        </w:rPr>
      </w:pPr>
    </w:p>
    <w:p w14:paraId="649FAF85" w14:textId="77777777" w:rsidR="009A6567" w:rsidRDefault="009A6567" w:rsidP="00DA606B">
      <w:pPr>
        <w:pStyle w:val="doc-ti"/>
        <w:shd w:val="clear" w:color="auto" w:fill="FFFFFF"/>
        <w:spacing w:before="0" w:beforeAutospacing="0" w:after="0" w:afterAutospacing="0" w:line="312" w:lineRule="atLeast"/>
        <w:jc w:val="center"/>
        <w:rPr>
          <w:rFonts w:ascii="Calibri" w:hAnsi="Calibri"/>
          <w:noProof/>
          <w:lang w:val="en-US"/>
        </w:rPr>
      </w:pPr>
    </w:p>
    <w:p w14:paraId="604D2EDC" w14:textId="75FF77B1" w:rsidR="00BC0F53" w:rsidRPr="00162979" w:rsidRDefault="0041538B" w:rsidP="00DA606B">
      <w:pPr>
        <w:pStyle w:val="doc-ti"/>
        <w:shd w:val="clear" w:color="auto" w:fill="FFFFFF"/>
        <w:spacing w:before="0" w:beforeAutospacing="0" w:after="0" w:afterAutospacing="0" w:line="312" w:lineRule="atLeast"/>
        <w:jc w:val="center"/>
        <w:rPr>
          <w:rFonts w:ascii="Calibri" w:hAnsi="Calibri"/>
          <w:noProof/>
          <w:lang w:val="en-US"/>
        </w:rPr>
      </w:pPr>
      <w:r w:rsidRPr="00162979">
        <w:rPr>
          <w:rFonts w:cs="Arial"/>
          <w:b/>
          <w:noProof/>
          <w:color w:val="244061" w:themeColor="accent1" w:themeShade="80"/>
          <w:sz w:val="32"/>
          <w:lang w:val="en-US"/>
        </w:rPr>
        <mc:AlternateContent>
          <mc:Choice Requires="wps">
            <w:drawing>
              <wp:anchor distT="0" distB="0" distL="114300" distR="114300" simplePos="0" relativeHeight="251657216" behindDoc="0" locked="0" layoutInCell="1" allowOverlap="1" wp14:anchorId="793DC07B" wp14:editId="0674DEC3">
                <wp:simplePos x="0" y="0"/>
                <wp:positionH relativeFrom="column">
                  <wp:posOffset>-939800</wp:posOffset>
                </wp:positionH>
                <wp:positionV relativeFrom="paragraph">
                  <wp:posOffset>175674</wp:posOffset>
                </wp:positionV>
                <wp:extent cx="7617350" cy="1097280"/>
                <wp:effectExtent l="0" t="0" r="22225" b="26670"/>
                <wp:wrapNone/>
                <wp:docPr id="15" name="Text Box 15"/>
                <wp:cNvGraphicFramePr/>
                <a:graphic xmlns:a="http://schemas.openxmlformats.org/drawingml/2006/main">
                  <a:graphicData uri="http://schemas.microsoft.com/office/word/2010/wordprocessingShape">
                    <wps:wsp>
                      <wps:cNvSpPr txBox="1"/>
                      <wps:spPr>
                        <a:xfrm>
                          <a:off x="0" y="0"/>
                          <a:ext cx="7617350" cy="1097280"/>
                        </a:xfrm>
                        <a:prstGeom prst="rect">
                          <a:avLst/>
                        </a:prstGeom>
                        <a:solidFill>
                          <a:schemeClr val="tx2">
                            <a:lumMod val="75000"/>
                          </a:schemeClr>
                        </a:solidFill>
                        <a:ln w="6350">
                          <a:solidFill>
                            <a:schemeClr val="tx2">
                              <a:lumMod val="75000"/>
                            </a:schemeClr>
                          </a:solidFill>
                        </a:ln>
                      </wps:spPr>
                      <wps:txbx>
                        <w:txbxContent>
                          <w:p w14:paraId="536E4AB0" w14:textId="4CC710BC" w:rsidR="0041538B" w:rsidRPr="0021799F" w:rsidRDefault="0041538B" w:rsidP="0041538B">
                            <w:pPr>
                              <w:jc w:val="center"/>
                              <w:rPr>
                                <w:sz w:val="48"/>
                                <w:szCs w:val="48"/>
                                <w:lang w:val="en-GB"/>
                              </w:rPr>
                            </w:pPr>
                            <w:r w:rsidRPr="0021799F">
                              <w:rPr>
                                <w:sz w:val="48"/>
                                <w:szCs w:val="48"/>
                                <w:lang w:val="en-GB"/>
                              </w:rPr>
                              <w:t>Article 10 (SFDR)</w:t>
                            </w:r>
                          </w:p>
                          <w:p w14:paraId="2FD77060" w14:textId="0BD9ED71" w:rsidR="0041538B" w:rsidRPr="0041538B" w:rsidRDefault="0041538B" w:rsidP="0041538B">
                            <w:pPr>
                              <w:jc w:val="center"/>
                              <w:rPr>
                                <w:sz w:val="48"/>
                                <w:szCs w:val="48"/>
                                <w:lang w:val="en-GB"/>
                              </w:rPr>
                            </w:pPr>
                            <w:r w:rsidRPr="0041538B">
                              <w:rPr>
                                <w:sz w:val="48"/>
                                <w:szCs w:val="48"/>
                                <w:lang w:val="en-GB"/>
                              </w:rPr>
                              <w:t>Website disclosure for an Article 8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DC07B" id="_x0000_t202" coordsize="21600,21600" o:spt="202" path="m,l,21600r21600,l21600,xe">
                <v:stroke joinstyle="miter"/>
                <v:path gradientshapeok="t" o:connecttype="rect"/>
              </v:shapetype>
              <v:shape id="Text Box 15" o:spid="_x0000_s1026" type="#_x0000_t202" style="position:absolute;left:0;text-align:left;margin-left:-74pt;margin-top:13.85pt;width:599.8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LkUwIAAOwEAAAOAAAAZHJzL2Uyb0RvYy54bWy0VE1PGzEQvVfqf7B8L7tJEwIRG5SCqCpR&#10;QIKKs+P1JivZHtd2skt/fZ+9CVDaU9VevOOZ8Xy8mbdn573RbKd8aMlWfHRUcqaspLq164p/e7j6&#10;cMJZiMLWQpNVFX9SgZ8v3r8769xcjWlDulaeIYgN885VfBOjmxdFkBtlRDgipyyMDXkjIq5+XdRe&#10;dIhudDEuy+OiI187T1KFAO3lYOSLHL9plIy3TRNUZLriqC3m0+dzlc5icSbmay/cppX7MsRfVGFE&#10;a5H0OdSliIJtfftbKNNKT4GaeCTJFNQ0rVS5B3QzKt90c78RTuVeAE5wzzCFfxdW3uzuPGtrzG7K&#10;mRUGM3pQfWSfqGdQAZ/OhTnc7h0cYw89fA/6AGVqu2+8SV80xGAH0k/P6KZoEsrZ8Wj2cQqThG1U&#10;ns7GJxn/4uW58yF+VmRYEiruMb6Mqthdh4hS4HpwSdkC6ba+arXOl7Qy6kJ7thMYduzH+anemq9U&#10;D7rZtCwPKfOGJfcc9ZdI2rKu4sep1v+WBZ1oi9QJ3AHEJMV+1e8RX1H9BMA9DSsbnLxqAcq1CPFO&#10;eOwogATv4i2ORhMKpr3E2Yb8jz/pkz9WB1bOOux8xcP3rfCKM/3FYqlOR5NJIkm+TKazMS7+tWX1&#10;2mK35oKA9AgMdzKLyT/qg9h4Mo+g5zJlhUlYidwYzUG8iAMTQW+plsvsBFo4Ea/tvZMpdBpAGvlD&#10;/yi82+9FxErd0IEdYv5mPQbf9NLSchupafPuJIAHVPe4g1J5+Hv6J86+vmevl5/U4icAAAD//wMA&#10;UEsDBBQABgAIAAAAIQAVPAWM4AAAAAwBAAAPAAAAZHJzL2Rvd25yZXYueG1sTI/NTsMwEITvSLyD&#10;tUhcUGun9CcKcSqK6IlTCxdu29gkEfbait3WfXvcEz3Ozmj2m3qdrGEnPYbBkYRiKoBpap0aqJPw&#10;9bmdlMBCRFJoHGkJFx1g3dzf1Vgpd6adPu1jx3IJhQol9DH6ivPQ9tpimDqvKXs/brQYsxw7rkY8&#10;53Jr+EyIJbc4UP7Qo9dvvW5/90cr4R3N1m/Gb5Ge0gWfP3Dny/lGyseH9PoCLOoU/8Nwxc/o0GSm&#10;gzuSCsxImBTzMo+JEmarFbBrQiyKJbBDvgixAN7U/HZE8wcAAP//AwBQSwECLQAUAAYACAAAACEA&#10;toM4kv4AAADhAQAAEwAAAAAAAAAAAAAAAAAAAAAAW0NvbnRlbnRfVHlwZXNdLnhtbFBLAQItABQA&#10;BgAIAAAAIQA4/SH/1gAAAJQBAAALAAAAAAAAAAAAAAAAAC8BAABfcmVscy8ucmVsc1BLAQItABQA&#10;BgAIAAAAIQDVIELkUwIAAOwEAAAOAAAAAAAAAAAAAAAAAC4CAABkcnMvZTJvRG9jLnhtbFBLAQIt&#10;ABQABgAIAAAAIQAVPAWM4AAAAAwBAAAPAAAAAAAAAAAAAAAAAK0EAABkcnMvZG93bnJldi54bWxQ&#10;SwUGAAAAAAQABADzAAAAugUAAAAA&#10;" fillcolor="#17365d [2415]" strokecolor="#17365d [2415]" strokeweight=".5pt">
                <v:textbox>
                  <w:txbxContent>
                    <w:p w14:paraId="536E4AB0" w14:textId="4CC710BC" w:rsidR="0041538B" w:rsidRPr="0021799F" w:rsidRDefault="0041538B" w:rsidP="0041538B">
                      <w:pPr>
                        <w:jc w:val="center"/>
                        <w:rPr>
                          <w:sz w:val="48"/>
                          <w:szCs w:val="48"/>
                          <w:lang w:val="en-GB"/>
                        </w:rPr>
                      </w:pPr>
                      <w:r w:rsidRPr="0021799F">
                        <w:rPr>
                          <w:sz w:val="48"/>
                          <w:szCs w:val="48"/>
                          <w:lang w:val="en-GB"/>
                        </w:rPr>
                        <w:t>Article 10 (SFDR)</w:t>
                      </w:r>
                    </w:p>
                    <w:p w14:paraId="2FD77060" w14:textId="0BD9ED71" w:rsidR="0041538B" w:rsidRPr="0041538B" w:rsidRDefault="0041538B" w:rsidP="0041538B">
                      <w:pPr>
                        <w:jc w:val="center"/>
                        <w:rPr>
                          <w:sz w:val="48"/>
                          <w:szCs w:val="48"/>
                          <w:lang w:val="en-GB"/>
                        </w:rPr>
                      </w:pPr>
                      <w:r w:rsidRPr="0041538B">
                        <w:rPr>
                          <w:sz w:val="48"/>
                          <w:szCs w:val="48"/>
                          <w:lang w:val="en-GB"/>
                        </w:rPr>
                        <w:t>Website disclosure for an Article 8 fund</w:t>
                      </w:r>
                    </w:p>
                  </w:txbxContent>
                </v:textbox>
              </v:shape>
            </w:pict>
          </mc:Fallback>
        </mc:AlternateContent>
      </w:r>
    </w:p>
    <w:p w14:paraId="1FAAF151" w14:textId="13C47831" w:rsidR="001F4AE6" w:rsidRPr="00162979" w:rsidRDefault="001F4AE6" w:rsidP="00DA606B">
      <w:pPr>
        <w:pStyle w:val="doc-ti"/>
        <w:shd w:val="clear" w:color="auto" w:fill="FFFFFF"/>
        <w:spacing w:before="0" w:beforeAutospacing="0" w:after="0" w:afterAutospacing="0" w:line="312" w:lineRule="atLeast"/>
        <w:jc w:val="center"/>
        <w:rPr>
          <w:rFonts w:ascii="Calibri" w:hAnsi="Calibri"/>
          <w:noProof/>
          <w:lang w:val="en-US"/>
        </w:rPr>
      </w:pPr>
    </w:p>
    <w:p w14:paraId="11DD83B7" w14:textId="3B4A5009" w:rsidR="0057642C" w:rsidRPr="00162979" w:rsidRDefault="0057642C" w:rsidP="0057642C">
      <w:pPr>
        <w:tabs>
          <w:tab w:val="left" w:pos="2268"/>
        </w:tabs>
        <w:spacing w:after="0"/>
        <w:ind w:hanging="1417"/>
        <w:jc w:val="center"/>
        <w:rPr>
          <w:rFonts w:cs="Arial"/>
          <w:b/>
          <w:color w:val="244061" w:themeColor="accent1" w:themeShade="80"/>
          <w:sz w:val="32"/>
          <w:lang w:val="en-US"/>
        </w:rPr>
      </w:pPr>
    </w:p>
    <w:p w14:paraId="5F988594" w14:textId="79495D52" w:rsidR="0041538B" w:rsidRPr="00162979" w:rsidRDefault="0041538B" w:rsidP="0057642C">
      <w:pPr>
        <w:tabs>
          <w:tab w:val="left" w:pos="2268"/>
        </w:tabs>
        <w:spacing w:after="0"/>
        <w:ind w:hanging="1417"/>
        <w:jc w:val="center"/>
        <w:rPr>
          <w:rFonts w:cs="Arial"/>
          <w:b/>
          <w:color w:val="244061" w:themeColor="accent1" w:themeShade="80"/>
          <w:sz w:val="32"/>
          <w:lang w:val="en-US"/>
        </w:rPr>
      </w:pPr>
    </w:p>
    <w:p w14:paraId="0E8E1BD6" w14:textId="7CCE9CC2" w:rsidR="0041538B" w:rsidRPr="00162979" w:rsidRDefault="0041538B" w:rsidP="0057642C">
      <w:pPr>
        <w:tabs>
          <w:tab w:val="left" w:pos="2268"/>
        </w:tabs>
        <w:spacing w:after="0"/>
        <w:ind w:hanging="1417"/>
        <w:jc w:val="center"/>
        <w:rPr>
          <w:rFonts w:cs="Arial"/>
          <w:b/>
          <w:color w:val="244061" w:themeColor="accent1" w:themeShade="80"/>
          <w:sz w:val="32"/>
          <w:lang w:val="en-US"/>
        </w:rPr>
      </w:pPr>
    </w:p>
    <w:p w14:paraId="1D60AB46" w14:textId="77777777" w:rsidR="0041538B" w:rsidRPr="00162979" w:rsidRDefault="0041538B" w:rsidP="0057642C">
      <w:pPr>
        <w:tabs>
          <w:tab w:val="left" w:pos="2268"/>
        </w:tabs>
        <w:spacing w:after="0"/>
        <w:ind w:hanging="1417"/>
        <w:jc w:val="center"/>
        <w:rPr>
          <w:rFonts w:cs="Arial"/>
          <w:b/>
          <w:color w:val="244061" w:themeColor="accent1" w:themeShade="80"/>
          <w:sz w:val="32"/>
          <w:lang w:val="en-US"/>
        </w:rPr>
      </w:pPr>
    </w:p>
    <w:p w14:paraId="3C1E39E0" w14:textId="282413CB" w:rsidR="00DA606B" w:rsidRPr="00162979" w:rsidRDefault="005F434F" w:rsidP="00BC0F53">
      <w:pPr>
        <w:spacing w:after="0" w:line="240" w:lineRule="auto"/>
        <w:jc w:val="center"/>
        <w:rPr>
          <w:rFonts w:cs="Arial"/>
          <w:b/>
          <w:color w:val="244061" w:themeColor="accent1" w:themeShade="80"/>
          <w:sz w:val="32"/>
          <w:lang w:val="en-US"/>
        </w:rPr>
      </w:pPr>
      <w:r w:rsidRPr="00162979">
        <w:rPr>
          <w:rFonts w:cs="Arial"/>
          <w:b/>
          <w:color w:val="244061" w:themeColor="accent1" w:themeShade="80"/>
          <w:sz w:val="32"/>
          <w:lang w:val="en-US"/>
        </w:rPr>
        <w:t xml:space="preserve">BRIGHT CAPITAL </w:t>
      </w:r>
      <w:r w:rsidR="000248FA">
        <w:rPr>
          <w:rFonts w:cs="Arial"/>
          <w:b/>
          <w:color w:val="244061" w:themeColor="accent1" w:themeShade="80"/>
          <w:sz w:val="32"/>
          <w:lang w:val="en-US"/>
        </w:rPr>
        <w:t xml:space="preserve">European </w:t>
      </w:r>
      <w:r w:rsidRPr="00162979">
        <w:rPr>
          <w:rFonts w:cs="Arial"/>
          <w:b/>
          <w:color w:val="244061" w:themeColor="accent1" w:themeShade="80"/>
          <w:sz w:val="32"/>
          <w:lang w:val="en-US"/>
        </w:rPr>
        <w:t>Credit Fund III</w:t>
      </w:r>
      <w:r w:rsidR="001D33AD">
        <w:rPr>
          <w:rFonts w:cs="Arial"/>
          <w:b/>
          <w:color w:val="244061" w:themeColor="accent1" w:themeShade="80"/>
          <w:sz w:val="32"/>
          <w:lang w:val="en-US"/>
        </w:rPr>
        <w:t>,</w:t>
      </w:r>
      <w:r w:rsidRPr="00162979">
        <w:rPr>
          <w:rFonts w:cs="Arial"/>
          <w:b/>
          <w:color w:val="244061" w:themeColor="accent1" w:themeShade="80"/>
          <w:sz w:val="32"/>
          <w:lang w:val="en-US"/>
        </w:rPr>
        <w:t xml:space="preserve"> SCSp</w:t>
      </w:r>
    </w:p>
    <w:p w14:paraId="3D795AB7" w14:textId="77777777" w:rsidR="00BC0F53" w:rsidRPr="00162979" w:rsidRDefault="00BC0F53" w:rsidP="00DA606B">
      <w:pPr>
        <w:spacing w:after="0" w:line="240" w:lineRule="auto"/>
        <w:rPr>
          <w:rFonts w:cs="Arial"/>
          <w:b/>
          <w:color w:val="244061" w:themeColor="accent1" w:themeShade="80"/>
          <w:sz w:val="32"/>
          <w:lang w:val="en-US"/>
        </w:rPr>
      </w:pPr>
    </w:p>
    <w:p w14:paraId="7399EE5A" w14:textId="77777777" w:rsidR="00BC0F53" w:rsidRPr="00162979" w:rsidRDefault="00BC0F53" w:rsidP="00DA606B">
      <w:pPr>
        <w:spacing w:after="0" w:line="240" w:lineRule="auto"/>
        <w:rPr>
          <w:rFonts w:cs="Arial"/>
          <w:b/>
          <w:color w:val="244061" w:themeColor="accent1" w:themeShade="80"/>
          <w:sz w:val="32"/>
          <w:lang w:val="en-US"/>
        </w:rPr>
      </w:pPr>
    </w:p>
    <w:p w14:paraId="7359E4A9" w14:textId="77777777" w:rsidR="00BC0F53" w:rsidRPr="00162979" w:rsidRDefault="00BC0F53" w:rsidP="00DA606B">
      <w:pPr>
        <w:spacing w:after="0" w:line="240" w:lineRule="auto"/>
        <w:rPr>
          <w:rFonts w:cs="Arial"/>
          <w:b/>
          <w:color w:val="244061" w:themeColor="accent1" w:themeShade="80"/>
          <w:sz w:val="32"/>
          <w:lang w:val="en-US"/>
        </w:rPr>
      </w:pPr>
    </w:p>
    <w:p w14:paraId="5AA60BDF" w14:textId="77777777" w:rsidR="00BC0F53" w:rsidRPr="00162979" w:rsidRDefault="00BC0F53" w:rsidP="00DA606B">
      <w:pPr>
        <w:spacing w:after="0" w:line="240" w:lineRule="auto"/>
        <w:rPr>
          <w:rFonts w:cs="Arial"/>
          <w:b/>
          <w:color w:val="244061" w:themeColor="accent1" w:themeShade="80"/>
          <w:sz w:val="32"/>
          <w:lang w:val="en-US"/>
        </w:rPr>
      </w:pPr>
    </w:p>
    <w:p w14:paraId="2F225A2E" w14:textId="77777777" w:rsidR="00BC0F53" w:rsidRPr="00162979" w:rsidRDefault="00BC0F53" w:rsidP="00DA606B">
      <w:pPr>
        <w:spacing w:after="0" w:line="240" w:lineRule="auto"/>
        <w:rPr>
          <w:rFonts w:cs="Arial"/>
          <w:b/>
          <w:color w:val="244061" w:themeColor="accent1" w:themeShade="80"/>
          <w:sz w:val="32"/>
          <w:lang w:val="en-US"/>
        </w:rPr>
      </w:pPr>
    </w:p>
    <w:p w14:paraId="53EA6D54" w14:textId="77777777" w:rsidR="00BC0F53" w:rsidRPr="00162979" w:rsidRDefault="00BC0F53" w:rsidP="00DA606B">
      <w:pPr>
        <w:spacing w:after="0" w:line="240" w:lineRule="auto"/>
        <w:rPr>
          <w:rFonts w:cs="Arial"/>
          <w:b/>
          <w:color w:val="244061" w:themeColor="accent1" w:themeShade="80"/>
          <w:sz w:val="32"/>
          <w:lang w:val="en-US"/>
        </w:rPr>
      </w:pPr>
    </w:p>
    <w:p w14:paraId="63710874" w14:textId="77777777" w:rsidR="00BC0F53" w:rsidRPr="00162979" w:rsidRDefault="00BC0F53" w:rsidP="00DA606B">
      <w:pPr>
        <w:spacing w:after="0" w:line="240" w:lineRule="auto"/>
        <w:rPr>
          <w:rFonts w:cs="Arial"/>
          <w:b/>
          <w:color w:val="244061" w:themeColor="accent1" w:themeShade="80"/>
          <w:sz w:val="32"/>
          <w:lang w:val="en-US"/>
        </w:rPr>
      </w:pPr>
    </w:p>
    <w:p w14:paraId="025E3B49" w14:textId="77777777" w:rsidR="00BC0F53" w:rsidRPr="00162979" w:rsidRDefault="00BC0F53" w:rsidP="00DA606B">
      <w:pPr>
        <w:spacing w:after="0" w:line="240" w:lineRule="auto"/>
        <w:rPr>
          <w:rFonts w:cs="Arial"/>
          <w:b/>
          <w:color w:val="244061" w:themeColor="accent1" w:themeShade="80"/>
          <w:sz w:val="32"/>
          <w:lang w:val="en-US"/>
        </w:rPr>
      </w:pPr>
    </w:p>
    <w:p w14:paraId="74151DA2" w14:textId="77777777" w:rsidR="00BC0F53" w:rsidRPr="00162979" w:rsidRDefault="00BC0F53" w:rsidP="00DA606B">
      <w:pPr>
        <w:spacing w:after="0" w:line="240" w:lineRule="auto"/>
        <w:rPr>
          <w:rFonts w:cs="Arial"/>
          <w:b/>
          <w:color w:val="244061" w:themeColor="accent1" w:themeShade="80"/>
          <w:sz w:val="32"/>
          <w:lang w:val="en-US"/>
        </w:rPr>
      </w:pPr>
    </w:p>
    <w:p w14:paraId="691EBFF2" w14:textId="77777777" w:rsidR="00BC0F53" w:rsidRPr="00162979" w:rsidRDefault="00BC0F53" w:rsidP="00DA606B">
      <w:pPr>
        <w:spacing w:after="0" w:line="240" w:lineRule="auto"/>
        <w:rPr>
          <w:rFonts w:cs="Arial"/>
          <w:b/>
          <w:color w:val="244061" w:themeColor="accent1" w:themeShade="80"/>
          <w:sz w:val="32"/>
          <w:lang w:val="en-US"/>
        </w:rPr>
      </w:pPr>
    </w:p>
    <w:p w14:paraId="5BB68D7D" w14:textId="77777777" w:rsidR="00BC0F53" w:rsidRPr="00162979" w:rsidRDefault="00BC0F53" w:rsidP="00DA606B">
      <w:pPr>
        <w:spacing w:after="0" w:line="240" w:lineRule="auto"/>
        <w:rPr>
          <w:rFonts w:cs="Arial"/>
          <w:b/>
          <w:color w:val="244061" w:themeColor="accent1" w:themeShade="80"/>
          <w:sz w:val="32"/>
          <w:lang w:val="en-US"/>
        </w:rPr>
      </w:pPr>
    </w:p>
    <w:p w14:paraId="055EE7CE" w14:textId="77777777" w:rsidR="00BC0F53" w:rsidRPr="00162979" w:rsidRDefault="00BC0F53" w:rsidP="00DA606B">
      <w:pPr>
        <w:spacing w:after="0" w:line="240" w:lineRule="auto"/>
        <w:rPr>
          <w:rFonts w:cs="Arial"/>
          <w:b/>
          <w:color w:val="244061" w:themeColor="accent1" w:themeShade="80"/>
          <w:sz w:val="32"/>
          <w:lang w:val="en-US"/>
        </w:rPr>
      </w:pPr>
    </w:p>
    <w:p w14:paraId="24EF72D3" w14:textId="77777777" w:rsidR="00BC0F53" w:rsidRPr="00162979" w:rsidRDefault="00BC0F53" w:rsidP="00DA606B">
      <w:pPr>
        <w:spacing w:after="0" w:line="240" w:lineRule="auto"/>
        <w:rPr>
          <w:rFonts w:cs="Arial"/>
          <w:b/>
          <w:color w:val="244061" w:themeColor="accent1" w:themeShade="80"/>
          <w:sz w:val="32"/>
          <w:lang w:val="en-US"/>
        </w:rPr>
      </w:pPr>
    </w:p>
    <w:p w14:paraId="1114C9D8" w14:textId="77777777" w:rsidR="00BC0F53" w:rsidRPr="00162979" w:rsidRDefault="00BC0F53" w:rsidP="00DA606B">
      <w:pPr>
        <w:spacing w:after="0" w:line="240" w:lineRule="auto"/>
        <w:rPr>
          <w:rFonts w:cs="Arial"/>
          <w:b/>
          <w:color w:val="244061" w:themeColor="accent1" w:themeShade="80"/>
          <w:sz w:val="32"/>
          <w:lang w:val="en-US"/>
        </w:rPr>
      </w:pPr>
    </w:p>
    <w:p w14:paraId="659017FE" w14:textId="77777777" w:rsidR="00BC0F53" w:rsidRPr="00162979" w:rsidRDefault="00BC0F53" w:rsidP="00DA606B">
      <w:pPr>
        <w:spacing w:after="0" w:line="240" w:lineRule="auto"/>
        <w:rPr>
          <w:rFonts w:cs="Arial"/>
          <w:b/>
          <w:color w:val="244061" w:themeColor="accent1" w:themeShade="80"/>
          <w:sz w:val="32"/>
          <w:lang w:val="en-US"/>
        </w:rPr>
      </w:pPr>
    </w:p>
    <w:p w14:paraId="63F551C6" w14:textId="77777777" w:rsidR="00BC0F53" w:rsidRPr="00162979" w:rsidRDefault="00BC0F53" w:rsidP="00DA606B">
      <w:pPr>
        <w:spacing w:after="0" w:line="240" w:lineRule="auto"/>
        <w:rPr>
          <w:rFonts w:cs="Arial"/>
          <w:b/>
          <w:color w:val="244061" w:themeColor="accent1" w:themeShade="80"/>
          <w:sz w:val="32"/>
          <w:lang w:val="en-US"/>
        </w:rPr>
      </w:pPr>
    </w:p>
    <w:p w14:paraId="554F055A" w14:textId="77777777" w:rsidR="00BC0F53" w:rsidRPr="00162979" w:rsidRDefault="00BC0F53" w:rsidP="00DA606B">
      <w:pPr>
        <w:spacing w:after="0" w:line="240" w:lineRule="auto"/>
        <w:rPr>
          <w:rFonts w:cs="Arial"/>
          <w:b/>
          <w:color w:val="244061" w:themeColor="accent1" w:themeShade="80"/>
          <w:sz w:val="32"/>
          <w:lang w:val="en-US"/>
        </w:rPr>
      </w:pPr>
    </w:p>
    <w:p w14:paraId="538D212A" w14:textId="77777777" w:rsidR="00BC0F53" w:rsidRPr="00162979" w:rsidRDefault="00BC0F53" w:rsidP="00DA606B">
      <w:pPr>
        <w:spacing w:after="0" w:line="240" w:lineRule="auto"/>
        <w:rPr>
          <w:rFonts w:cs="Arial"/>
          <w:b/>
          <w:color w:val="244061" w:themeColor="accent1" w:themeShade="80"/>
          <w:sz w:val="32"/>
          <w:lang w:val="en-US"/>
        </w:rPr>
      </w:pPr>
    </w:p>
    <w:p w14:paraId="683E2F6F" w14:textId="77777777" w:rsidR="00BC0F53" w:rsidRPr="00162979" w:rsidRDefault="00BC0F53" w:rsidP="00DA606B">
      <w:pPr>
        <w:spacing w:after="0" w:line="240" w:lineRule="auto"/>
        <w:rPr>
          <w:rFonts w:cs="Arial"/>
          <w:b/>
          <w:color w:val="244061" w:themeColor="accent1" w:themeShade="80"/>
          <w:sz w:val="32"/>
          <w:lang w:val="en-US"/>
        </w:rPr>
      </w:pPr>
    </w:p>
    <w:p w14:paraId="34AE93BC" w14:textId="2FCB9788" w:rsidR="0009652A" w:rsidRDefault="0009652A">
      <w:pPr>
        <w:rPr>
          <w:rFonts w:ascii="Calibri" w:hAnsi="Calibri" w:cs="Arial"/>
          <w:u w:val="single"/>
          <w:lang w:val="en-US"/>
        </w:rPr>
      </w:pPr>
      <w:r>
        <w:rPr>
          <w:rFonts w:ascii="Calibri" w:hAnsi="Calibri" w:cs="Arial"/>
          <w:u w:val="single"/>
          <w:lang w:val="en-US"/>
        </w:rPr>
        <w:br w:type="page"/>
      </w:r>
    </w:p>
    <w:p w14:paraId="30811A98" w14:textId="63E5F90E" w:rsidR="00BC0F53" w:rsidRDefault="00BC0F53" w:rsidP="00DA606B">
      <w:pPr>
        <w:spacing w:after="0" w:line="240" w:lineRule="auto"/>
        <w:rPr>
          <w:rFonts w:ascii="Calibri" w:hAnsi="Calibri" w:cs="Arial"/>
          <w:u w:val="single"/>
          <w:lang w:val="en-US"/>
        </w:rPr>
      </w:pPr>
    </w:p>
    <w:tbl>
      <w:tblPr>
        <w:tblStyle w:val="Tabellenraster"/>
        <w:tblW w:w="0" w:type="auto"/>
        <w:tblLook w:val="04A0" w:firstRow="1" w:lastRow="0" w:firstColumn="1" w:lastColumn="0" w:noHBand="0" w:noVBand="1"/>
      </w:tblPr>
      <w:tblGrid>
        <w:gridCol w:w="988"/>
        <w:gridCol w:w="1559"/>
        <w:gridCol w:w="1559"/>
        <w:gridCol w:w="4954"/>
      </w:tblGrid>
      <w:tr w:rsidR="00BA0D8E" w14:paraId="670D6175" w14:textId="77777777" w:rsidTr="00BA0D8E">
        <w:tc>
          <w:tcPr>
            <w:tcW w:w="988" w:type="dxa"/>
          </w:tcPr>
          <w:p w14:paraId="6840A554" w14:textId="3948C4ED" w:rsidR="00BA0D8E" w:rsidRPr="00BA0D8E" w:rsidRDefault="00BA0D8E" w:rsidP="00DA606B">
            <w:pPr>
              <w:rPr>
                <w:rFonts w:ascii="Calibri" w:hAnsi="Calibri" w:cs="Arial"/>
                <w:b/>
                <w:u w:val="single"/>
                <w:lang w:val="en-US"/>
              </w:rPr>
            </w:pPr>
            <w:r w:rsidRPr="00BA0D8E">
              <w:rPr>
                <w:rFonts w:ascii="Calibri" w:hAnsi="Calibri" w:cs="Arial"/>
                <w:b/>
                <w:u w:val="single"/>
                <w:lang w:val="en-US"/>
              </w:rPr>
              <w:t>Version</w:t>
            </w:r>
          </w:p>
        </w:tc>
        <w:tc>
          <w:tcPr>
            <w:tcW w:w="1559" w:type="dxa"/>
          </w:tcPr>
          <w:p w14:paraId="1313876C" w14:textId="358ADB01" w:rsidR="00BA0D8E" w:rsidRPr="00BA0D8E" w:rsidRDefault="00BA0D8E" w:rsidP="00DA606B">
            <w:pPr>
              <w:rPr>
                <w:rFonts w:ascii="Calibri" w:hAnsi="Calibri" w:cs="Arial"/>
                <w:b/>
                <w:u w:val="single"/>
                <w:lang w:val="en-US"/>
              </w:rPr>
            </w:pPr>
            <w:r w:rsidRPr="00BA0D8E">
              <w:rPr>
                <w:rFonts w:ascii="Calibri" w:hAnsi="Calibri" w:cs="Arial"/>
                <w:b/>
                <w:u w:val="single"/>
                <w:lang w:val="en-US"/>
              </w:rPr>
              <w:t xml:space="preserve">Date </w:t>
            </w:r>
          </w:p>
        </w:tc>
        <w:tc>
          <w:tcPr>
            <w:tcW w:w="1559" w:type="dxa"/>
          </w:tcPr>
          <w:p w14:paraId="6F3EF008" w14:textId="54284F47" w:rsidR="00BA0D8E" w:rsidRPr="00BA0D8E" w:rsidRDefault="00BA0D8E" w:rsidP="00DA606B">
            <w:pPr>
              <w:rPr>
                <w:rFonts w:ascii="Calibri" w:hAnsi="Calibri" w:cs="Arial"/>
                <w:b/>
                <w:u w:val="single"/>
                <w:lang w:val="en-US"/>
              </w:rPr>
            </w:pPr>
            <w:r w:rsidRPr="00BA0D8E">
              <w:rPr>
                <w:rFonts w:ascii="Calibri" w:hAnsi="Calibri" w:cs="Arial"/>
                <w:b/>
                <w:u w:val="single"/>
                <w:lang w:val="en-US"/>
              </w:rPr>
              <w:t>Author</w:t>
            </w:r>
          </w:p>
        </w:tc>
        <w:tc>
          <w:tcPr>
            <w:tcW w:w="4954" w:type="dxa"/>
          </w:tcPr>
          <w:p w14:paraId="5C8B4CC7" w14:textId="3ADB848A" w:rsidR="00BA0D8E" w:rsidRPr="00BA0D8E" w:rsidRDefault="00BA0D8E" w:rsidP="00DA606B">
            <w:pPr>
              <w:rPr>
                <w:rFonts w:ascii="Calibri" w:hAnsi="Calibri" w:cs="Arial"/>
                <w:b/>
                <w:u w:val="single"/>
                <w:lang w:val="en-US"/>
              </w:rPr>
            </w:pPr>
            <w:r w:rsidRPr="00BA0D8E">
              <w:rPr>
                <w:rFonts w:ascii="Calibri" w:hAnsi="Calibri" w:cs="Arial"/>
                <w:b/>
                <w:u w:val="single"/>
                <w:lang w:val="en-US"/>
              </w:rPr>
              <w:t>Description of the amendment</w:t>
            </w:r>
          </w:p>
        </w:tc>
      </w:tr>
      <w:tr w:rsidR="00BA0D8E" w14:paraId="45C10ADC" w14:textId="77777777" w:rsidTr="00BA0D8E">
        <w:tc>
          <w:tcPr>
            <w:tcW w:w="988" w:type="dxa"/>
          </w:tcPr>
          <w:p w14:paraId="0760A651" w14:textId="782A864D" w:rsidR="00BA0D8E" w:rsidRPr="00CE426B" w:rsidRDefault="00BA0D8E" w:rsidP="00DA606B">
            <w:pPr>
              <w:rPr>
                <w:rFonts w:ascii="Calibri" w:hAnsi="Calibri" w:cs="Arial"/>
                <w:lang w:val="en-US"/>
              </w:rPr>
            </w:pPr>
            <w:r w:rsidRPr="00CE426B">
              <w:rPr>
                <w:rFonts w:ascii="Calibri" w:hAnsi="Calibri" w:cs="Arial"/>
                <w:lang w:val="en-US"/>
              </w:rPr>
              <w:t>1.0</w:t>
            </w:r>
          </w:p>
        </w:tc>
        <w:tc>
          <w:tcPr>
            <w:tcW w:w="1559" w:type="dxa"/>
          </w:tcPr>
          <w:p w14:paraId="21D9189E" w14:textId="00EAE1A5" w:rsidR="00BA0D8E" w:rsidRPr="00CE426B" w:rsidRDefault="00BA0D8E" w:rsidP="00DA606B">
            <w:pPr>
              <w:rPr>
                <w:rFonts w:ascii="Calibri" w:hAnsi="Calibri" w:cs="Arial"/>
                <w:lang w:val="en-US"/>
              </w:rPr>
            </w:pPr>
            <w:r w:rsidRPr="00CE426B">
              <w:rPr>
                <w:rFonts w:ascii="Calibri" w:hAnsi="Calibri" w:cs="Arial"/>
                <w:lang w:val="en-US"/>
              </w:rPr>
              <w:t>[</w:t>
            </w:r>
            <w:r w:rsidRPr="00CE426B">
              <w:rPr>
                <w:rFonts w:ascii="Calibri" w:hAnsi="Calibri" w:cs="Calibri"/>
                <w:lang w:val="en-US"/>
              </w:rPr>
              <w:t>•</w:t>
            </w:r>
            <w:r w:rsidRPr="00CE426B">
              <w:rPr>
                <w:rFonts w:ascii="Calibri" w:hAnsi="Calibri" w:cs="Arial"/>
                <w:lang w:val="en-US"/>
              </w:rPr>
              <w:t>]</w:t>
            </w:r>
          </w:p>
        </w:tc>
        <w:tc>
          <w:tcPr>
            <w:tcW w:w="1559" w:type="dxa"/>
          </w:tcPr>
          <w:p w14:paraId="209218CD" w14:textId="78F4AB22" w:rsidR="00BA0D8E" w:rsidRPr="00CE426B" w:rsidRDefault="00BA0D8E" w:rsidP="00DA606B">
            <w:pPr>
              <w:rPr>
                <w:rFonts w:ascii="Calibri" w:hAnsi="Calibri" w:cs="Arial"/>
                <w:lang w:val="en-US"/>
              </w:rPr>
            </w:pPr>
            <w:r w:rsidRPr="00CE426B">
              <w:rPr>
                <w:rFonts w:ascii="Calibri" w:hAnsi="Calibri" w:cs="Arial"/>
                <w:lang w:val="en-US"/>
              </w:rPr>
              <w:t>[</w:t>
            </w:r>
            <w:r w:rsidRPr="00CE426B">
              <w:rPr>
                <w:rFonts w:ascii="Calibri" w:hAnsi="Calibri" w:cs="Calibri"/>
                <w:lang w:val="en-US"/>
              </w:rPr>
              <w:t>•</w:t>
            </w:r>
            <w:r w:rsidRPr="00CE426B">
              <w:rPr>
                <w:rFonts w:ascii="Calibri" w:hAnsi="Calibri" w:cs="Arial"/>
                <w:lang w:val="en-US"/>
              </w:rPr>
              <w:t>]</w:t>
            </w:r>
          </w:p>
        </w:tc>
        <w:tc>
          <w:tcPr>
            <w:tcW w:w="4954" w:type="dxa"/>
          </w:tcPr>
          <w:p w14:paraId="1FCE3B2E" w14:textId="0C904D12" w:rsidR="00BA0D8E" w:rsidRPr="00CE426B" w:rsidRDefault="00BA0D8E" w:rsidP="00DA606B">
            <w:pPr>
              <w:rPr>
                <w:rFonts w:ascii="Calibri" w:hAnsi="Calibri" w:cs="Arial"/>
                <w:lang w:val="en-US"/>
              </w:rPr>
            </w:pPr>
            <w:r w:rsidRPr="00CE426B">
              <w:rPr>
                <w:rFonts w:ascii="Calibri" w:hAnsi="Calibri" w:cs="Arial"/>
                <w:lang w:val="en-US"/>
              </w:rPr>
              <w:t>First issuance of the website disclosures</w:t>
            </w:r>
          </w:p>
        </w:tc>
      </w:tr>
      <w:tr w:rsidR="00BA0D8E" w14:paraId="2089AADC" w14:textId="77777777" w:rsidTr="00BA0D8E">
        <w:tc>
          <w:tcPr>
            <w:tcW w:w="988" w:type="dxa"/>
          </w:tcPr>
          <w:p w14:paraId="19CA67C6" w14:textId="77777777" w:rsidR="00BA0D8E" w:rsidRDefault="00BA0D8E" w:rsidP="00DA606B">
            <w:pPr>
              <w:rPr>
                <w:rFonts w:ascii="Calibri" w:hAnsi="Calibri" w:cs="Arial"/>
                <w:u w:val="single"/>
                <w:lang w:val="en-US"/>
              </w:rPr>
            </w:pPr>
          </w:p>
        </w:tc>
        <w:tc>
          <w:tcPr>
            <w:tcW w:w="1559" w:type="dxa"/>
          </w:tcPr>
          <w:p w14:paraId="04FBE635" w14:textId="77777777" w:rsidR="00BA0D8E" w:rsidRDefault="00BA0D8E" w:rsidP="00DA606B">
            <w:pPr>
              <w:rPr>
                <w:rFonts w:ascii="Calibri" w:hAnsi="Calibri" w:cs="Arial"/>
                <w:u w:val="single"/>
                <w:lang w:val="en-US"/>
              </w:rPr>
            </w:pPr>
          </w:p>
        </w:tc>
        <w:tc>
          <w:tcPr>
            <w:tcW w:w="1559" w:type="dxa"/>
          </w:tcPr>
          <w:p w14:paraId="4EBB3979" w14:textId="77777777" w:rsidR="00BA0D8E" w:rsidRDefault="00BA0D8E" w:rsidP="00DA606B">
            <w:pPr>
              <w:rPr>
                <w:rFonts w:ascii="Calibri" w:hAnsi="Calibri" w:cs="Arial"/>
                <w:u w:val="single"/>
                <w:lang w:val="en-US"/>
              </w:rPr>
            </w:pPr>
          </w:p>
        </w:tc>
        <w:tc>
          <w:tcPr>
            <w:tcW w:w="4954" w:type="dxa"/>
          </w:tcPr>
          <w:p w14:paraId="7F98B5F6" w14:textId="77777777" w:rsidR="00BA0D8E" w:rsidRDefault="00BA0D8E" w:rsidP="00DA606B">
            <w:pPr>
              <w:rPr>
                <w:rFonts w:ascii="Calibri" w:hAnsi="Calibri" w:cs="Arial"/>
                <w:u w:val="single"/>
                <w:lang w:val="en-US"/>
              </w:rPr>
            </w:pPr>
          </w:p>
        </w:tc>
      </w:tr>
    </w:tbl>
    <w:p w14:paraId="08908500" w14:textId="77777777" w:rsidR="0009652A" w:rsidRPr="00162979" w:rsidRDefault="0009652A"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98"/>
        <w:gridCol w:w="4762"/>
      </w:tblGrid>
      <w:tr w:rsidR="006470C4" w:rsidRPr="00162979" w14:paraId="65EF1A54" w14:textId="77777777" w:rsidTr="00F31EB3">
        <w:trPr>
          <w:trHeight w:val="890"/>
        </w:trPr>
        <w:tc>
          <w:tcPr>
            <w:tcW w:w="9286" w:type="dxa"/>
            <w:gridSpan w:val="2"/>
            <w:shd w:val="clear" w:color="auto" w:fill="17365D" w:themeFill="text2" w:themeFillShade="BF"/>
          </w:tcPr>
          <w:p w14:paraId="20435454" w14:textId="77777777" w:rsidR="006470C4" w:rsidRPr="00162979" w:rsidRDefault="006470C4" w:rsidP="00BC0F53">
            <w:pPr>
              <w:rPr>
                <w:rFonts w:ascii="Calibri" w:hAnsi="Calibri" w:cs="Arial"/>
                <w:b/>
                <w:lang w:val="en-US"/>
              </w:rPr>
            </w:pPr>
          </w:p>
          <w:p w14:paraId="43034710" w14:textId="214988CF" w:rsidR="00413CD6" w:rsidRDefault="006470C4" w:rsidP="001908CA">
            <w:pPr>
              <w:rPr>
                <w:rFonts w:cs="Arial"/>
                <w:b/>
                <w:lang w:val="en-US"/>
              </w:rPr>
            </w:pPr>
            <w:r w:rsidRPr="00162979">
              <w:rPr>
                <w:rFonts w:ascii="Calibri" w:hAnsi="Calibri" w:cs="Arial"/>
                <w:b/>
                <w:lang w:val="en-US"/>
              </w:rPr>
              <w:t xml:space="preserve">Product name: </w:t>
            </w:r>
            <w:r w:rsidR="00515D5D" w:rsidRPr="00162979">
              <w:rPr>
                <w:rFonts w:ascii="Calibri" w:hAnsi="Calibri" w:cs="Arial"/>
                <w:b/>
                <w:lang w:val="en-US"/>
              </w:rPr>
              <w:t xml:space="preserve">BRIGHT CAPITAL </w:t>
            </w:r>
            <w:r w:rsidR="000248FA">
              <w:rPr>
                <w:rFonts w:ascii="Calibri" w:hAnsi="Calibri" w:cs="Arial"/>
                <w:b/>
                <w:lang w:val="en-US"/>
              </w:rPr>
              <w:t xml:space="preserve">European </w:t>
            </w:r>
            <w:r w:rsidR="00515D5D" w:rsidRPr="00162979">
              <w:rPr>
                <w:rFonts w:ascii="Calibri" w:hAnsi="Calibri" w:cs="Arial"/>
                <w:b/>
                <w:lang w:val="en-US"/>
              </w:rPr>
              <w:t>Credit Fund III</w:t>
            </w:r>
            <w:r w:rsidR="001D33AD">
              <w:rPr>
                <w:rFonts w:ascii="Calibri" w:hAnsi="Calibri" w:cs="Arial"/>
                <w:b/>
                <w:lang w:val="en-US"/>
              </w:rPr>
              <w:t xml:space="preserve">, </w:t>
            </w:r>
            <w:r w:rsidR="00515D5D" w:rsidRPr="00162979">
              <w:rPr>
                <w:rFonts w:ascii="Calibri" w:hAnsi="Calibri" w:cs="Arial"/>
                <w:b/>
                <w:lang w:val="en-US"/>
              </w:rPr>
              <w:t>SCSp</w:t>
            </w:r>
            <w:r w:rsidRPr="00162979">
              <w:rPr>
                <w:rFonts w:cs="Arial"/>
                <w:b/>
                <w:lang w:val="en-US"/>
              </w:rPr>
              <w:t xml:space="preserve">     </w:t>
            </w:r>
          </w:p>
          <w:p w14:paraId="6E9F077C" w14:textId="19F18A82" w:rsidR="006470C4" w:rsidRPr="00162979" w:rsidRDefault="006470C4" w:rsidP="001908CA">
            <w:pPr>
              <w:rPr>
                <w:rFonts w:ascii="Calibri" w:hAnsi="Calibri" w:cs="Arial"/>
                <w:b/>
                <w:color w:val="FFFFFF" w:themeColor="background1"/>
                <w:lang w:val="en-US"/>
              </w:rPr>
            </w:pPr>
            <w:r w:rsidRPr="00162979">
              <w:rPr>
                <w:rFonts w:cs="Arial"/>
                <w:b/>
                <w:lang w:val="en-US"/>
              </w:rPr>
              <w:t xml:space="preserve">Legal </w:t>
            </w:r>
            <w:r w:rsidR="001908CA" w:rsidRPr="00162979">
              <w:rPr>
                <w:rFonts w:cs="Arial"/>
                <w:b/>
                <w:lang w:val="en-US"/>
              </w:rPr>
              <w:t>entity</w:t>
            </w:r>
            <w:r w:rsidRPr="00162979">
              <w:rPr>
                <w:rFonts w:cs="Arial"/>
                <w:b/>
                <w:lang w:val="en-US"/>
              </w:rPr>
              <w:t xml:space="preserve"> identifier</w:t>
            </w:r>
            <w:r w:rsidRPr="00162979">
              <w:rPr>
                <w:rFonts w:ascii="Calibri" w:hAnsi="Calibri" w:cs="Arial"/>
                <w:b/>
                <w:lang w:val="en-US"/>
              </w:rPr>
              <w:t>:</w:t>
            </w:r>
            <w:r w:rsidR="00413CD6">
              <w:rPr>
                <w:rFonts w:ascii="Calibri" w:hAnsi="Calibri" w:cs="Arial"/>
                <w:b/>
                <w:lang w:val="en-US"/>
              </w:rPr>
              <w:t> </w:t>
            </w:r>
            <w:r w:rsidR="000248FA">
              <w:rPr>
                <w:rFonts w:ascii="Calibri" w:hAnsi="Calibri" w:cs="Arial"/>
                <w:b/>
                <w:lang w:val="en-US"/>
              </w:rPr>
              <w:t>NA</w:t>
            </w:r>
          </w:p>
        </w:tc>
      </w:tr>
      <w:tr w:rsidR="006470C4" w:rsidRPr="00162979" w14:paraId="0AE41CD8" w14:textId="77777777" w:rsidTr="00EC6E8A">
        <w:tc>
          <w:tcPr>
            <w:tcW w:w="9286" w:type="dxa"/>
            <w:gridSpan w:val="2"/>
          </w:tcPr>
          <w:p w14:paraId="1A9CC2A6" w14:textId="00908E6B" w:rsidR="0021721B" w:rsidRPr="00162979" w:rsidRDefault="00DE1643" w:rsidP="00005458">
            <w:pPr>
              <w:jc w:val="both"/>
              <w:rPr>
                <w:rFonts w:ascii="Calibri" w:hAnsi="Calibri" w:cs="Arial"/>
                <w:lang w:val="en-US"/>
              </w:rPr>
            </w:pPr>
            <w:r w:rsidRPr="00162979">
              <w:rPr>
                <w:rFonts w:ascii="Calibri" w:hAnsi="Calibri" w:cs="Arial"/>
                <w:lang w:val="en-US"/>
              </w:rPr>
              <w:t>Does this financial product have a sustainable investment objective?</w:t>
            </w:r>
          </w:p>
        </w:tc>
      </w:tr>
      <w:tr w:rsidR="00005458" w:rsidRPr="00162979" w14:paraId="0CD1F193" w14:textId="77777777" w:rsidTr="00005458">
        <w:tc>
          <w:tcPr>
            <w:tcW w:w="4401" w:type="dxa"/>
          </w:tcPr>
          <w:p w14:paraId="16416277" w14:textId="68897B9C" w:rsidR="00005458" w:rsidRPr="00162979" w:rsidRDefault="00E145BF" w:rsidP="006470C4">
            <w:pPr>
              <w:jc w:val="both"/>
              <w:rPr>
                <w:rFonts w:eastAsia="MS Gothic"/>
                <w:sz w:val="28"/>
                <w:lang w:val="en-US"/>
              </w:rPr>
            </w:pPr>
            <w:sdt>
              <w:sdtPr>
                <w:rPr>
                  <w:rFonts w:eastAsia="MS Gothic"/>
                  <w:sz w:val="28"/>
                  <w:lang w:val="en-US"/>
                </w:rPr>
                <w:id w:val="17439207"/>
                <w14:checkbox>
                  <w14:checked w14:val="0"/>
                  <w14:checkedState w14:val="2612" w14:font="MS Gothic"/>
                  <w14:uncheckedState w14:val="2610" w14:font="MS Gothic"/>
                </w14:checkbox>
              </w:sdtPr>
              <w:sdtEndPr/>
              <w:sdtContent>
                <w:r w:rsidR="00005458" w:rsidRPr="00162979">
                  <w:rPr>
                    <w:rFonts w:ascii="MS Gothic" w:eastAsia="MS Gothic" w:hAnsi="MS Gothic"/>
                    <w:sz w:val="28"/>
                    <w:lang w:val="en-US"/>
                  </w:rPr>
                  <w:t>☐</w:t>
                </w:r>
              </w:sdtContent>
            </w:sdt>
            <w:r w:rsidR="00005458" w:rsidRPr="00162979">
              <w:rPr>
                <w:rFonts w:eastAsia="MS Gothic"/>
                <w:sz w:val="28"/>
                <w:lang w:val="en-US"/>
              </w:rPr>
              <w:t xml:space="preserve"> </w:t>
            </w:r>
            <w:r w:rsidR="00005458" w:rsidRPr="00162979">
              <w:rPr>
                <w:rFonts w:eastAsia="MS Gothic"/>
                <w:lang w:val="en-US"/>
              </w:rPr>
              <w:t>Yes</w:t>
            </w:r>
          </w:p>
        </w:tc>
        <w:tc>
          <w:tcPr>
            <w:tcW w:w="4885" w:type="dxa"/>
          </w:tcPr>
          <w:p w14:paraId="5EF2346C" w14:textId="5A2A691F" w:rsidR="00005458" w:rsidRPr="00162979" w:rsidRDefault="00E145BF" w:rsidP="006470C4">
            <w:pPr>
              <w:jc w:val="both"/>
              <w:rPr>
                <w:rFonts w:ascii="Calibri" w:hAnsi="Calibri" w:cs="Arial"/>
                <w:lang w:val="en-US"/>
              </w:rPr>
            </w:pPr>
            <w:sdt>
              <w:sdtPr>
                <w:rPr>
                  <w:rFonts w:eastAsia="MS Gothic"/>
                  <w:sz w:val="28"/>
                  <w:lang w:val="en-US"/>
                </w:rPr>
                <w:id w:val="761261677"/>
                <w14:checkbox>
                  <w14:checked w14:val="1"/>
                  <w14:checkedState w14:val="2612" w14:font="MS Gothic"/>
                  <w14:uncheckedState w14:val="2610" w14:font="MS Gothic"/>
                </w14:checkbox>
              </w:sdtPr>
              <w:sdtEndPr/>
              <w:sdtContent>
                <w:r w:rsidR="00005458" w:rsidRPr="00162979">
                  <w:rPr>
                    <w:rFonts w:ascii="MS Gothic" w:eastAsia="MS Gothic" w:hAnsi="MS Gothic"/>
                    <w:sz w:val="28"/>
                    <w:lang w:val="en-US"/>
                  </w:rPr>
                  <w:t>☒</w:t>
                </w:r>
              </w:sdtContent>
            </w:sdt>
            <w:r w:rsidR="00005458" w:rsidRPr="00162979">
              <w:rPr>
                <w:rFonts w:eastAsia="MS Gothic"/>
                <w:sz w:val="28"/>
                <w:lang w:val="en-US"/>
              </w:rPr>
              <w:t xml:space="preserve"> </w:t>
            </w:r>
            <w:r w:rsidR="00005458" w:rsidRPr="00162979">
              <w:rPr>
                <w:rFonts w:eastAsia="MS Gothic"/>
                <w:lang w:val="en-US"/>
              </w:rPr>
              <w:t>No</w:t>
            </w:r>
          </w:p>
        </w:tc>
      </w:tr>
      <w:tr w:rsidR="006470C4" w:rsidRPr="00162979" w14:paraId="2B6275F6" w14:textId="77777777" w:rsidTr="006470C4">
        <w:tc>
          <w:tcPr>
            <w:tcW w:w="4401" w:type="dxa"/>
          </w:tcPr>
          <w:p w14:paraId="47EAED74" w14:textId="3C4EF0AA" w:rsidR="006470C4" w:rsidRPr="00162979" w:rsidRDefault="00E145BF" w:rsidP="006470C4">
            <w:pPr>
              <w:jc w:val="both"/>
              <w:rPr>
                <w:rFonts w:eastAsia="MS Gothic"/>
                <w:sz w:val="28"/>
                <w:lang w:val="en-US"/>
              </w:rPr>
            </w:pPr>
            <w:sdt>
              <w:sdtPr>
                <w:rPr>
                  <w:rFonts w:eastAsia="MS Gothic"/>
                  <w:sz w:val="28"/>
                  <w:lang w:val="en-US"/>
                </w:rPr>
                <w:id w:val="1543860817"/>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28"/>
                <w:lang w:val="en-US"/>
              </w:rPr>
              <w:t xml:space="preserve"> </w:t>
            </w:r>
            <w:r w:rsidR="00EB672E" w:rsidRPr="00162979">
              <w:rPr>
                <w:rFonts w:eastAsia="MS Gothic"/>
                <w:lang w:val="en-US"/>
              </w:rPr>
              <w:t xml:space="preserve">It </w:t>
            </w:r>
            <w:r w:rsidR="00DE1643" w:rsidRPr="00162979">
              <w:rPr>
                <w:rFonts w:eastAsia="MS Gothic"/>
                <w:lang w:val="en-US"/>
              </w:rPr>
              <w:t>will make</w:t>
            </w:r>
            <w:r w:rsidR="00DE1643" w:rsidRPr="00162979">
              <w:rPr>
                <w:rFonts w:eastAsia="MS Gothic"/>
                <w:b/>
                <w:lang w:val="en-US"/>
              </w:rPr>
              <w:t xml:space="preserve"> </w:t>
            </w:r>
            <w:r w:rsidR="00DE1643" w:rsidRPr="00162979">
              <w:rPr>
                <w:lang w:val="en-US"/>
              </w:rPr>
              <w:t xml:space="preserve">a minimum of </w:t>
            </w:r>
            <w:r w:rsidR="00DE1643" w:rsidRPr="00162979">
              <w:rPr>
                <w:b/>
                <w:lang w:val="en-US"/>
              </w:rPr>
              <w:t>sustainable investments with an environmental objective: ___%</w:t>
            </w:r>
          </w:p>
          <w:p w14:paraId="000D9D67" w14:textId="3A266DCB" w:rsidR="00EB672E" w:rsidRPr="00162979" w:rsidRDefault="00E145BF" w:rsidP="00EB672E">
            <w:pPr>
              <w:pStyle w:val="Listenabsatz"/>
              <w:jc w:val="both"/>
              <w:rPr>
                <w:rFonts w:eastAsia="MS Gothic"/>
                <w:sz w:val="28"/>
                <w:lang w:val="en-US"/>
              </w:rPr>
            </w:pPr>
            <w:sdt>
              <w:sdtPr>
                <w:rPr>
                  <w:rFonts w:eastAsia="MS Gothic"/>
                  <w:sz w:val="28"/>
                  <w:lang w:val="en-US"/>
                </w:rPr>
                <w:id w:val="-332065184"/>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16"/>
                <w:lang w:val="en-US"/>
              </w:rPr>
              <w:t xml:space="preserve"> </w:t>
            </w:r>
            <w:r w:rsidR="00EB672E" w:rsidRPr="00162979">
              <w:rPr>
                <w:rFonts w:eastAsia="MS Gothic"/>
                <w:sz w:val="18"/>
                <w:lang w:val="en-US"/>
              </w:rPr>
              <w:t>in economic activities that qualify as environmentally sustainable under the EU Taxonomy</w:t>
            </w:r>
          </w:p>
          <w:p w14:paraId="479EFC08" w14:textId="77777777" w:rsidR="00EB672E" w:rsidRPr="00162979" w:rsidRDefault="00EB672E" w:rsidP="00EB672E">
            <w:pPr>
              <w:pStyle w:val="Listenabsatz"/>
              <w:jc w:val="both"/>
              <w:rPr>
                <w:rFonts w:eastAsia="MS Gothic"/>
                <w:sz w:val="16"/>
                <w:lang w:val="en-US"/>
              </w:rPr>
            </w:pPr>
          </w:p>
          <w:p w14:paraId="6B1AAEDC" w14:textId="354DFC61" w:rsidR="00EB672E" w:rsidRPr="00162979" w:rsidRDefault="00E145BF" w:rsidP="00EB672E">
            <w:pPr>
              <w:pStyle w:val="Listenabsatz"/>
              <w:jc w:val="both"/>
              <w:rPr>
                <w:rFonts w:eastAsia="MS Gothic"/>
                <w:sz w:val="28"/>
                <w:lang w:val="en-US"/>
              </w:rPr>
            </w:pPr>
            <w:sdt>
              <w:sdtPr>
                <w:rPr>
                  <w:rFonts w:eastAsia="MS Gothic"/>
                  <w:sz w:val="28"/>
                  <w:lang w:val="en-US"/>
                </w:rPr>
                <w:id w:val="-1961495142"/>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16"/>
                <w:lang w:val="en-US"/>
              </w:rPr>
              <w:t xml:space="preserve"> </w:t>
            </w:r>
            <w:r w:rsidR="00EB672E" w:rsidRPr="00162979">
              <w:rPr>
                <w:rFonts w:eastAsia="MS Gothic"/>
                <w:sz w:val="18"/>
                <w:lang w:val="en-US"/>
              </w:rPr>
              <w:t xml:space="preserve">in economic activities that do </w:t>
            </w:r>
            <w:r w:rsidR="00625F07" w:rsidRPr="00162979">
              <w:rPr>
                <w:rFonts w:eastAsia="MS Gothic"/>
                <w:sz w:val="18"/>
                <w:lang w:val="en-US"/>
              </w:rPr>
              <w:t xml:space="preserve">not qualify as environmentally </w:t>
            </w:r>
            <w:r w:rsidR="00EB672E" w:rsidRPr="00162979">
              <w:rPr>
                <w:rFonts w:eastAsia="MS Gothic"/>
                <w:sz w:val="18"/>
                <w:lang w:val="en-US"/>
              </w:rPr>
              <w:t>sustainable under the EU Taxonomy</w:t>
            </w:r>
          </w:p>
          <w:p w14:paraId="55FD9F03" w14:textId="77777777" w:rsidR="00EB672E" w:rsidRPr="00162979" w:rsidRDefault="00EB672E" w:rsidP="006470C4">
            <w:pPr>
              <w:jc w:val="both"/>
              <w:rPr>
                <w:rFonts w:eastAsia="MS Gothic"/>
                <w:sz w:val="28"/>
                <w:lang w:val="en-US"/>
              </w:rPr>
            </w:pPr>
          </w:p>
          <w:p w14:paraId="2AE8C773" w14:textId="77777777" w:rsidR="00EB672E" w:rsidRPr="00162979" w:rsidRDefault="00EB672E" w:rsidP="006470C4">
            <w:pPr>
              <w:jc w:val="both"/>
              <w:rPr>
                <w:rFonts w:eastAsia="MS Gothic"/>
                <w:sz w:val="28"/>
                <w:lang w:val="en-US"/>
              </w:rPr>
            </w:pPr>
          </w:p>
          <w:p w14:paraId="3F384425" w14:textId="77777777" w:rsidR="00EB672E" w:rsidRPr="00162979" w:rsidRDefault="00EB672E" w:rsidP="006470C4">
            <w:pPr>
              <w:jc w:val="both"/>
              <w:rPr>
                <w:rFonts w:eastAsia="MS Gothic"/>
                <w:sz w:val="28"/>
                <w:lang w:val="en-US"/>
              </w:rPr>
            </w:pPr>
          </w:p>
          <w:p w14:paraId="621BB519" w14:textId="77777777" w:rsidR="00005458" w:rsidRPr="00162979" w:rsidRDefault="00005458" w:rsidP="006470C4">
            <w:pPr>
              <w:jc w:val="both"/>
              <w:rPr>
                <w:rFonts w:eastAsia="MS Gothic"/>
                <w:sz w:val="28"/>
                <w:lang w:val="en-US"/>
              </w:rPr>
            </w:pPr>
          </w:p>
          <w:p w14:paraId="68E9038E" w14:textId="606792B3" w:rsidR="00EB672E" w:rsidRPr="00162979" w:rsidRDefault="00E145BF" w:rsidP="00DE1643">
            <w:pPr>
              <w:jc w:val="both"/>
              <w:rPr>
                <w:rFonts w:ascii="Calibri" w:hAnsi="Calibri" w:cs="Arial"/>
                <w:lang w:val="en-US"/>
              </w:rPr>
            </w:pPr>
            <w:sdt>
              <w:sdtPr>
                <w:rPr>
                  <w:rFonts w:eastAsia="MS Gothic"/>
                  <w:sz w:val="28"/>
                  <w:lang w:val="en-US"/>
                </w:rPr>
                <w:id w:val="-74213716"/>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28"/>
                <w:lang w:val="en-US"/>
              </w:rPr>
              <w:t xml:space="preserve"> </w:t>
            </w:r>
            <w:r w:rsidR="00EB672E" w:rsidRPr="00162979">
              <w:rPr>
                <w:rFonts w:eastAsia="MS Gothic"/>
                <w:lang w:val="en-US"/>
              </w:rPr>
              <w:t xml:space="preserve">It </w:t>
            </w:r>
            <w:r w:rsidR="00DE1643" w:rsidRPr="00162979">
              <w:rPr>
                <w:rFonts w:eastAsia="MS Gothic"/>
                <w:lang w:val="en-US"/>
              </w:rPr>
              <w:t>will make a minimum of</w:t>
            </w:r>
            <w:r w:rsidR="00EB672E" w:rsidRPr="00162979">
              <w:rPr>
                <w:rFonts w:eastAsia="MS Gothic"/>
                <w:lang w:val="en-US"/>
              </w:rPr>
              <w:t xml:space="preserve"> </w:t>
            </w:r>
            <w:r w:rsidR="00EB672E" w:rsidRPr="00162979">
              <w:rPr>
                <w:rFonts w:eastAsia="MS Gothic"/>
                <w:b/>
                <w:lang w:val="en-US"/>
              </w:rPr>
              <w:t>sustainable investments with a social objective: __%</w:t>
            </w:r>
          </w:p>
        </w:tc>
        <w:tc>
          <w:tcPr>
            <w:tcW w:w="4885" w:type="dxa"/>
            <w:vAlign w:val="center"/>
          </w:tcPr>
          <w:p w14:paraId="2D665BE6" w14:textId="63680D7E" w:rsidR="006470C4" w:rsidRPr="00162979" w:rsidRDefault="00E145BF" w:rsidP="006470C4">
            <w:pPr>
              <w:jc w:val="both"/>
              <w:rPr>
                <w:rFonts w:ascii="Calibri" w:hAnsi="Calibri" w:cs="Arial"/>
                <w:lang w:val="en-US"/>
              </w:rPr>
            </w:pPr>
            <w:sdt>
              <w:sdtPr>
                <w:rPr>
                  <w:rFonts w:eastAsia="MS Gothic"/>
                  <w:sz w:val="28"/>
                  <w:lang w:val="en-US"/>
                </w:rPr>
                <w:id w:val="-1323657845"/>
                <w14:checkbox>
                  <w14:checked w14:val="0"/>
                  <w14:checkedState w14:val="2612" w14:font="MS Gothic"/>
                  <w14:uncheckedState w14:val="2610" w14:font="MS Gothic"/>
                </w14:checkbox>
              </w:sdtPr>
              <w:sdtEndPr/>
              <w:sdtContent>
                <w:r w:rsidR="00005458" w:rsidRPr="00162979">
                  <w:rPr>
                    <w:rFonts w:ascii="MS Gothic" w:eastAsia="MS Gothic" w:hAnsi="MS Gothic"/>
                    <w:sz w:val="28"/>
                    <w:lang w:val="en-US"/>
                  </w:rPr>
                  <w:t>☐</w:t>
                </w:r>
              </w:sdtContent>
            </w:sdt>
            <w:r w:rsidR="00EB672E" w:rsidRPr="00162979">
              <w:rPr>
                <w:rFonts w:ascii="Calibri" w:hAnsi="Calibri" w:cs="Arial"/>
                <w:lang w:val="en-US"/>
              </w:rPr>
              <w:t xml:space="preserve"> It </w:t>
            </w:r>
            <w:r w:rsidR="00302DD7" w:rsidRPr="00162979">
              <w:rPr>
                <w:rFonts w:ascii="Calibri" w:hAnsi="Calibri" w:cs="Arial"/>
                <w:b/>
                <w:lang w:val="en-US"/>
              </w:rPr>
              <w:t>promotes</w:t>
            </w:r>
            <w:r w:rsidR="00EB672E" w:rsidRPr="00162979">
              <w:rPr>
                <w:rFonts w:ascii="Calibri" w:hAnsi="Calibri" w:cs="Arial"/>
                <w:b/>
                <w:lang w:val="en-US"/>
              </w:rPr>
              <w:t xml:space="preserve"> Environmental/Social (E/S) characteristics</w:t>
            </w:r>
            <w:r w:rsidR="00EB672E" w:rsidRPr="00162979">
              <w:rPr>
                <w:rFonts w:ascii="Calibri" w:hAnsi="Calibri" w:cs="Arial"/>
                <w:lang w:val="en-US"/>
              </w:rPr>
              <w:t xml:space="preserve"> and while it </w:t>
            </w:r>
            <w:r w:rsidR="00302DD7" w:rsidRPr="00162979">
              <w:rPr>
                <w:rFonts w:ascii="Calibri" w:hAnsi="Calibri" w:cs="Arial"/>
                <w:lang w:val="en-US"/>
              </w:rPr>
              <w:t>does</w:t>
            </w:r>
            <w:r w:rsidR="00EB672E" w:rsidRPr="00162979">
              <w:rPr>
                <w:rFonts w:ascii="Calibri" w:hAnsi="Calibri" w:cs="Arial"/>
                <w:lang w:val="en-US"/>
              </w:rPr>
              <w:t xml:space="preserve"> not have as its objective a sustainable investment, it had a proportion of __% of sustainable investments</w:t>
            </w:r>
          </w:p>
          <w:p w14:paraId="012BA758" w14:textId="5F35CA29" w:rsidR="00EB672E" w:rsidRPr="00162979" w:rsidRDefault="00E145BF" w:rsidP="00EB672E">
            <w:pPr>
              <w:pStyle w:val="Listenabsatz"/>
              <w:jc w:val="both"/>
              <w:rPr>
                <w:rFonts w:eastAsia="MS Gothic"/>
                <w:sz w:val="32"/>
                <w:lang w:val="en-US"/>
              </w:rPr>
            </w:pPr>
            <w:sdt>
              <w:sdtPr>
                <w:rPr>
                  <w:rFonts w:eastAsia="MS Gothic"/>
                  <w:sz w:val="28"/>
                  <w:lang w:val="en-US"/>
                </w:rPr>
                <w:id w:val="1317618723"/>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16"/>
                <w:lang w:val="en-US"/>
              </w:rPr>
              <w:t xml:space="preserve"> </w:t>
            </w:r>
            <w:r w:rsidR="00EB672E" w:rsidRPr="00162979">
              <w:rPr>
                <w:rFonts w:eastAsia="MS Gothic"/>
                <w:sz w:val="18"/>
                <w:lang w:val="en-US"/>
              </w:rPr>
              <w:t>with an environmental objective in economic activities that qualify as environmentally sustainable under the EU Taxonomy</w:t>
            </w:r>
          </w:p>
          <w:p w14:paraId="02BF83BC" w14:textId="77777777" w:rsidR="00EB672E" w:rsidRPr="00162979" w:rsidRDefault="00EB672E" w:rsidP="00EB672E">
            <w:pPr>
              <w:pStyle w:val="Listenabsatz"/>
              <w:jc w:val="both"/>
              <w:rPr>
                <w:rFonts w:eastAsia="MS Gothic"/>
                <w:sz w:val="16"/>
                <w:lang w:val="en-US"/>
              </w:rPr>
            </w:pPr>
          </w:p>
          <w:p w14:paraId="082D6F96" w14:textId="35CB2E35" w:rsidR="00EB672E" w:rsidRPr="00162979" w:rsidRDefault="00E145BF" w:rsidP="00EB672E">
            <w:pPr>
              <w:pStyle w:val="Listenabsatz"/>
              <w:jc w:val="both"/>
              <w:rPr>
                <w:rFonts w:eastAsia="MS Gothic"/>
                <w:sz w:val="18"/>
                <w:lang w:val="en-US"/>
              </w:rPr>
            </w:pPr>
            <w:sdt>
              <w:sdtPr>
                <w:rPr>
                  <w:rFonts w:eastAsia="MS Gothic"/>
                  <w:sz w:val="28"/>
                  <w:lang w:val="en-US"/>
                </w:rPr>
                <w:id w:val="1017350559"/>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16"/>
                <w:lang w:val="en-US"/>
              </w:rPr>
              <w:t xml:space="preserve"> </w:t>
            </w:r>
            <w:r w:rsidR="00EB672E" w:rsidRPr="00162979">
              <w:rPr>
                <w:rFonts w:eastAsia="MS Gothic"/>
                <w:sz w:val="18"/>
                <w:lang w:val="en-US"/>
              </w:rPr>
              <w:t>with an environmental objective in economic activities that do not qualify as environmentally sustainable under the EU Taxonomy</w:t>
            </w:r>
          </w:p>
          <w:p w14:paraId="7474ECF8" w14:textId="77777777" w:rsidR="00EB672E" w:rsidRPr="00162979" w:rsidRDefault="00EB672E" w:rsidP="00EB672E">
            <w:pPr>
              <w:pStyle w:val="Listenabsatz"/>
              <w:jc w:val="both"/>
              <w:rPr>
                <w:rFonts w:eastAsia="MS Gothic"/>
                <w:sz w:val="28"/>
                <w:lang w:val="en-US"/>
              </w:rPr>
            </w:pPr>
          </w:p>
          <w:p w14:paraId="7144B8DD" w14:textId="31AA7F2D" w:rsidR="00EB672E" w:rsidRPr="00162979" w:rsidRDefault="00E145BF" w:rsidP="00EB672E">
            <w:pPr>
              <w:pStyle w:val="Listenabsatz"/>
              <w:jc w:val="both"/>
              <w:rPr>
                <w:rFonts w:eastAsia="MS Gothic"/>
                <w:sz w:val="16"/>
                <w:lang w:val="en-US"/>
              </w:rPr>
            </w:pPr>
            <w:sdt>
              <w:sdtPr>
                <w:rPr>
                  <w:rFonts w:eastAsia="MS Gothic"/>
                  <w:sz w:val="28"/>
                  <w:lang w:val="en-US"/>
                </w:rPr>
                <w:id w:val="-360505238"/>
                <w14:checkbox>
                  <w14:checked w14:val="0"/>
                  <w14:checkedState w14:val="2612" w14:font="MS Gothic"/>
                  <w14:uncheckedState w14:val="2610" w14:font="MS Gothic"/>
                </w14:checkbox>
              </w:sdtPr>
              <w:sdtEndPr/>
              <w:sdtContent>
                <w:r w:rsidR="00EB672E" w:rsidRPr="00162979">
                  <w:rPr>
                    <w:rFonts w:ascii="MS Gothic" w:eastAsia="MS Gothic" w:hAnsi="MS Gothic"/>
                    <w:sz w:val="28"/>
                    <w:lang w:val="en-US"/>
                  </w:rPr>
                  <w:t>☐</w:t>
                </w:r>
              </w:sdtContent>
            </w:sdt>
            <w:r w:rsidR="00EB672E" w:rsidRPr="00162979">
              <w:rPr>
                <w:rFonts w:eastAsia="MS Gothic"/>
                <w:sz w:val="16"/>
                <w:lang w:val="en-US"/>
              </w:rPr>
              <w:t xml:space="preserve"> </w:t>
            </w:r>
            <w:r w:rsidR="00EB672E" w:rsidRPr="00162979">
              <w:rPr>
                <w:rFonts w:eastAsia="MS Gothic"/>
                <w:sz w:val="18"/>
                <w:lang w:val="en-US"/>
              </w:rPr>
              <w:t>with a social objective</w:t>
            </w:r>
          </w:p>
          <w:p w14:paraId="278CDD8A" w14:textId="77777777" w:rsidR="00005458" w:rsidRPr="00162979" w:rsidRDefault="00005458" w:rsidP="00005458">
            <w:pPr>
              <w:jc w:val="both"/>
              <w:rPr>
                <w:rFonts w:eastAsia="MS Gothic"/>
                <w:sz w:val="14"/>
                <w:lang w:val="en-US"/>
              </w:rPr>
            </w:pPr>
          </w:p>
          <w:p w14:paraId="307A96FF" w14:textId="77777777" w:rsidR="00AC421D" w:rsidRPr="00162979" w:rsidRDefault="00AC421D" w:rsidP="00005458">
            <w:pPr>
              <w:jc w:val="both"/>
              <w:rPr>
                <w:rFonts w:eastAsia="MS Gothic"/>
                <w:sz w:val="14"/>
                <w:lang w:val="en-US"/>
              </w:rPr>
            </w:pPr>
          </w:p>
          <w:p w14:paraId="4E3A3DD2" w14:textId="3D62F4D3" w:rsidR="00EB672E" w:rsidRPr="00162979" w:rsidRDefault="00E145BF" w:rsidP="00302DD7">
            <w:pPr>
              <w:jc w:val="both"/>
              <w:rPr>
                <w:rFonts w:ascii="Symbol" w:hAnsi="Symbol" w:cs="Arial"/>
                <w:lang w:val="en-US"/>
              </w:rPr>
            </w:pPr>
            <w:sdt>
              <w:sdtPr>
                <w:rPr>
                  <w:rFonts w:eastAsia="MS Gothic"/>
                  <w:sz w:val="28"/>
                  <w:lang w:val="en-US"/>
                </w:rPr>
                <w:id w:val="-1566180773"/>
                <w14:checkbox>
                  <w14:checked w14:val="1"/>
                  <w14:checkedState w14:val="2612" w14:font="MS Gothic"/>
                  <w14:uncheckedState w14:val="2610" w14:font="MS Gothic"/>
                </w14:checkbox>
              </w:sdtPr>
              <w:sdtEndPr/>
              <w:sdtContent>
                <w:r w:rsidR="00F753FA" w:rsidRPr="00162979">
                  <w:rPr>
                    <w:rFonts w:ascii="MS Gothic" w:eastAsia="MS Gothic" w:hAnsi="MS Gothic"/>
                    <w:sz w:val="28"/>
                    <w:lang w:val="en-US"/>
                  </w:rPr>
                  <w:t>☒</w:t>
                </w:r>
              </w:sdtContent>
            </w:sdt>
            <w:r w:rsidR="00005458" w:rsidRPr="00162979">
              <w:rPr>
                <w:rFonts w:eastAsia="MS Gothic"/>
                <w:sz w:val="28"/>
                <w:lang w:val="en-US"/>
              </w:rPr>
              <w:t xml:space="preserve"> </w:t>
            </w:r>
            <w:r w:rsidR="00302DD7" w:rsidRPr="00162979">
              <w:rPr>
                <w:rFonts w:eastAsia="MS Gothic"/>
                <w:lang w:val="en-US"/>
              </w:rPr>
              <w:t>It promotes</w:t>
            </w:r>
            <w:r w:rsidR="00005458" w:rsidRPr="00162979">
              <w:rPr>
                <w:rFonts w:eastAsia="MS Gothic"/>
                <w:lang w:val="en-US"/>
              </w:rPr>
              <w:t xml:space="preserve"> E/S characteristics, but </w:t>
            </w:r>
            <w:r w:rsidR="00302DD7" w:rsidRPr="00162979">
              <w:rPr>
                <w:rFonts w:eastAsia="MS Gothic"/>
                <w:b/>
                <w:lang w:val="en-US"/>
              </w:rPr>
              <w:t>will</w:t>
            </w:r>
            <w:r w:rsidR="00005458" w:rsidRPr="00162979">
              <w:rPr>
                <w:rFonts w:eastAsia="MS Gothic"/>
                <w:b/>
                <w:lang w:val="en-US"/>
              </w:rPr>
              <w:t xml:space="preserve"> not make any sustainable investments</w:t>
            </w:r>
          </w:p>
        </w:tc>
      </w:tr>
    </w:tbl>
    <w:p w14:paraId="6C334955" w14:textId="77777777" w:rsidR="00CB000F" w:rsidRPr="00162979" w:rsidRDefault="00CB000F"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9"/>
        <w:gridCol w:w="7961"/>
      </w:tblGrid>
      <w:tr w:rsidR="00123FE6" w:rsidRPr="00162979" w14:paraId="575DDFE3" w14:textId="77777777" w:rsidTr="001F4AE6">
        <w:trPr>
          <w:trHeight w:val="510"/>
        </w:trPr>
        <w:tc>
          <w:tcPr>
            <w:tcW w:w="1101" w:type="dxa"/>
            <w:shd w:val="clear" w:color="auto" w:fill="17365D" w:themeFill="text2" w:themeFillShade="BF"/>
            <w:vAlign w:val="center"/>
          </w:tcPr>
          <w:p w14:paraId="06912AEF" w14:textId="77777777" w:rsidR="00123FE6" w:rsidRPr="00162979" w:rsidRDefault="00123FE6" w:rsidP="00123FE6">
            <w:pPr>
              <w:jc w:val="center"/>
              <w:rPr>
                <w:rFonts w:ascii="Calibri" w:hAnsi="Calibri" w:cs="Arial"/>
                <w:b/>
                <w:color w:val="FFFFFF" w:themeColor="background1"/>
                <w:lang w:val="en-US"/>
              </w:rPr>
            </w:pPr>
            <w:bookmarkStart w:id="0" w:name="_Hlk119664617"/>
            <w:r w:rsidRPr="00162979">
              <w:rPr>
                <w:noProof/>
                <w:lang w:val="en-US" w:eastAsia="en-GB"/>
              </w:rPr>
              <w:drawing>
                <wp:inline distT="0" distB="0" distL="0" distR="0" wp14:anchorId="596BD77C" wp14:editId="4C92A293">
                  <wp:extent cx="522514" cy="5635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8185" w:type="dxa"/>
            <w:shd w:val="clear" w:color="auto" w:fill="17365D" w:themeFill="text2" w:themeFillShade="BF"/>
            <w:vAlign w:val="center"/>
          </w:tcPr>
          <w:p w14:paraId="0A28B96A" w14:textId="77777777"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Summary</w:t>
            </w:r>
          </w:p>
        </w:tc>
      </w:tr>
      <w:tr w:rsidR="00123FE6" w:rsidRPr="00162979" w14:paraId="675D2261" w14:textId="77777777" w:rsidTr="008362B1">
        <w:trPr>
          <w:trHeight w:val="558"/>
        </w:trPr>
        <w:tc>
          <w:tcPr>
            <w:tcW w:w="9286" w:type="dxa"/>
            <w:gridSpan w:val="2"/>
            <w:vAlign w:val="center"/>
          </w:tcPr>
          <w:p w14:paraId="4C4178F0" w14:textId="77777777" w:rsidR="004563FA" w:rsidRPr="00162979" w:rsidRDefault="004563FA" w:rsidP="00F753FA">
            <w:pPr>
              <w:jc w:val="both"/>
              <w:rPr>
                <w:rFonts w:ascii="Calibri" w:hAnsi="Calibri" w:cs="Arial"/>
                <w:lang w:val="en-US"/>
              </w:rPr>
            </w:pPr>
          </w:p>
          <w:p w14:paraId="6ED244AF" w14:textId="75DFB4A9" w:rsidR="00F753FA" w:rsidRPr="00162979" w:rsidRDefault="00F753FA" w:rsidP="00F753FA">
            <w:pPr>
              <w:jc w:val="both"/>
              <w:rPr>
                <w:rFonts w:ascii="Calibri" w:hAnsi="Calibri" w:cs="Arial"/>
                <w:lang w:val="en-US"/>
              </w:rPr>
            </w:pPr>
            <w:r w:rsidRPr="00162979">
              <w:rPr>
                <w:rFonts w:ascii="Calibri" w:hAnsi="Calibri" w:cs="Arial"/>
                <w:lang w:val="en-US"/>
              </w:rPr>
              <w:t xml:space="preserve">BRIGHT CAPITAL </w:t>
            </w:r>
            <w:r w:rsidR="000248FA">
              <w:rPr>
                <w:rFonts w:ascii="Calibri" w:hAnsi="Calibri" w:cs="Arial"/>
                <w:lang w:val="en-US"/>
              </w:rPr>
              <w:t xml:space="preserve">European </w:t>
            </w:r>
            <w:r w:rsidRPr="00162979">
              <w:rPr>
                <w:rFonts w:ascii="Calibri" w:hAnsi="Calibri" w:cs="Arial"/>
                <w:lang w:val="en-US"/>
              </w:rPr>
              <w:t>Credit Fund III</w:t>
            </w:r>
            <w:r w:rsidR="001D33AD">
              <w:rPr>
                <w:rFonts w:ascii="Calibri" w:hAnsi="Calibri" w:cs="Arial"/>
                <w:lang w:val="en-US"/>
              </w:rPr>
              <w:t>,</w:t>
            </w:r>
            <w:r w:rsidRPr="00162979">
              <w:rPr>
                <w:rFonts w:ascii="Calibri" w:hAnsi="Calibri" w:cs="Arial"/>
                <w:lang w:val="en-US"/>
              </w:rPr>
              <w:t xml:space="preserve"> SCSp (the “</w:t>
            </w:r>
            <w:r w:rsidR="00B16974" w:rsidRPr="00162979">
              <w:rPr>
                <w:rFonts w:ascii="Calibri" w:hAnsi="Calibri" w:cs="Arial"/>
                <w:b/>
                <w:lang w:val="en-US"/>
              </w:rPr>
              <w:t>Partnership</w:t>
            </w:r>
            <w:r w:rsidRPr="00162979">
              <w:rPr>
                <w:rFonts w:ascii="Calibri" w:hAnsi="Calibri" w:cs="Arial"/>
                <w:lang w:val="en-US"/>
              </w:rPr>
              <w:t>”) invests in debt instruments (with or without an equity component and with or without collateral) to portfolio companies and promotes</w:t>
            </w:r>
            <w:r w:rsidR="0034749E">
              <w:rPr>
                <w:rFonts w:ascii="Calibri" w:hAnsi="Calibri" w:cs="Arial"/>
                <w:lang w:val="en-US"/>
              </w:rPr>
              <w:t xml:space="preserve"> carbon</w:t>
            </w:r>
            <w:r w:rsidRPr="00162979">
              <w:rPr>
                <w:rFonts w:ascii="Calibri" w:hAnsi="Calibri" w:cs="Arial"/>
                <w:lang w:val="en-US"/>
              </w:rPr>
              <w:t xml:space="preserve"> emissions reduction as environmental characteristics and the social characteristics promoted by the financial product are occupational health &amp; safety, inclusion and board gender diversity (together “</w:t>
            </w:r>
            <w:r w:rsidRPr="00162979">
              <w:rPr>
                <w:rFonts w:ascii="Calibri" w:hAnsi="Calibri" w:cs="Arial"/>
                <w:b/>
                <w:lang w:val="en-US"/>
              </w:rPr>
              <w:t xml:space="preserve">E/S </w:t>
            </w:r>
            <w:r w:rsidR="00A833EA">
              <w:rPr>
                <w:rFonts w:ascii="Calibri" w:hAnsi="Calibri" w:cs="Arial"/>
                <w:b/>
                <w:lang w:val="en-US"/>
              </w:rPr>
              <w:t>C</w:t>
            </w:r>
            <w:r w:rsidRPr="00162979">
              <w:rPr>
                <w:rFonts w:ascii="Calibri" w:hAnsi="Calibri" w:cs="Arial"/>
                <w:b/>
                <w:lang w:val="en-US"/>
              </w:rPr>
              <w:t>haracteristics</w:t>
            </w:r>
            <w:r w:rsidRPr="00162979">
              <w:rPr>
                <w:rFonts w:ascii="Calibri" w:hAnsi="Calibri" w:cs="Arial"/>
                <w:lang w:val="en-US"/>
              </w:rPr>
              <w:t xml:space="preserve">”). </w:t>
            </w:r>
          </w:p>
          <w:p w14:paraId="1ADB5C79" w14:textId="77777777" w:rsidR="00F753FA" w:rsidRPr="00162979" w:rsidRDefault="00F753FA" w:rsidP="00F753FA">
            <w:pPr>
              <w:jc w:val="both"/>
              <w:rPr>
                <w:rFonts w:ascii="Calibri" w:hAnsi="Calibri" w:cs="Arial"/>
                <w:lang w:val="en-US"/>
              </w:rPr>
            </w:pPr>
          </w:p>
          <w:p w14:paraId="13A1EFA7" w14:textId="31455977" w:rsidR="00F753FA" w:rsidRDefault="00F753FA" w:rsidP="00F753FA">
            <w:pPr>
              <w:jc w:val="both"/>
              <w:rPr>
                <w:rFonts w:ascii="Calibri" w:hAnsi="Calibri" w:cs="Arial"/>
                <w:lang w:val="en-US"/>
              </w:rPr>
            </w:pPr>
            <w:r w:rsidRPr="00162979">
              <w:rPr>
                <w:rFonts w:ascii="Calibri" w:hAnsi="Calibri" w:cs="Arial"/>
                <w:lang w:val="en-US"/>
              </w:rPr>
              <w:t xml:space="preserve">The investment strategy of the </w:t>
            </w:r>
            <w:r w:rsidR="00B16974" w:rsidRPr="00162979">
              <w:rPr>
                <w:rFonts w:ascii="Calibri" w:hAnsi="Calibri" w:cs="Arial"/>
                <w:lang w:val="en-US"/>
              </w:rPr>
              <w:t>Partnership</w:t>
            </w:r>
            <w:r w:rsidRPr="00162979">
              <w:rPr>
                <w:rFonts w:ascii="Calibri" w:hAnsi="Calibri" w:cs="Arial"/>
                <w:lang w:val="en-US"/>
              </w:rPr>
              <w:t xml:space="preserve"> does not have sustainable investments within the meaning of the (EU) Regulation 2019/2088 (“</w:t>
            </w:r>
            <w:r w:rsidRPr="00162979">
              <w:rPr>
                <w:rFonts w:ascii="Calibri" w:hAnsi="Calibri" w:cs="Arial"/>
                <w:b/>
                <w:lang w:val="en-US"/>
              </w:rPr>
              <w:t>SFDR</w:t>
            </w:r>
            <w:r w:rsidRPr="00162979">
              <w:rPr>
                <w:rFonts w:ascii="Calibri" w:hAnsi="Calibri" w:cs="Arial"/>
                <w:lang w:val="en-US"/>
              </w:rPr>
              <w:t>”) as its objective.</w:t>
            </w:r>
          </w:p>
          <w:p w14:paraId="5B92DF2F" w14:textId="77777777" w:rsidR="0034749E" w:rsidRPr="00162979" w:rsidRDefault="0034749E" w:rsidP="00F753FA">
            <w:pPr>
              <w:jc w:val="both"/>
              <w:rPr>
                <w:rFonts w:ascii="Calibri" w:hAnsi="Calibri" w:cs="Arial"/>
                <w:lang w:val="en-US"/>
              </w:rPr>
            </w:pPr>
          </w:p>
          <w:p w14:paraId="2C88E7FD" w14:textId="021BDA68" w:rsidR="0034749E" w:rsidRDefault="00D72EA2" w:rsidP="0034749E">
            <w:pPr>
              <w:jc w:val="both"/>
              <w:rPr>
                <w:rFonts w:cs="Arial"/>
                <w:lang w:val="en-US"/>
              </w:rPr>
            </w:pPr>
            <w:r>
              <w:rPr>
                <w:rFonts w:cs="Arial"/>
                <w:lang w:val="en-US"/>
              </w:rPr>
              <w:t>The Partnership</w:t>
            </w:r>
            <w:r w:rsidR="0034749E" w:rsidRPr="005C22A4">
              <w:rPr>
                <w:rFonts w:cs="Arial"/>
                <w:lang w:val="en-US"/>
              </w:rPr>
              <w:t xml:space="preserve">’s framework for integrating ESG matters </w:t>
            </w:r>
            <w:r>
              <w:rPr>
                <w:rFonts w:cs="Arial"/>
                <w:lang w:val="en-US"/>
              </w:rPr>
              <w:t xml:space="preserve">during the investment process </w:t>
            </w:r>
            <w:r w:rsidR="0034749E" w:rsidRPr="005C22A4">
              <w:rPr>
                <w:rFonts w:cs="Arial"/>
                <w:lang w:val="en-US"/>
              </w:rPr>
              <w:t xml:space="preserve">is </w:t>
            </w:r>
            <w:r>
              <w:rPr>
                <w:rFonts w:cs="Arial"/>
                <w:lang w:val="en-US"/>
              </w:rPr>
              <w:t xml:space="preserve">essentially </w:t>
            </w:r>
            <w:r w:rsidR="0034749E" w:rsidRPr="005C22A4">
              <w:rPr>
                <w:rFonts w:cs="Arial"/>
                <w:lang w:val="en-US"/>
              </w:rPr>
              <w:t>structured around three pillars: ESG Due Diligence, Ongoing Portfolio Monitoring, and Stakeholder Engagement:</w:t>
            </w:r>
          </w:p>
          <w:p w14:paraId="70D23E25" w14:textId="77777777" w:rsidR="0034749E" w:rsidRPr="005C22A4" w:rsidRDefault="0034749E" w:rsidP="0034749E">
            <w:pPr>
              <w:jc w:val="both"/>
              <w:rPr>
                <w:rFonts w:cs="Arial"/>
                <w:lang w:val="en-US"/>
              </w:rPr>
            </w:pPr>
          </w:p>
          <w:p w14:paraId="1B38AD8E" w14:textId="6C46D756" w:rsidR="0034749E" w:rsidRPr="0005670E" w:rsidRDefault="0034749E" w:rsidP="0034749E">
            <w:pPr>
              <w:pStyle w:val="Listenabsatz"/>
              <w:numPr>
                <w:ilvl w:val="0"/>
                <w:numId w:val="34"/>
              </w:numPr>
              <w:jc w:val="both"/>
              <w:rPr>
                <w:rFonts w:cs="Arial"/>
                <w:lang w:val="en-US"/>
              </w:rPr>
            </w:pPr>
            <w:r w:rsidRPr="0005670E">
              <w:rPr>
                <w:rFonts w:cs="Arial"/>
                <w:lang w:val="en-US"/>
              </w:rPr>
              <w:t xml:space="preserve">ESG Due Diligence: ESG factors are embedded into the investment process from the outset. This includes negative screening (exclusion criteria) and a comprehensive ESG questionnaire covering environmental, social, and governance risks. The exclusion criteria cover, for instance, weapons and ammunition, child </w:t>
            </w:r>
            <w:proofErr w:type="spellStart"/>
            <w:r w:rsidRPr="0005670E">
              <w:rPr>
                <w:rFonts w:cs="Arial"/>
                <w:lang w:val="en-US"/>
              </w:rPr>
              <w:t>labour</w:t>
            </w:r>
            <w:proofErr w:type="spellEnd"/>
            <w:r w:rsidRPr="0005670E">
              <w:rPr>
                <w:rFonts w:cs="Arial"/>
                <w:lang w:val="en-US"/>
              </w:rPr>
              <w:t>, pornography or sale of alcoholic beverages, tobacco, cannabis and radioactive material, gambling or illegal software</w:t>
            </w:r>
            <w:r w:rsidR="00764E37">
              <w:rPr>
                <w:rFonts w:cs="Arial"/>
                <w:lang w:val="en-US"/>
              </w:rPr>
              <w:t xml:space="preserve">, </w:t>
            </w:r>
            <w:r w:rsidR="00764E37" w:rsidRPr="009E41D7">
              <w:rPr>
                <w:rFonts w:eastAsia="Arial"/>
                <w:lang w:val="en-GB"/>
              </w:rPr>
              <w:t>fossil fuel-based energy production and energy-intensive and/or high CO2-emitting industries</w:t>
            </w:r>
            <w:r w:rsidRPr="0005670E">
              <w:rPr>
                <w:rFonts w:cs="Arial"/>
                <w:lang w:val="en-US"/>
              </w:rPr>
              <w:t xml:space="preserve">. </w:t>
            </w:r>
            <w:r w:rsidRPr="0005670E">
              <w:rPr>
                <w:rFonts w:cs="Arial"/>
                <w:lang w:val="en-US"/>
              </w:rPr>
              <w:lastRenderedPageBreak/>
              <w:t>ESG findings are summarized in investment memoranda, influencing investment decisions and setting a foundation for ongoing monitoring.</w:t>
            </w:r>
          </w:p>
          <w:p w14:paraId="6866CF7D" w14:textId="13447946" w:rsidR="0034749E" w:rsidRPr="0005670E" w:rsidRDefault="0034749E" w:rsidP="0034749E">
            <w:pPr>
              <w:pStyle w:val="Listenabsatz"/>
              <w:numPr>
                <w:ilvl w:val="0"/>
                <w:numId w:val="34"/>
              </w:numPr>
              <w:jc w:val="both"/>
              <w:rPr>
                <w:rFonts w:cs="Arial"/>
                <w:lang w:val="en-US"/>
              </w:rPr>
            </w:pPr>
            <w:r w:rsidRPr="0005670E">
              <w:rPr>
                <w:rFonts w:cs="Arial"/>
                <w:lang w:val="en-US"/>
              </w:rPr>
              <w:t xml:space="preserve">Ongoing Portfolio Monitoring: ESG risks and opportunities are continuously monitored across the portfolio, with periodic updates from borrowers on ESG performance. </w:t>
            </w:r>
            <w:r w:rsidR="00D72EA2">
              <w:rPr>
                <w:rFonts w:cs="Arial"/>
                <w:lang w:val="en-US"/>
              </w:rPr>
              <w:t>The Partnership</w:t>
            </w:r>
            <w:r w:rsidRPr="0005670E">
              <w:rPr>
                <w:rFonts w:cs="Arial"/>
                <w:lang w:val="en-US"/>
              </w:rPr>
              <w:t xml:space="preserve"> also integrates ad-hoc reporting requirements for material adverse impacts, enabling timely responses to emerging risks.</w:t>
            </w:r>
          </w:p>
          <w:p w14:paraId="4B32E35F" w14:textId="3CF2A776" w:rsidR="0034749E" w:rsidRDefault="0034749E" w:rsidP="0034749E">
            <w:pPr>
              <w:pStyle w:val="Listenabsatz"/>
              <w:numPr>
                <w:ilvl w:val="0"/>
                <w:numId w:val="34"/>
              </w:numPr>
              <w:jc w:val="both"/>
              <w:rPr>
                <w:rFonts w:cs="Arial"/>
                <w:lang w:val="en-US"/>
              </w:rPr>
            </w:pPr>
            <w:r w:rsidRPr="0005670E">
              <w:rPr>
                <w:rFonts w:cs="Arial"/>
                <w:lang w:val="en-US"/>
              </w:rPr>
              <w:t xml:space="preserve">Stakeholder Engagement and </w:t>
            </w:r>
            <w:r w:rsidR="00DB5F4B">
              <w:rPr>
                <w:rFonts w:cs="Arial"/>
                <w:lang w:val="en-US"/>
              </w:rPr>
              <w:t xml:space="preserve">Governance: ESG oversight is maintained by a sustainable investing team and a dedicated ESG committee, which ensure alignment with international standards, such as the UN Principles for Responsible Investment (PRI). </w:t>
            </w:r>
            <w:r w:rsidR="00D72EA2">
              <w:rPr>
                <w:rFonts w:cs="Arial"/>
                <w:lang w:val="en-US"/>
              </w:rPr>
              <w:t>The Partnership</w:t>
            </w:r>
            <w:r w:rsidRPr="0005670E">
              <w:rPr>
                <w:rFonts w:cs="Arial"/>
                <w:lang w:val="en-US"/>
              </w:rPr>
              <w:t xml:space="preserve"> encourages portfolio companies to adopt ESG practices, helping drive improvements in ESG performance over time.</w:t>
            </w:r>
          </w:p>
          <w:p w14:paraId="3F03C835" w14:textId="77777777" w:rsidR="0034749E" w:rsidRPr="0005670E" w:rsidRDefault="0034749E" w:rsidP="006F0B95">
            <w:pPr>
              <w:pStyle w:val="Listenabsatz"/>
              <w:jc w:val="both"/>
              <w:rPr>
                <w:rFonts w:cs="Arial"/>
                <w:lang w:val="en-US"/>
              </w:rPr>
            </w:pPr>
          </w:p>
          <w:p w14:paraId="0482A731" w14:textId="77777777" w:rsidR="00F07339" w:rsidRDefault="0034749E" w:rsidP="00F753FA">
            <w:pPr>
              <w:jc w:val="both"/>
              <w:rPr>
                <w:rFonts w:cs="Arial"/>
                <w:lang w:val="en-US"/>
              </w:rPr>
            </w:pPr>
            <w:r w:rsidRPr="005C22A4">
              <w:rPr>
                <w:rFonts w:cs="Arial"/>
                <w:lang w:val="en-US"/>
              </w:rPr>
              <w:t xml:space="preserve">This framework aligns </w:t>
            </w:r>
            <w:r w:rsidR="00D72EA2">
              <w:rPr>
                <w:rFonts w:cs="Arial"/>
                <w:lang w:val="en-US"/>
              </w:rPr>
              <w:t>the Partnership</w:t>
            </w:r>
            <w:r w:rsidRPr="005C22A4">
              <w:rPr>
                <w:rFonts w:cs="Arial"/>
                <w:lang w:val="en-US"/>
              </w:rPr>
              <w:t>’s investments with long-term value-creation goals while addressing environmental, social, and governance risks proactively.</w:t>
            </w:r>
          </w:p>
          <w:p w14:paraId="07767B19" w14:textId="20D0C783" w:rsidR="00451C1F" w:rsidRPr="00364307" w:rsidRDefault="00451C1F" w:rsidP="00F753FA">
            <w:pPr>
              <w:jc w:val="both"/>
              <w:rPr>
                <w:rFonts w:cs="Arial"/>
                <w:lang w:val="en-US"/>
              </w:rPr>
            </w:pPr>
          </w:p>
        </w:tc>
      </w:tr>
      <w:bookmarkEnd w:id="0"/>
    </w:tbl>
    <w:p w14:paraId="6B747213" w14:textId="77777777" w:rsidR="008362B1" w:rsidRPr="00162979" w:rsidRDefault="008362B1"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01"/>
        <w:gridCol w:w="7959"/>
      </w:tblGrid>
      <w:tr w:rsidR="00123FE6" w:rsidRPr="00162979" w14:paraId="1C5EC0E9" w14:textId="77777777" w:rsidTr="001F4AE6">
        <w:trPr>
          <w:trHeight w:val="510"/>
        </w:trPr>
        <w:tc>
          <w:tcPr>
            <w:tcW w:w="1101" w:type="dxa"/>
            <w:shd w:val="clear" w:color="auto" w:fill="17365D" w:themeFill="text2" w:themeFillShade="BF"/>
            <w:vAlign w:val="center"/>
          </w:tcPr>
          <w:p w14:paraId="26267E81" w14:textId="77777777" w:rsidR="00123FE6" w:rsidRPr="00162979" w:rsidRDefault="00E071A1" w:rsidP="00123FE6">
            <w:pPr>
              <w:jc w:val="center"/>
              <w:rPr>
                <w:rFonts w:ascii="Calibri" w:hAnsi="Calibri" w:cs="Arial"/>
                <w:b/>
                <w:color w:val="FFFFFF" w:themeColor="background1"/>
                <w:lang w:val="en-US"/>
              </w:rPr>
            </w:pPr>
            <w:r w:rsidRPr="00162979">
              <w:rPr>
                <w:noProof/>
                <w:lang w:val="en-US" w:eastAsia="en-GB"/>
              </w:rPr>
              <w:drawing>
                <wp:inline distT="0" distB="0" distL="0" distR="0" wp14:anchorId="5F9BF55F" wp14:editId="3073C309">
                  <wp:extent cx="559967" cy="565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lum bright="70000" contrast="-70000"/>
                          </a:blip>
                          <a:stretch>
                            <a:fillRect/>
                          </a:stretch>
                        </pic:blipFill>
                        <pic:spPr>
                          <a:xfrm>
                            <a:off x="0" y="0"/>
                            <a:ext cx="559967" cy="565200"/>
                          </a:xfrm>
                          <a:prstGeom prst="rect">
                            <a:avLst/>
                          </a:prstGeom>
                        </pic:spPr>
                      </pic:pic>
                    </a:graphicData>
                  </a:graphic>
                </wp:inline>
              </w:drawing>
            </w:r>
          </w:p>
        </w:tc>
        <w:tc>
          <w:tcPr>
            <w:tcW w:w="8185" w:type="dxa"/>
            <w:shd w:val="clear" w:color="auto" w:fill="17365D" w:themeFill="text2" w:themeFillShade="BF"/>
            <w:vAlign w:val="center"/>
          </w:tcPr>
          <w:p w14:paraId="2DCFEA5D" w14:textId="77777777" w:rsidR="00536D4C" w:rsidRPr="00162979" w:rsidRDefault="00123FE6" w:rsidP="00536D4C">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No sustainable investment objective</w:t>
            </w:r>
          </w:p>
        </w:tc>
      </w:tr>
      <w:tr w:rsidR="0086366B" w:rsidRPr="00162979" w14:paraId="7DD35E4B" w14:textId="77777777" w:rsidTr="004563FA">
        <w:trPr>
          <w:trHeight w:val="948"/>
        </w:trPr>
        <w:tc>
          <w:tcPr>
            <w:tcW w:w="9286" w:type="dxa"/>
            <w:gridSpan w:val="2"/>
            <w:shd w:val="clear" w:color="auto" w:fill="auto"/>
          </w:tcPr>
          <w:p w14:paraId="76F48D0A" w14:textId="77777777" w:rsidR="004563FA" w:rsidRPr="00162979" w:rsidRDefault="004563FA" w:rsidP="004563FA">
            <w:pPr>
              <w:rPr>
                <w:rFonts w:ascii="Calibri" w:hAnsi="Calibri" w:cs="Calibri"/>
                <w:lang w:val="en-US"/>
              </w:rPr>
            </w:pPr>
          </w:p>
          <w:p w14:paraId="0BA26723" w14:textId="06C96356" w:rsidR="00F07339" w:rsidRPr="00162979" w:rsidRDefault="00F07339" w:rsidP="00E00CEC">
            <w:pPr>
              <w:jc w:val="both"/>
              <w:rPr>
                <w:rFonts w:cs="Arial"/>
                <w:b/>
                <w:color w:val="FFFFFF" w:themeColor="background1"/>
                <w:lang w:val="en-US"/>
              </w:rPr>
            </w:pPr>
            <w:r w:rsidRPr="00162979">
              <w:rPr>
                <w:rFonts w:ascii="Calibri" w:hAnsi="Calibri" w:cs="Calibri"/>
                <w:lang w:val="en-US"/>
              </w:rPr>
              <w:t>This financial product promotes environmental or social characteristics, but does not have as its objective a sustainable investment.</w:t>
            </w:r>
          </w:p>
          <w:p w14:paraId="705B68E0" w14:textId="77777777" w:rsidR="00795C77" w:rsidRPr="00162979" w:rsidRDefault="00795C77" w:rsidP="004563FA">
            <w:pPr>
              <w:rPr>
                <w:rFonts w:cs="Arial"/>
                <w:b/>
                <w:color w:val="FFFFFF" w:themeColor="background1"/>
                <w:lang w:val="en-US"/>
              </w:rPr>
            </w:pPr>
          </w:p>
        </w:tc>
      </w:tr>
      <w:tr w:rsidR="0086366B" w:rsidRPr="00162979" w14:paraId="06ADF502" w14:textId="65D45D33" w:rsidTr="00FE10DA">
        <w:trPr>
          <w:trHeight w:val="339"/>
        </w:trPr>
        <w:tc>
          <w:tcPr>
            <w:tcW w:w="9286" w:type="dxa"/>
            <w:gridSpan w:val="2"/>
            <w:shd w:val="clear" w:color="auto" w:fill="FFFFFF" w:themeFill="background1"/>
            <w:vAlign w:val="center"/>
          </w:tcPr>
          <w:p w14:paraId="30D56C71" w14:textId="2E53F46A" w:rsidR="0086366B" w:rsidRPr="00162979" w:rsidRDefault="00521C63" w:rsidP="00FE10DA">
            <w:pPr>
              <w:jc w:val="center"/>
              <w:rPr>
                <w:rFonts w:cs="Arial"/>
                <w:b/>
                <w:color w:val="0F243E" w:themeColor="text2" w:themeShade="80"/>
                <w:lang w:val="en-US"/>
              </w:rPr>
            </w:pPr>
            <w:r w:rsidRPr="00162979">
              <w:rPr>
                <w:rFonts w:cs="Arial"/>
                <w:b/>
                <w:color w:val="0F243E" w:themeColor="text2" w:themeShade="80"/>
                <w:lang w:val="en-US"/>
              </w:rPr>
              <w:t>How d</w:t>
            </w:r>
            <w:r w:rsidR="0086366B" w:rsidRPr="00162979">
              <w:rPr>
                <w:rFonts w:cs="Arial"/>
                <w:b/>
                <w:color w:val="0F243E" w:themeColor="text2" w:themeShade="80"/>
                <w:lang w:val="en-US"/>
              </w:rPr>
              <w:t xml:space="preserve">oes this financial product </w:t>
            </w:r>
            <w:proofErr w:type="gramStart"/>
            <w:r w:rsidR="0086366B" w:rsidRPr="00162979">
              <w:rPr>
                <w:rFonts w:cs="Arial"/>
                <w:b/>
                <w:color w:val="0F243E" w:themeColor="text2" w:themeShade="80"/>
                <w:lang w:val="en-US"/>
              </w:rPr>
              <w:t>take into account</w:t>
            </w:r>
            <w:proofErr w:type="gramEnd"/>
            <w:r w:rsidR="0086366B" w:rsidRPr="00162979">
              <w:rPr>
                <w:rFonts w:cs="Arial"/>
                <w:b/>
                <w:color w:val="0F243E" w:themeColor="text2" w:themeShade="80"/>
                <w:lang w:val="en-US"/>
              </w:rPr>
              <w:t xml:space="preserve"> principal adverse impacts on sustainability factors?</w:t>
            </w:r>
          </w:p>
        </w:tc>
      </w:tr>
      <w:tr w:rsidR="00123FE6" w:rsidRPr="00162979" w14:paraId="55DF0711" w14:textId="5F5B91B7" w:rsidTr="004563FA">
        <w:trPr>
          <w:trHeight w:val="768"/>
        </w:trPr>
        <w:tc>
          <w:tcPr>
            <w:tcW w:w="9286" w:type="dxa"/>
            <w:gridSpan w:val="2"/>
          </w:tcPr>
          <w:p w14:paraId="70587531" w14:textId="77777777" w:rsidR="004563FA" w:rsidRPr="00162979" w:rsidRDefault="004563FA" w:rsidP="004563FA">
            <w:pPr>
              <w:rPr>
                <w:rFonts w:cs="Arial"/>
                <w:lang w:val="en-US"/>
              </w:rPr>
            </w:pPr>
          </w:p>
          <w:p w14:paraId="5A9D0BEA" w14:textId="51ECEC79" w:rsidR="00123FE6" w:rsidRPr="00162979" w:rsidRDefault="00257512" w:rsidP="00E00CEC">
            <w:pPr>
              <w:jc w:val="both"/>
              <w:rPr>
                <w:rFonts w:ascii="Calibri" w:hAnsi="Calibri" w:cs="Arial"/>
                <w:lang w:val="en-US"/>
              </w:rPr>
            </w:pPr>
            <w:r>
              <w:rPr>
                <w:rFonts w:cs="Arial"/>
                <w:lang w:val="en-US"/>
              </w:rPr>
              <w:t>Not applicable.</w:t>
            </w:r>
          </w:p>
        </w:tc>
      </w:tr>
      <w:tr w:rsidR="0086366B" w:rsidRPr="00162979" w14:paraId="09ABAE9D" w14:textId="740A0B72" w:rsidTr="00FE10DA">
        <w:trPr>
          <w:trHeight w:val="549"/>
        </w:trPr>
        <w:tc>
          <w:tcPr>
            <w:tcW w:w="9286" w:type="dxa"/>
            <w:gridSpan w:val="2"/>
            <w:shd w:val="clear" w:color="auto" w:fill="FFFFFF" w:themeFill="background1"/>
            <w:vAlign w:val="center"/>
          </w:tcPr>
          <w:p w14:paraId="681F0911" w14:textId="3CB482C8" w:rsidR="0086366B" w:rsidRPr="00162979" w:rsidRDefault="00CE1D4F" w:rsidP="00FE10DA">
            <w:pPr>
              <w:jc w:val="center"/>
              <w:rPr>
                <w:rFonts w:cs="Arial"/>
                <w:b/>
                <w:color w:val="0F243E" w:themeColor="text2" w:themeShade="80"/>
                <w:lang w:val="en-US"/>
              </w:rPr>
            </w:pPr>
            <w:r w:rsidRPr="00162979">
              <w:rPr>
                <w:rFonts w:cs="Arial"/>
                <w:b/>
                <w:color w:val="0F243E" w:themeColor="text2" w:themeShade="80"/>
                <w:lang w:val="en-US"/>
              </w:rPr>
              <w:t>Are the sustainable investments aligned with the OECD Guidelines for Multinational Enterprises and the UN Guiding Principles on Business and Human Rights?</w:t>
            </w:r>
          </w:p>
        </w:tc>
      </w:tr>
      <w:tr w:rsidR="0086366B" w:rsidRPr="00162979" w14:paraId="040FA1C5" w14:textId="2FC93D50" w:rsidTr="004563FA">
        <w:trPr>
          <w:trHeight w:val="972"/>
        </w:trPr>
        <w:tc>
          <w:tcPr>
            <w:tcW w:w="9286" w:type="dxa"/>
            <w:gridSpan w:val="2"/>
          </w:tcPr>
          <w:p w14:paraId="4233D11E" w14:textId="77777777" w:rsidR="004563FA" w:rsidRPr="00162979" w:rsidRDefault="004563FA" w:rsidP="004563FA">
            <w:pPr>
              <w:rPr>
                <w:rFonts w:cs="Arial"/>
                <w:lang w:val="en-US"/>
              </w:rPr>
            </w:pPr>
          </w:p>
          <w:p w14:paraId="1A5683EC" w14:textId="688583F2" w:rsidR="0086366B" w:rsidRPr="00162979" w:rsidRDefault="00257512" w:rsidP="00E00CEC">
            <w:pPr>
              <w:jc w:val="both"/>
              <w:rPr>
                <w:rFonts w:cs="Arial"/>
                <w:lang w:val="en-US"/>
              </w:rPr>
            </w:pPr>
            <w:r>
              <w:rPr>
                <w:rFonts w:cs="Arial"/>
                <w:lang w:val="en-US"/>
              </w:rPr>
              <w:t>Not applicable.</w:t>
            </w:r>
          </w:p>
        </w:tc>
      </w:tr>
    </w:tbl>
    <w:p w14:paraId="66BDBC69" w14:textId="77777777" w:rsidR="00690C95" w:rsidRPr="00162979" w:rsidRDefault="00690C95"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5"/>
        <w:gridCol w:w="7965"/>
      </w:tblGrid>
      <w:tr w:rsidR="00123FE6" w:rsidRPr="00162979" w14:paraId="3582030D" w14:textId="77777777" w:rsidTr="001F4AE6">
        <w:trPr>
          <w:trHeight w:val="510"/>
        </w:trPr>
        <w:tc>
          <w:tcPr>
            <w:tcW w:w="1100" w:type="dxa"/>
            <w:shd w:val="clear" w:color="auto" w:fill="17365D" w:themeFill="text2" w:themeFillShade="BF"/>
            <w:vAlign w:val="center"/>
          </w:tcPr>
          <w:p w14:paraId="17F1EAAE" w14:textId="77777777" w:rsidR="00123FE6" w:rsidRPr="00162979" w:rsidRDefault="00E071A1" w:rsidP="00E071A1">
            <w:pPr>
              <w:jc w:val="center"/>
              <w:rPr>
                <w:rFonts w:ascii="Calibri" w:hAnsi="Calibri" w:cs="Arial"/>
                <w:b/>
                <w:color w:val="FFFFFF" w:themeColor="background1"/>
                <w:lang w:val="en-US"/>
              </w:rPr>
            </w:pPr>
            <w:r w:rsidRPr="00162979">
              <w:rPr>
                <w:noProof/>
                <w:lang w:val="en-US" w:eastAsia="en-GB"/>
              </w:rPr>
              <w:drawing>
                <wp:inline distT="0" distB="0" distL="0" distR="0" wp14:anchorId="7D1BC03D" wp14:editId="640DFDBE">
                  <wp:extent cx="467791" cy="5652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lum bright="70000" contrast="-70000"/>
                          </a:blip>
                          <a:stretch>
                            <a:fillRect/>
                          </a:stretch>
                        </pic:blipFill>
                        <pic:spPr>
                          <a:xfrm>
                            <a:off x="0" y="0"/>
                            <a:ext cx="467791" cy="565200"/>
                          </a:xfrm>
                          <a:prstGeom prst="rect">
                            <a:avLst/>
                          </a:prstGeom>
                        </pic:spPr>
                      </pic:pic>
                    </a:graphicData>
                  </a:graphic>
                </wp:inline>
              </w:drawing>
            </w:r>
          </w:p>
        </w:tc>
        <w:tc>
          <w:tcPr>
            <w:tcW w:w="8186" w:type="dxa"/>
            <w:shd w:val="clear" w:color="auto" w:fill="17365D" w:themeFill="text2" w:themeFillShade="BF"/>
            <w:vAlign w:val="center"/>
          </w:tcPr>
          <w:p w14:paraId="36C4C338" w14:textId="77777777"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Environmental or social characteristics of the financial product</w:t>
            </w:r>
          </w:p>
        </w:tc>
      </w:tr>
      <w:tr w:rsidR="00CB000F" w:rsidRPr="00162979" w14:paraId="5D1BC83C" w14:textId="77777777" w:rsidTr="00FE10DA">
        <w:trPr>
          <w:trHeight w:val="393"/>
        </w:trPr>
        <w:tc>
          <w:tcPr>
            <w:tcW w:w="9286" w:type="dxa"/>
            <w:gridSpan w:val="2"/>
            <w:shd w:val="clear" w:color="auto" w:fill="FFFFFF" w:themeFill="background1"/>
            <w:vAlign w:val="center"/>
          </w:tcPr>
          <w:p w14:paraId="57BBDD0B" w14:textId="77777777" w:rsidR="00CB000F" w:rsidRPr="00162979" w:rsidRDefault="00186CF2" w:rsidP="00FE10DA">
            <w:pPr>
              <w:jc w:val="center"/>
              <w:rPr>
                <w:rFonts w:cs="Arial"/>
                <w:b/>
                <w:lang w:val="en-US"/>
              </w:rPr>
            </w:pPr>
            <w:r w:rsidRPr="00162979">
              <w:rPr>
                <w:rFonts w:cs="Arial"/>
                <w:b/>
                <w:color w:val="0F243E" w:themeColor="text2" w:themeShade="80"/>
                <w:lang w:val="en-US"/>
              </w:rPr>
              <w:t>What are</w:t>
            </w:r>
            <w:r w:rsidR="00CB000F" w:rsidRPr="00162979">
              <w:rPr>
                <w:rFonts w:cs="Arial"/>
                <w:b/>
                <w:color w:val="0F243E" w:themeColor="text2" w:themeShade="80"/>
                <w:lang w:val="en-US"/>
              </w:rPr>
              <w:t xml:space="preserve"> the environmental or </w:t>
            </w:r>
            <w:r w:rsidRPr="00162979">
              <w:rPr>
                <w:rFonts w:cs="Arial"/>
                <w:b/>
                <w:color w:val="0F243E" w:themeColor="text2" w:themeShade="80"/>
                <w:lang w:val="en-US"/>
              </w:rPr>
              <w:t>social characteristics promoted by this financial product?</w:t>
            </w:r>
          </w:p>
        </w:tc>
      </w:tr>
      <w:tr w:rsidR="00A97935" w:rsidRPr="00162979" w14:paraId="328AA475" w14:textId="77777777" w:rsidTr="00C40A23">
        <w:trPr>
          <w:trHeight w:val="846"/>
        </w:trPr>
        <w:tc>
          <w:tcPr>
            <w:tcW w:w="9286" w:type="dxa"/>
            <w:gridSpan w:val="2"/>
            <w:vAlign w:val="center"/>
          </w:tcPr>
          <w:p w14:paraId="0DDD8C74" w14:textId="77777777" w:rsidR="00C40A23" w:rsidRPr="00162979" w:rsidRDefault="00C40A23" w:rsidP="00C40A23">
            <w:pPr>
              <w:jc w:val="both"/>
              <w:rPr>
                <w:rFonts w:cs="Arial"/>
                <w:lang w:val="en-US"/>
              </w:rPr>
            </w:pPr>
          </w:p>
          <w:p w14:paraId="55FBB068" w14:textId="77777777" w:rsidR="00E43B7A" w:rsidRPr="00162979" w:rsidRDefault="00E43B7A" w:rsidP="00E43B7A">
            <w:pPr>
              <w:jc w:val="both"/>
              <w:rPr>
                <w:rFonts w:cs="Arial"/>
                <w:b/>
                <w:lang w:val="en-US"/>
              </w:rPr>
            </w:pPr>
            <w:r w:rsidRPr="00162979">
              <w:rPr>
                <w:rFonts w:cs="Arial"/>
                <w:b/>
                <w:lang w:val="en-US"/>
              </w:rPr>
              <w:t>Environmental characteristics</w:t>
            </w:r>
          </w:p>
          <w:p w14:paraId="33AB6B4F" w14:textId="29A6DF1E" w:rsidR="00E43B7A" w:rsidRPr="00162979" w:rsidRDefault="00E43B7A" w:rsidP="00E43B7A">
            <w:pPr>
              <w:jc w:val="both"/>
              <w:rPr>
                <w:rFonts w:cs="Arial"/>
                <w:lang w:val="en-US"/>
              </w:rPr>
            </w:pPr>
            <w:r w:rsidRPr="00162979">
              <w:rPr>
                <w:rFonts w:cs="Arial"/>
                <w:lang w:val="en-US"/>
              </w:rPr>
              <w:t>•</w:t>
            </w:r>
            <w:r w:rsidRPr="00162979">
              <w:rPr>
                <w:rFonts w:cs="Arial"/>
                <w:lang w:val="en-US"/>
              </w:rPr>
              <w:tab/>
            </w:r>
            <w:r w:rsidR="00904EC1">
              <w:rPr>
                <w:rFonts w:cs="Arial"/>
                <w:lang w:val="en-US"/>
              </w:rPr>
              <w:t>Carbon e</w:t>
            </w:r>
            <w:r w:rsidRPr="00162979">
              <w:rPr>
                <w:rFonts w:cs="Arial"/>
                <w:lang w:val="en-US"/>
              </w:rPr>
              <w:t xml:space="preserve">missions reduction </w:t>
            </w:r>
          </w:p>
          <w:p w14:paraId="4AFF5EEE" w14:textId="77777777" w:rsidR="006270E1" w:rsidRDefault="006270E1" w:rsidP="00E43B7A">
            <w:pPr>
              <w:jc w:val="both"/>
              <w:rPr>
                <w:rFonts w:cs="Arial"/>
                <w:lang w:val="en-US"/>
              </w:rPr>
            </w:pPr>
          </w:p>
          <w:p w14:paraId="089F049D" w14:textId="2CDA3A67" w:rsidR="00E43B7A" w:rsidRPr="00162979" w:rsidRDefault="00E43B7A" w:rsidP="00E43B7A">
            <w:pPr>
              <w:jc w:val="both"/>
              <w:rPr>
                <w:rFonts w:cs="Arial"/>
                <w:b/>
                <w:lang w:val="en-US"/>
              </w:rPr>
            </w:pPr>
            <w:r w:rsidRPr="00162979">
              <w:rPr>
                <w:rFonts w:cs="Arial"/>
                <w:b/>
                <w:lang w:val="en-US"/>
              </w:rPr>
              <w:t>Social characteristics</w:t>
            </w:r>
          </w:p>
          <w:p w14:paraId="5780BDF2" w14:textId="77777777" w:rsidR="00E43B7A" w:rsidRPr="00162979" w:rsidRDefault="00E43B7A" w:rsidP="00E43B7A">
            <w:pPr>
              <w:jc w:val="both"/>
              <w:rPr>
                <w:rFonts w:cs="Arial"/>
                <w:lang w:val="en-US"/>
              </w:rPr>
            </w:pPr>
            <w:r w:rsidRPr="00162979">
              <w:rPr>
                <w:rFonts w:cs="Arial"/>
                <w:lang w:val="en-US"/>
              </w:rPr>
              <w:t>•</w:t>
            </w:r>
            <w:r w:rsidRPr="00162979">
              <w:rPr>
                <w:rFonts w:cs="Arial"/>
                <w:lang w:val="en-US"/>
              </w:rPr>
              <w:tab/>
              <w:t>Occupational health &amp; safety</w:t>
            </w:r>
          </w:p>
          <w:p w14:paraId="0103CEA0" w14:textId="77777777" w:rsidR="00E43B7A" w:rsidRPr="00162979" w:rsidRDefault="00E43B7A" w:rsidP="00E43B7A">
            <w:pPr>
              <w:jc w:val="both"/>
              <w:rPr>
                <w:rFonts w:cs="Arial"/>
                <w:lang w:val="en-US"/>
              </w:rPr>
            </w:pPr>
            <w:r w:rsidRPr="00162979">
              <w:rPr>
                <w:rFonts w:cs="Arial"/>
                <w:lang w:val="en-US"/>
              </w:rPr>
              <w:t>•</w:t>
            </w:r>
            <w:r w:rsidRPr="00162979">
              <w:rPr>
                <w:rFonts w:cs="Arial"/>
                <w:lang w:val="en-US"/>
              </w:rPr>
              <w:tab/>
              <w:t>Inclusion</w:t>
            </w:r>
          </w:p>
          <w:p w14:paraId="468A3B99" w14:textId="1EA55F41" w:rsidR="00B16974" w:rsidRDefault="00E43B7A" w:rsidP="00E43B7A">
            <w:pPr>
              <w:jc w:val="both"/>
              <w:rPr>
                <w:rFonts w:cs="Arial"/>
                <w:lang w:val="en-US"/>
              </w:rPr>
            </w:pPr>
            <w:r w:rsidRPr="00162979">
              <w:rPr>
                <w:rFonts w:cs="Arial"/>
                <w:lang w:val="en-US"/>
              </w:rPr>
              <w:t>•</w:t>
            </w:r>
            <w:r w:rsidRPr="00162979">
              <w:rPr>
                <w:rFonts w:cs="Arial"/>
                <w:lang w:val="en-US"/>
              </w:rPr>
              <w:tab/>
              <w:t>Board gender diversity</w:t>
            </w:r>
          </w:p>
          <w:p w14:paraId="4943FCB5" w14:textId="77777777" w:rsidR="008E3C3E" w:rsidRPr="00162979" w:rsidRDefault="008E3C3E" w:rsidP="00E43B7A">
            <w:pPr>
              <w:jc w:val="both"/>
              <w:rPr>
                <w:rFonts w:cs="Arial"/>
                <w:lang w:val="en-US"/>
              </w:rPr>
            </w:pPr>
          </w:p>
          <w:p w14:paraId="08DB4754" w14:textId="77777777" w:rsidR="00451C1F" w:rsidRDefault="00B16974" w:rsidP="00B16974">
            <w:pPr>
              <w:jc w:val="both"/>
              <w:rPr>
                <w:rFonts w:cs="Arial"/>
                <w:lang w:val="en-US"/>
              </w:rPr>
            </w:pPr>
            <w:r w:rsidRPr="00162979">
              <w:rPr>
                <w:rFonts w:cs="Arial"/>
                <w:lang w:val="en-US"/>
              </w:rPr>
              <w:t xml:space="preserve">Additionally, </w:t>
            </w:r>
            <w:r w:rsidR="008E3C3E" w:rsidRPr="008E3C3E">
              <w:rPr>
                <w:rFonts w:cs="Arial"/>
                <w:lang w:val="en-US"/>
              </w:rPr>
              <w:t xml:space="preserve">IQ EQ Fund Management (Luxembourg) S.A </w:t>
            </w:r>
            <w:r w:rsidR="008E3C3E">
              <w:rPr>
                <w:rFonts w:cs="Arial"/>
                <w:lang w:val="en-US"/>
              </w:rPr>
              <w:t>(the “</w:t>
            </w:r>
            <w:r w:rsidRPr="00A562F7">
              <w:rPr>
                <w:rFonts w:cs="Arial"/>
                <w:b/>
                <w:lang w:val="en-US"/>
              </w:rPr>
              <w:t>AIFM</w:t>
            </w:r>
            <w:r w:rsidR="008E3C3E">
              <w:rPr>
                <w:rFonts w:cs="Arial"/>
                <w:lang w:val="en-US"/>
              </w:rPr>
              <w:t>”)</w:t>
            </w:r>
            <w:r w:rsidRPr="00162979">
              <w:rPr>
                <w:rFonts w:cs="Arial"/>
                <w:lang w:val="en-US"/>
              </w:rPr>
              <w:t xml:space="preserve"> will adhere to a strict exclusion list relating to specific industries and products. Therefore, the Partnership applies a negative screening on all potential investments to determine unsuitable investments</w:t>
            </w:r>
            <w:r w:rsidR="00764E37">
              <w:rPr>
                <w:rFonts w:cs="Arial"/>
                <w:lang w:val="en-US"/>
              </w:rPr>
              <w:t xml:space="preserve"> and considers the share of investments that did not complete the questionnaire</w:t>
            </w:r>
            <w:r w:rsidRPr="00162979">
              <w:rPr>
                <w:rFonts w:cs="Arial"/>
                <w:lang w:val="en-US"/>
              </w:rPr>
              <w:t xml:space="preserve">. </w:t>
            </w:r>
          </w:p>
          <w:p w14:paraId="529ED628" w14:textId="6D08E237" w:rsidR="00451C1F" w:rsidRPr="00162979" w:rsidRDefault="00451C1F" w:rsidP="00B16974">
            <w:pPr>
              <w:jc w:val="both"/>
              <w:rPr>
                <w:rFonts w:cs="Arial"/>
                <w:lang w:val="en-US"/>
              </w:rPr>
            </w:pPr>
          </w:p>
        </w:tc>
      </w:tr>
      <w:tr w:rsidR="00153A95" w:rsidRPr="00162979" w14:paraId="15BBBDC7" w14:textId="77777777" w:rsidTr="00206554">
        <w:trPr>
          <w:trHeight w:val="981"/>
        </w:trPr>
        <w:tc>
          <w:tcPr>
            <w:tcW w:w="9286" w:type="dxa"/>
            <w:gridSpan w:val="2"/>
            <w:vAlign w:val="center"/>
          </w:tcPr>
          <w:p w14:paraId="1E1138C6" w14:textId="702737C8" w:rsidR="00153A95" w:rsidRPr="00162979" w:rsidRDefault="009E0BFE" w:rsidP="00D703E1">
            <w:pPr>
              <w:jc w:val="center"/>
              <w:rPr>
                <w:rFonts w:cs="Arial"/>
                <w:b/>
                <w:highlight w:val="yellow"/>
                <w:lang w:val="en-US"/>
              </w:rPr>
            </w:pPr>
            <w:r w:rsidRPr="00162979">
              <w:rPr>
                <w:b/>
                <w:color w:val="0F243E" w:themeColor="text2" w:themeShade="80"/>
                <w:lang w:val="en-US"/>
              </w:rPr>
              <w:lastRenderedPageBreak/>
              <w:t>What are the objectives of the sustainable investments that the financial product partially intends to make and how does the sustainable investment contribute to such objectives?</w:t>
            </w:r>
          </w:p>
        </w:tc>
      </w:tr>
      <w:tr w:rsidR="00153A95" w:rsidRPr="00162979" w14:paraId="74573196" w14:textId="77777777" w:rsidTr="004563FA">
        <w:trPr>
          <w:trHeight w:val="981"/>
        </w:trPr>
        <w:tc>
          <w:tcPr>
            <w:tcW w:w="9286" w:type="dxa"/>
            <w:gridSpan w:val="2"/>
          </w:tcPr>
          <w:p w14:paraId="2E45D80D" w14:textId="77777777" w:rsidR="004563FA" w:rsidRPr="00162979" w:rsidRDefault="004563FA" w:rsidP="004563FA">
            <w:pPr>
              <w:rPr>
                <w:rFonts w:cs="Arial"/>
                <w:lang w:val="en-US"/>
              </w:rPr>
            </w:pPr>
          </w:p>
          <w:p w14:paraId="716AF612" w14:textId="768067FD" w:rsidR="00153A95" w:rsidRPr="00162979" w:rsidRDefault="00432BB7" w:rsidP="00E00CEC">
            <w:pPr>
              <w:jc w:val="both"/>
              <w:rPr>
                <w:rFonts w:cs="Arial"/>
                <w:lang w:val="en-US"/>
              </w:rPr>
            </w:pPr>
            <w:r>
              <w:rPr>
                <w:rFonts w:cs="Arial"/>
                <w:lang w:val="en-US"/>
              </w:rPr>
              <w:t>Not applicable.</w:t>
            </w:r>
          </w:p>
          <w:p w14:paraId="35E6DA73" w14:textId="77777777" w:rsidR="00153A95" w:rsidRPr="00162979" w:rsidRDefault="00153A95" w:rsidP="004563FA">
            <w:pPr>
              <w:rPr>
                <w:rFonts w:cs="Arial"/>
                <w:b/>
                <w:color w:val="0F243E" w:themeColor="text2" w:themeShade="80"/>
                <w:highlight w:val="yellow"/>
                <w:lang w:val="en-US"/>
              </w:rPr>
            </w:pPr>
          </w:p>
        </w:tc>
      </w:tr>
      <w:tr w:rsidR="000F0C7A" w:rsidRPr="00162979" w14:paraId="30E5110E" w14:textId="3CB2A43B" w:rsidTr="00206554">
        <w:trPr>
          <w:trHeight w:val="981"/>
        </w:trPr>
        <w:tc>
          <w:tcPr>
            <w:tcW w:w="9286" w:type="dxa"/>
            <w:gridSpan w:val="2"/>
            <w:vAlign w:val="center"/>
          </w:tcPr>
          <w:p w14:paraId="72E406C8" w14:textId="7DD7039D" w:rsidR="000F0C7A" w:rsidRPr="00162979" w:rsidRDefault="009E0BFE" w:rsidP="00D703E1">
            <w:pPr>
              <w:jc w:val="center"/>
              <w:rPr>
                <w:rFonts w:cs="Arial"/>
                <w:b/>
                <w:highlight w:val="yellow"/>
                <w:lang w:val="en-US"/>
              </w:rPr>
            </w:pPr>
            <w:r w:rsidRPr="00162979">
              <w:rPr>
                <w:b/>
                <w:color w:val="0F243E" w:themeColor="text2" w:themeShade="80"/>
                <w:lang w:val="en-US"/>
              </w:rPr>
              <w:t>How do the sustainable investments that the financial product partially intends to make, not cause significant harm to any environmental or social sustainable investment objective?</w:t>
            </w:r>
          </w:p>
        </w:tc>
      </w:tr>
      <w:tr w:rsidR="000F0C7A" w:rsidRPr="00162979" w14:paraId="659B7899" w14:textId="1CAA9F03" w:rsidTr="004563FA">
        <w:trPr>
          <w:trHeight w:val="981"/>
        </w:trPr>
        <w:tc>
          <w:tcPr>
            <w:tcW w:w="9286" w:type="dxa"/>
            <w:gridSpan w:val="2"/>
          </w:tcPr>
          <w:p w14:paraId="5372FB0C" w14:textId="537C0E28" w:rsidR="004563FA" w:rsidRPr="00162979" w:rsidRDefault="004563FA" w:rsidP="00E00CEC">
            <w:pPr>
              <w:jc w:val="both"/>
              <w:rPr>
                <w:rFonts w:cs="Arial"/>
                <w:lang w:val="en-US"/>
              </w:rPr>
            </w:pPr>
          </w:p>
          <w:p w14:paraId="2C7A299F" w14:textId="6864AEAD" w:rsidR="000F0C7A" w:rsidRPr="00451C1F" w:rsidRDefault="003D2CA6" w:rsidP="004563FA">
            <w:pPr>
              <w:rPr>
                <w:rFonts w:cs="Arial"/>
                <w:lang w:val="en-US"/>
              </w:rPr>
            </w:pPr>
            <w:r w:rsidRPr="003D2CA6">
              <w:rPr>
                <w:rFonts w:cs="Arial"/>
                <w:lang w:val="en-US"/>
              </w:rPr>
              <w:t>Not applicable.</w:t>
            </w:r>
          </w:p>
        </w:tc>
      </w:tr>
    </w:tbl>
    <w:p w14:paraId="33D96BDF" w14:textId="77777777" w:rsidR="007249BC" w:rsidRPr="00162979" w:rsidRDefault="007249BC"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1"/>
        <w:gridCol w:w="7969"/>
      </w:tblGrid>
      <w:tr w:rsidR="00123FE6" w:rsidRPr="00162979" w14:paraId="5903ADCE" w14:textId="77777777" w:rsidTr="001F4AE6">
        <w:trPr>
          <w:trHeight w:val="510"/>
        </w:trPr>
        <w:tc>
          <w:tcPr>
            <w:tcW w:w="1100" w:type="dxa"/>
            <w:shd w:val="clear" w:color="auto" w:fill="17365D" w:themeFill="text2" w:themeFillShade="BF"/>
            <w:vAlign w:val="center"/>
          </w:tcPr>
          <w:p w14:paraId="2569900C" w14:textId="77777777" w:rsidR="00123FE6" w:rsidRPr="00162979" w:rsidRDefault="00E071A1" w:rsidP="00E071A1">
            <w:pPr>
              <w:jc w:val="center"/>
              <w:rPr>
                <w:rFonts w:ascii="Calibri" w:hAnsi="Calibri" w:cs="Arial"/>
                <w:b/>
                <w:color w:val="FFFFFF" w:themeColor="background1"/>
                <w:lang w:val="en-US"/>
              </w:rPr>
            </w:pPr>
            <w:r w:rsidRPr="00162979">
              <w:rPr>
                <w:noProof/>
                <w:lang w:val="en-US" w:eastAsia="en-GB"/>
              </w:rPr>
              <w:drawing>
                <wp:inline distT="0" distB="0" distL="0" distR="0" wp14:anchorId="320AA0EA" wp14:editId="07CC5B30">
                  <wp:extent cx="378387" cy="5652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lum bright="70000" contrast="-70000"/>
                          </a:blip>
                          <a:stretch>
                            <a:fillRect/>
                          </a:stretch>
                        </pic:blipFill>
                        <pic:spPr>
                          <a:xfrm>
                            <a:off x="0" y="0"/>
                            <a:ext cx="378387" cy="565200"/>
                          </a:xfrm>
                          <a:prstGeom prst="rect">
                            <a:avLst/>
                          </a:prstGeom>
                        </pic:spPr>
                      </pic:pic>
                    </a:graphicData>
                  </a:graphic>
                </wp:inline>
              </w:drawing>
            </w:r>
          </w:p>
        </w:tc>
        <w:tc>
          <w:tcPr>
            <w:tcW w:w="8186" w:type="dxa"/>
            <w:shd w:val="clear" w:color="auto" w:fill="17365D" w:themeFill="text2" w:themeFillShade="BF"/>
            <w:vAlign w:val="center"/>
          </w:tcPr>
          <w:p w14:paraId="5DC7E75C" w14:textId="77777777" w:rsidR="00123FE6"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Investment strategy</w:t>
            </w:r>
          </w:p>
        </w:tc>
      </w:tr>
      <w:tr w:rsidR="00253C8E" w:rsidRPr="00162979" w14:paraId="266FDA73" w14:textId="77777777" w:rsidTr="00FE10DA">
        <w:trPr>
          <w:trHeight w:val="565"/>
        </w:trPr>
        <w:tc>
          <w:tcPr>
            <w:tcW w:w="9286" w:type="dxa"/>
            <w:gridSpan w:val="2"/>
            <w:shd w:val="clear" w:color="auto" w:fill="FFFFFF" w:themeFill="background1"/>
            <w:vAlign w:val="center"/>
          </w:tcPr>
          <w:p w14:paraId="7D2F9B90" w14:textId="1639BCC0" w:rsidR="00253C8E" w:rsidRPr="00162979" w:rsidRDefault="00521C63" w:rsidP="00FE10DA">
            <w:pPr>
              <w:jc w:val="center"/>
              <w:rPr>
                <w:rFonts w:cs="Arial"/>
                <w:b/>
                <w:color w:val="0F243E" w:themeColor="text2" w:themeShade="80"/>
                <w:lang w:val="en-US"/>
              </w:rPr>
            </w:pPr>
            <w:r w:rsidRPr="00162979">
              <w:rPr>
                <w:rFonts w:cs="Arial"/>
                <w:b/>
                <w:color w:val="0F243E" w:themeColor="text2" w:themeShade="80"/>
                <w:lang w:val="en-US"/>
              </w:rPr>
              <w:t>What investment strategy does this financial product follow</w:t>
            </w:r>
            <w:r w:rsidR="002A40C6" w:rsidRPr="00162979">
              <w:rPr>
                <w:rFonts w:cs="Arial"/>
                <w:b/>
                <w:color w:val="0F243E" w:themeColor="text2" w:themeShade="80"/>
                <w:lang w:val="en-US"/>
              </w:rPr>
              <w:t xml:space="preserve"> and how is the strategy implemented in the investment process on a continuous basis</w:t>
            </w:r>
            <w:r w:rsidRPr="00162979">
              <w:rPr>
                <w:rFonts w:cs="Arial"/>
                <w:b/>
                <w:color w:val="0F243E" w:themeColor="text2" w:themeShade="80"/>
                <w:lang w:val="en-US"/>
              </w:rPr>
              <w:t>?</w:t>
            </w:r>
          </w:p>
        </w:tc>
      </w:tr>
      <w:tr w:rsidR="00521C63" w:rsidRPr="00162979" w14:paraId="70A54266" w14:textId="77777777" w:rsidTr="00212DDB">
        <w:trPr>
          <w:trHeight w:val="604"/>
        </w:trPr>
        <w:tc>
          <w:tcPr>
            <w:tcW w:w="9286" w:type="dxa"/>
            <w:gridSpan w:val="2"/>
            <w:shd w:val="clear" w:color="auto" w:fill="FFFFFF" w:themeFill="background1"/>
            <w:vAlign w:val="center"/>
          </w:tcPr>
          <w:p w14:paraId="045B2B1F" w14:textId="77777777" w:rsidR="00451C1F" w:rsidRDefault="00451C1F" w:rsidP="00C233C2">
            <w:pPr>
              <w:jc w:val="both"/>
              <w:rPr>
                <w:rFonts w:cs="Arial"/>
                <w:lang w:val="en-US"/>
              </w:rPr>
            </w:pPr>
          </w:p>
          <w:p w14:paraId="2710338D" w14:textId="5F4C11FE" w:rsidR="00C233C2" w:rsidRDefault="00AF34B2" w:rsidP="00C233C2">
            <w:pPr>
              <w:jc w:val="both"/>
              <w:rPr>
                <w:rFonts w:cs="Arial"/>
                <w:lang w:val="en-US"/>
              </w:rPr>
            </w:pPr>
            <w:r>
              <w:rPr>
                <w:rFonts w:cs="Arial"/>
                <w:lang w:val="en-US"/>
              </w:rPr>
              <w:t>The Partnership’s</w:t>
            </w:r>
            <w:r w:rsidR="00C233C2" w:rsidRPr="005C22A4">
              <w:rPr>
                <w:rFonts w:cs="Arial"/>
                <w:lang w:val="en-US"/>
              </w:rPr>
              <w:t xml:space="preserve"> framework for integrating ESG matters </w:t>
            </w:r>
            <w:r w:rsidR="00C233C2">
              <w:rPr>
                <w:rFonts w:cs="Arial"/>
                <w:lang w:val="en-US"/>
              </w:rPr>
              <w:t xml:space="preserve">during the investment process </w:t>
            </w:r>
            <w:r w:rsidR="00C233C2" w:rsidRPr="005C22A4">
              <w:rPr>
                <w:rFonts w:cs="Arial"/>
                <w:lang w:val="en-US"/>
              </w:rPr>
              <w:t xml:space="preserve">is structured </w:t>
            </w:r>
            <w:r w:rsidR="00D72EA2">
              <w:rPr>
                <w:rFonts w:cs="Arial"/>
                <w:lang w:val="en-US"/>
              </w:rPr>
              <w:t xml:space="preserve">essentially </w:t>
            </w:r>
            <w:r w:rsidR="00C233C2" w:rsidRPr="005C22A4">
              <w:rPr>
                <w:rFonts w:cs="Arial"/>
                <w:lang w:val="en-US"/>
              </w:rPr>
              <w:t>around three pillars:</w:t>
            </w:r>
          </w:p>
          <w:p w14:paraId="439F9675" w14:textId="77777777" w:rsidR="0072138B" w:rsidRPr="005C22A4" w:rsidRDefault="0072138B" w:rsidP="00C233C2">
            <w:pPr>
              <w:jc w:val="both"/>
              <w:rPr>
                <w:rFonts w:cs="Arial"/>
                <w:lang w:val="en-US"/>
              </w:rPr>
            </w:pPr>
          </w:p>
          <w:p w14:paraId="21BB5073" w14:textId="7C26B829" w:rsidR="00B16974" w:rsidRPr="00162979" w:rsidRDefault="00B16974" w:rsidP="00B16974">
            <w:pPr>
              <w:numPr>
                <w:ilvl w:val="0"/>
                <w:numId w:val="27"/>
              </w:numPr>
              <w:spacing w:line="312" w:lineRule="auto"/>
              <w:ind w:left="1134" w:hanging="357"/>
              <w:jc w:val="both"/>
              <w:rPr>
                <w:rFonts w:eastAsia="Arial"/>
                <w:lang w:val="en-US"/>
              </w:rPr>
            </w:pPr>
            <w:r w:rsidRPr="00162979">
              <w:rPr>
                <w:rFonts w:eastAsia="Arial"/>
                <w:lang w:val="en-US"/>
              </w:rPr>
              <w:t xml:space="preserve">the </w:t>
            </w:r>
            <w:r w:rsidR="00F153D1">
              <w:rPr>
                <w:rFonts w:eastAsia="Arial"/>
                <w:lang w:val="en-US"/>
              </w:rPr>
              <w:t>ESG Due Diligence,</w:t>
            </w:r>
          </w:p>
          <w:p w14:paraId="2A0A216C" w14:textId="74740855" w:rsidR="00B16974" w:rsidRPr="00162979" w:rsidRDefault="00B16974" w:rsidP="00B16974">
            <w:pPr>
              <w:numPr>
                <w:ilvl w:val="0"/>
                <w:numId w:val="27"/>
              </w:numPr>
              <w:spacing w:line="312" w:lineRule="auto"/>
              <w:ind w:left="1134" w:hanging="357"/>
              <w:jc w:val="both"/>
              <w:rPr>
                <w:rFonts w:eastAsia="Arial"/>
                <w:lang w:val="en-US"/>
              </w:rPr>
            </w:pPr>
            <w:r w:rsidRPr="00162979">
              <w:rPr>
                <w:rFonts w:eastAsia="Arial"/>
                <w:lang w:val="en-US"/>
              </w:rPr>
              <w:t xml:space="preserve">the </w:t>
            </w:r>
            <w:r w:rsidR="00F153D1">
              <w:rPr>
                <w:rFonts w:eastAsia="Arial"/>
                <w:lang w:val="en-US"/>
              </w:rPr>
              <w:t>Ongoing Portfolio Management</w:t>
            </w:r>
            <w:r w:rsidRPr="00162979">
              <w:rPr>
                <w:rFonts w:eastAsia="Arial"/>
                <w:lang w:val="en-US"/>
              </w:rPr>
              <w:t>,</w:t>
            </w:r>
          </w:p>
          <w:p w14:paraId="61B0F750" w14:textId="27C9EFC5" w:rsidR="00B16974" w:rsidRDefault="00B16974" w:rsidP="00B16974">
            <w:pPr>
              <w:numPr>
                <w:ilvl w:val="0"/>
                <w:numId w:val="27"/>
              </w:numPr>
              <w:spacing w:line="312" w:lineRule="auto"/>
              <w:ind w:left="1134" w:hanging="357"/>
              <w:jc w:val="both"/>
              <w:rPr>
                <w:rFonts w:eastAsia="Arial"/>
                <w:lang w:val="en-US"/>
              </w:rPr>
            </w:pPr>
            <w:r w:rsidRPr="00162979">
              <w:rPr>
                <w:rFonts w:eastAsia="Arial"/>
                <w:lang w:val="en-US"/>
              </w:rPr>
              <w:t xml:space="preserve">the </w:t>
            </w:r>
            <w:r w:rsidR="00F153D1">
              <w:rPr>
                <w:rFonts w:eastAsia="Arial"/>
                <w:lang w:val="en-US"/>
              </w:rPr>
              <w:t>Stakeholder Engagement and Governance</w:t>
            </w:r>
          </w:p>
          <w:p w14:paraId="090015A3" w14:textId="77777777" w:rsidR="00B424BF" w:rsidRPr="00162979" w:rsidRDefault="00B424BF" w:rsidP="00B424BF">
            <w:pPr>
              <w:spacing w:line="312" w:lineRule="auto"/>
              <w:ind w:left="1134"/>
              <w:jc w:val="both"/>
              <w:rPr>
                <w:rFonts w:eastAsia="Arial"/>
                <w:lang w:val="en-US"/>
              </w:rPr>
            </w:pPr>
          </w:p>
          <w:p w14:paraId="464BDC55" w14:textId="77777777" w:rsidR="00B16974" w:rsidRDefault="00B16974" w:rsidP="00B16974">
            <w:pPr>
              <w:spacing w:line="312" w:lineRule="auto"/>
              <w:jc w:val="both"/>
              <w:rPr>
                <w:rFonts w:eastAsia="Arial"/>
                <w:lang w:val="en-US"/>
              </w:rPr>
            </w:pPr>
            <w:r w:rsidRPr="00162979">
              <w:rPr>
                <w:rFonts w:eastAsia="Arial"/>
                <w:lang w:val="en-US"/>
              </w:rPr>
              <w:t>the Partnership applies one or a combination of the following methods to collect information and to assess its alignment with the promotion of its E/S Characteristics listed above:</w:t>
            </w:r>
          </w:p>
          <w:p w14:paraId="17BF61A4" w14:textId="77777777" w:rsidR="003B2A1F" w:rsidRDefault="003B2A1F" w:rsidP="00B16974">
            <w:pPr>
              <w:spacing w:line="312" w:lineRule="auto"/>
              <w:jc w:val="both"/>
              <w:rPr>
                <w:rFonts w:eastAsia="Arial"/>
                <w:b/>
                <w:lang w:val="en-US"/>
              </w:rPr>
            </w:pPr>
          </w:p>
          <w:p w14:paraId="1BB60B3F" w14:textId="1704A210" w:rsidR="003B2A1F" w:rsidRDefault="003B2A1F" w:rsidP="00B16974">
            <w:pPr>
              <w:spacing w:line="312" w:lineRule="auto"/>
              <w:jc w:val="both"/>
              <w:rPr>
                <w:rFonts w:eastAsia="Arial"/>
                <w:b/>
                <w:lang w:val="en-US"/>
              </w:rPr>
            </w:pPr>
            <w:r>
              <w:rPr>
                <w:rFonts w:eastAsia="Arial"/>
                <w:b/>
                <w:lang w:val="en-US"/>
              </w:rPr>
              <w:t>(</w:t>
            </w:r>
            <w:r w:rsidR="00B424BF">
              <w:rPr>
                <w:rFonts w:eastAsia="Arial"/>
                <w:b/>
                <w:lang w:val="en-US"/>
              </w:rPr>
              <w:t>P</w:t>
            </w:r>
            <w:r w:rsidR="00B16974" w:rsidRPr="00162979">
              <w:rPr>
                <w:rFonts w:eastAsia="Arial"/>
                <w:b/>
                <w:lang w:val="en-US"/>
              </w:rPr>
              <w:t>re-</w:t>
            </w:r>
            <w:r>
              <w:rPr>
                <w:rFonts w:eastAsia="Arial"/>
                <w:b/>
                <w:lang w:val="en-US"/>
              </w:rPr>
              <w:t>)</w:t>
            </w:r>
            <w:r w:rsidR="00B16974" w:rsidRPr="00162979">
              <w:rPr>
                <w:rFonts w:eastAsia="Arial"/>
                <w:b/>
                <w:lang w:val="en-US"/>
              </w:rPr>
              <w:t>investment phase</w:t>
            </w:r>
            <w:r>
              <w:rPr>
                <w:rFonts w:eastAsia="Arial"/>
                <w:b/>
                <w:lang w:val="en-US"/>
              </w:rPr>
              <w:t>:</w:t>
            </w:r>
            <w:r w:rsidR="00B16974" w:rsidRPr="00162979">
              <w:rPr>
                <w:rFonts w:eastAsia="Arial"/>
                <w:b/>
                <w:lang w:val="en-US"/>
              </w:rPr>
              <w:t xml:space="preserve"> </w:t>
            </w:r>
          </w:p>
          <w:p w14:paraId="67507A06" w14:textId="3071FCB0" w:rsidR="00B16974" w:rsidRPr="00162979" w:rsidRDefault="00F153D1" w:rsidP="00B16974">
            <w:pPr>
              <w:spacing w:line="312" w:lineRule="auto"/>
              <w:jc w:val="both"/>
              <w:rPr>
                <w:rFonts w:eastAsia="Arial"/>
                <w:b/>
                <w:lang w:val="en-US"/>
              </w:rPr>
            </w:pPr>
            <w:r>
              <w:rPr>
                <w:rFonts w:eastAsia="Arial"/>
                <w:b/>
                <w:lang w:val="en-US"/>
              </w:rPr>
              <w:t>ESG Due Diligence</w:t>
            </w:r>
            <w:r w:rsidR="003B2A1F">
              <w:rPr>
                <w:rFonts w:eastAsia="Arial"/>
                <w:b/>
                <w:lang w:val="en-US"/>
              </w:rPr>
              <w:t>:</w:t>
            </w:r>
          </w:p>
          <w:p w14:paraId="15662D85" w14:textId="49222FCC" w:rsidR="00B16974" w:rsidRDefault="00B16974" w:rsidP="00B16974">
            <w:pPr>
              <w:spacing w:line="312" w:lineRule="auto"/>
              <w:jc w:val="both"/>
              <w:rPr>
                <w:rFonts w:eastAsia="Arial"/>
                <w:lang w:val="en-US"/>
              </w:rPr>
            </w:pPr>
            <w:r w:rsidRPr="00162979">
              <w:rPr>
                <w:rFonts w:eastAsia="Arial"/>
                <w:lang w:val="en-US"/>
              </w:rPr>
              <w:t xml:space="preserve">In order to attain each of the E/S Characteristics set out above the Partnership carefully selects its investments opportunities during the </w:t>
            </w:r>
            <w:r w:rsidR="00F153D1">
              <w:rPr>
                <w:rFonts w:eastAsia="Arial"/>
                <w:lang w:val="en-US"/>
              </w:rPr>
              <w:t>(</w:t>
            </w:r>
            <w:r w:rsidRPr="00162979">
              <w:rPr>
                <w:rFonts w:eastAsia="Arial"/>
                <w:lang w:val="en-US"/>
              </w:rPr>
              <w:t>pre-</w:t>
            </w:r>
            <w:r w:rsidR="00F153D1">
              <w:rPr>
                <w:rFonts w:eastAsia="Arial"/>
                <w:lang w:val="en-US"/>
              </w:rPr>
              <w:t>)</w:t>
            </w:r>
            <w:r w:rsidRPr="00162979">
              <w:rPr>
                <w:rFonts w:eastAsia="Arial"/>
                <w:lang w:val="en-US"/>
              </w:rPr>
              <w:t xml:space="preserve">investment phase. During the </w:t>
            </w:r>
            <w:r w:rsidR="00F153D1">
              <w:rPr>
                <w:rFonts w:eastAsia="Arial"/>
                <w:lang w:val="en-US"/>
              </w:rPr>
              <w:t>(</w:t>
            </w:r>
            <w:r w:rsidRPr="00162979">
              <w:rPr>
                <w:rFonts w:eastAsia="Arial"/>
                <w:lang w:val="en-US"/>
              </w:rPr>
              <w:t>pre-</w:t>
            </w:r>
            <w:r w:rsidR="00F153D1">
              <w:rPr>
                <w:rFonts w:eastAsia="Arial"/>
                <w:lang w:val="en-US"/>
              </w:rPr>
              <w:t>)</w:t>
            </w:r>
            <w:r w:rsidRPr="00162979">
              <w:rPr>
                <w:rFonts w:eastAsia="Arial"/>
                <w:lang w:val="en-US"/>
              </w:rPr>
              <w:t xml:space="preserve">investment phase, the Partnership will employ a questionnaire for its E/S Characteristics to assess the compliance of an investment. In accordance with its guidelines, the </w:t>
            </w:r>
            <w:r w:rsidR="00721E9B">
              <w:rPr>
                <w:rFonts w:eastAsia="Arial"/>
                <w:lang w:val="en-US"/>
              </w:rPr>
              <w:t>Partnership</w:t>
            </w:r>
            <w:r w:rsidRPr="00162979">
              <w:rPr>
                <w:rFonts w:eastAsia="Arial"/>
                <w:lang w:val="en-US"/>
              </w:rPr>
              <w:t xml:space="preserve"> will in particular purs</w:t>
            </w:r>
            <w:r w:rsidR="00162979">
              <w:rPr>
                <w:rFonts w:eastAsia="Arial"/>
                <w:lang w:val="en-US"/>
              </w:rPr>
              <w:t>u</w:t>
            </w:r>
            <w:r w:rsidRPr="00162979">
              <w:rPr>
                <w:rFonts w:eastAsia="Arial"/>
                <w:lang w:val="en-US"/>
              </w:rPr>
              <w:t>e the more sustainable investment opportunity out of several equally suitable investment opportunities.</w:t>
            </w:r>
          </w:p>
          <w:p w14:paraId="0389DD59" w14:textId="77777777" w:rsidR="00CE27D8" w:rsidRPr="00162979" w:rsidRDefault="00CE27D8" w:rsidP="00B16974">
            <w:pPr>
              <w:spacing w:line="312" w:lineRule="auto"/>
              <w:jc w:val="both"/>
              <w:rPr>
                <w:rFonts w:eastAsia="Arial"/>
                <w:lang w:val="en-US"/>
              </w:rPr>
            </w:pPr>
          </w:p>
          <w:p w14:paraId="5DADB2EA" w14:textId="01D38B23" w:rsidR="00B424BF" w:rsidRDefault="00B16974" w:rsidP="00B16974">
            <w:pPr>
              <w:spacing w:line="312" w:lineRule="auto"/>
              <w:jc w:val="both"/>
              <w:rPr>
                <w:rFonts w:eastAsia="Arial"/>
                <w:lang w:val="en-US"/>
              </w:rPr>
            </w:pPr>
            <w:r w:rsidRPr="00162979">
              <w:rPr>
                <w:rFonts w:eastAsia="Arial"/>
                <w:lang w:val="en-US"/>
              </w:rPr>
              <w:t xml:space="preserve">Additionally, the </w:t>
            </w:r>
            <w:r w:rsidR="006D1104">
              <w:rPr>
                <w:rFonts w:eastAsia="Arial"/>
                <w:lang w:val="en-US"/>
              </w:rPr>
              <w:t>Partnership</w:t>
            </w:r>
            <w:r w:rsidRPr="00162979">
              <w:rPr>
                <w:rFonts w:eastAsia="Arial"/>
                <w:lang w:val="en-US"/>
              </w:rPr>
              <w:t xml:space="preserve"> adheres to a strict exclusion list relating to specific industries and products. Therefore, the Partnership applies a negative screening on all potential investments to determine unsuitable investments. In particular, the exclusion covers weapons and ammunition, child labor, pornography or sale of alcoholic beverages, tobacco, cannabis and radioactive material, </w:t>
            </w:r>
            <w:r w:rsidRPr="00162979">
              <w:rPr>
                <w:rFonts w:eastAsia="Arial"/>
                <w:lang w:val="en-US"/>
              </w:rPr>
              <w:lastRenderedPageBreak/>
              <w:t>gambling or illegal software</w:t>
            </w:r>
            <w:r w:rsidR="00F153D1">
              <w:rPr>
                <w:rFonts w:eastAsia="Arial"/>
                <w:lang w:val="en-GB"/>
              </w:rPr>
              <w:t xml:space="preserve">, </w:t>
            </w:r>
            <w:r w:rsidR="00F153D1" w:rsidRPr="009E41D7">
              <w:rPr>
                <w:rFonts w:eastAsia="Arial"/>
                <w:lang w:val="en-GB"/>
              </w:rPr>
              <w:t>fossil fuel-based energy production and energy-intensive and/or high CO2-emitting industries</w:t>
            </w:r>
            <w:r w:rsidR="00F153D1" w:rsidRPr="00191B76">
              <w:rPr>
                <w:rFonts w:eastAsia="Arial"/>
                <w:lang w:val="en-GB"/>
              </w:rPr>
              <w:t>.</w:t>
            </w:r>
            <w:r w:rsidR="00F153D1">
              <w:rPr>
                <w:rFonts w:eastAsia="Arial"/>
                <w:lang w:val="en-GB"/>
              </w:rPr>
              <w:t xml:space="preserve"> </w:t>
            </w:r>
            <w:r w:rsidR="00F153D1" w:rsidRPr="009A080E">
              <w:rPr>
                <w:rFonts w:eastAsia="Arial"/>
                <w:lang w:val="en-GB"/>
              </w:rPr>
              <w:t xml:space="preserve">The Partnership reserves the right to waive this strict exclusion </w:t>
            </w:r>
            <w:r w:rsidR="00F153D1">
              <w:rPr>
                <w:rFonts w:eastAsia="Arial"/>
                <w:lang w:val="en-GB"/>
              </w:rPr>
              <w:t>of high CO2-emitting industries</w:t>
            </w:r>
            <w:r w:rsidR="00F153D1" w:rsidRPr="009A080E">
              <w:rPr>
                <w:rFonts w:eastAsia="Arial"/>
                <w:lang w:val="en-GB"/>
              </w:rPr>
              <w:t xml:space="preserve"> if </w:t>
            </w:r>
            <w:r w:rsidR="00F153D1" w:rsidRPr="00191B76">
              <w:rPr>
                <w:lang w:val="en-GB"/>
              </w:rPr>
              <w:t xml:space="preserve">BRIGHT CAPITAL Asset Management </w:t>
            </w:r>
            <w:proofErr w:type="spellStart"/>
            <w:r w:rsidR="00F153D1" w:rsidRPr="00191B76">
              <w:rPr>
                <w:lang w:val="en-GB"/>
              </w:rPr>
              <w:t>S.à</w:t>
            </w:r>
            <w:proofErr w:type="spellEnd"/>
            <w:r w:rsidR="00F153D1" w:rsidRPr="00191B76">
              <w:rPr>
                <w:lang w:val="en-GB"/>
              </w:rPr>
              <w:t> </w:t>
            </w:r>
            <w:proofErr w:type="spellStart"/>
            <w:r w:rsidR="00F153D1" w:rsidRPr="00191B76">
              <w:rPr>
                <w:lang w:val="en-GB"/>
              </w:rPr>
              <w:t>r.l</w:t>
            </w:r>
            <w:proofErr w:type="spellEnd"/>
            <w:r w:rsidR="00F153D1" w:rsidRPr="00191B76">
              <w:rPr>
                <w:lang w:val="en-GB"/>
              </w:rPr>
              <w:t xml:space="preserve">. </w:t>
            </w:r>
            <w:r w:rsidR="00F153D1">
              <w:rPr>
                <w:lang w:val="en-GB"/>
              </w:rPr>
              <w:t>(the “</w:t>
            </w:r>
            <w:r w:rsidR="00F153D1" w:rsidRPr="009A080E">
              <w:rPr>
                <w:rFonts w:eastAsia="Arial"/>
                <w:b/>
                <w:lang w:val="en-GB"/>
              </w:rPr>
              <w:t>General Partner</w:t>
            </w:r>
            <w:r w:rsidR="00F153D1">
              <w:rPr>
                <w:rFonts w:eastAsia="Arial"/>
                <w:lang w:val="en-GB"/>
              </w:rPr>
              <w:t>”)</w:t>
            </w:r>
            <w:r w:rsidR="00F153D1" w:rsidRPr="009A080E">
              <w:rPr>
                <w:rFonts w:eastAsia="Arial"/>
                <w:lang w:val="en-GB"/>
              </w:rPr>
              <w:t xml:space="preserve"> confirms that the investment either (i) </w:t>
            </w:r>
            <w:r w:rsidR="00F153D1">
              <w:rPr>
                <w:rFonts w:eastAsia="Arial"/>
                <w:lang w:val="en-GB"/>
              </w:rPr>
              <w:t xml:space="preserve">qualifies </w:t>
            </w:r>
            <w:r w:rsidR="00F153D1" w:rsidRPr="009A080E">
              <w:rPr>
                <w:rFonts w:eastAsia="Arial"/>
                <w:lang w:val="en-GB"/>
              </w:rPr>
              <w:t xml:space="preserve">as an environmentally sustainable investment within the meaning of the </w:t>
            </w:r>
            <w:r w:rsidR="00F153D1">
              <w:rPr>
                <w:rFonts w:eastAsia="Arial"/>
                <w:lang w:val="en-GB"/>
              </w:rPr>
              <w:t>“</w:t>
            </w:r>
            <w:r w:rsidR="00F153D1" w:rsidRPr="009A080E">
              <w:rPr>
                <w:rFonts w:eastAsia="Arial"/>
                <w:lang w:val="en-GB"/>
              </w:rPr>
              <w:t>EU Taxonomy</w:t>
            </w:r>
            <w:r w:rsidR="00F153D1">
              <w:rPr>
                <w:rFonts w:eastAsia="Arial"/>
                <w:lang w:val="en-GB"/>
              </w:rPr>
              <w:t xml:space="preserve">” </w:t>
            </w:r>
            <w:r w:rsidR="00F153D1" w:rsidRPr="009A080E">
              <w:rPr>
                <w:rFonts w:eastAsia="Arial"/>
                <w:lang w:val="en-GB"/>
              </w:rPr>
              <w:t>(Regulation (EU) 2020/852, as amended</w:t>
            </w:r>
            <w:r w:rsidR="00F153D1">
              <w:rPr>
                <w:rFonts w:eastAsia="Arial"/>
                <w:lang w:val="en-GB"/>
              </w:rPr>
              <w:t xml:space="preserve"> from time to time</w:t>
            </w:r>
            <w:r w:rsidR="00F153D1" w:rsidRPr="009A080E">
              <w:rPr>
                <w:rFonts w:eastAsia="Arial"/>
                <w:lang w:val="en-GB"/>
              </w:rPr>
              <w:t xml:space="preserve">) or (ii) </w:t>
            </w:r>
            <w:r w:rsidR="00F153D1">
              <w:rPr>
                <w:rFonts w:eastAsia="Arial"/>
                <w:lang w:val="en-GB"/>
              </w:rPr>
              <w:t xml:space="preserve">is eligible </w:t>
            </w:r>
            <w:r w:rsidR="00F153D1" w:rsidRPr="00191B76">
              <w:rPr>
                <w:lang w:val="en-GB"/>
              </w:rPr>
              <w:t>under EIF’s Climate Action &amp; Environmental Sustainability (CA&amp;ES) criteria for green financing</w:t>
            </w:r>
            <w:r w:rsidRPr="00162979">
              <w:rPr>
                <w:rFonts w:eastAsia="Arial"/>
                <w:lang w:val="en-US"/>
              </w:rPr>
              <w:t xml:space="preserve">. </w:t>
            </w:r>
          </w:p>
          <w:p w14:paraId="2B8D63A1" w14:textId="77777777" w:rsidR="00451C1F" w:rsidRPr="00162979" w:rsidRDefault="00451C1F" w:rsidP="00B16974">
            <w:pPr>
              <w:spacing w:line="312" w:lineRule="auto"/>
              <w:jc w:val="both"/>
              <w:rPr>
                <w:rFonts w:eastAsia="Arial"/>
                <w:lang w:val="en-US"/>
              </w:rPr>
            </w:pPr>
          </w:p>
          <w:p w14:paraId="790DDDBF" w14:textId="0AA0C5DF" w:rsidR="003B2A1F" w:rsidRDefault="00364307" w:rsidP="00B16974">
            <w:pPr>
              <w:spacing w:line="312" w:lineRule="auto"/>
              <w:jc w:val="both"/>
              <w:rPr>
                <w:rFonts w:eastAsia="Arial"/>
                <w:b/>
                <w:lang w:val="en-US"/>
              </w:rPr>
            </w:pPr>
            <w:r>
              <w:rPr>
                <w:rFonts w:eastAsia="Arial"/>
                <w:b/>
                <w:lang w:val="en-US"/>
              </w:rPr>
              <w:t>H</w:t>
            </w:r>
            <w:r w:rsidR="00B16974" w:rsidRPr="003B2A1F">
              <w:rPr>
                <w:rFonts w:eastAsia="Arial"/>
                <w:b/>
                <w:lang w:val="en-US"/>
              </w:rPr>
              <w:t>olding phase</w:t>
            </w:r>
            <w:r w:rsidR="003B2A1F">
              <w:rPr>
                <w:rFonts w:eastAsia="Arial"/>
                <w:b/>
                <w:lang w:val="en-US"/>
              </w:rPr>
              <w:t>:</w:t>
            </w:r>
            <w:r w:rsidR="00B16974" w:rsidRPr="00162979">
              <w:rPr>
                <w:rFonts w:eastAsia="Arial"/>
                <w:b/>
                <w:lang w:val="en-US"/>
              </w:rPr>
              <w:t xml:space="preserve"> </w:t>
            </w:r>
          </w:p>
          <w:p w14:paraId="7CC7536B" w14:textId="0365F252" w:rsidR="00B16974" w:rsidRPr="00162979" w:rsidRDefault="00F153D1" w:rsidP="00B16974">
            <w:pPr>
              <w:spacing w:line="312" w:lineRule="auto"/>
              <w:jc w:val="both"/>
              <w:rPr>
                <w:rFonts w:eastAsia="Arial"/>
                <w:b/>
                <w:lang w:val="en-US"/>
              </w:rPr>
            </w:pPr>
            <w:r>
              <w:rPr>
                <w:rFonts w:eastAsia="Arial"/>
                <w:b/>
                <w:lang w:val="en-US"/>
              </w:rPr>
              <w:t>Ongoing Portfolio Monitoring</w:t>
            </w:r>
          </w:p>
          <w:p w14:paraId="298B0134" w14:textId="1D98D259" w:rsidR="00F153D1" w:rsidRPr="00F153D1" w:rsidRDefault="00F153D1" w:rsidP="00F153D1">
            <w:pPr>
              <w:jc w:val="both"/>
              <w:rPr>
                <w:rFonts w:cs="Arial"/>
                <w:lang w:val="en-US"/>
              </w:rPr>
            </w:pPr>
            <w:r w:rsidRPr="00F153D1">
              <w:rPr>
                <w:rFonts w:cs="Arial"/>
                <w:lang w:val="en-US"/>
              </w:rPr>
              <w:t xml:space="preserve">ESG risks and opportunities are continuously monitored across the portfolio, with periodic updates </w:t>
            </w:r>
            <w:r>
              <w:rPr>
                <w:rFonts w:cs="Arial"/>
                <w:lang w:val="en-US"/>
              </w:rPr>
              <w:t>portfolio companies</w:t>
            </w:r>
            <w:r w:rsidRPr="00F153D1">
              <w:rPr>
                <w:rFonts w:cs="Arial"/>
                <w:lang w:val="en-US"/>
              </w:rPr>
              <w:t xml:space="preserve"> on ESG performance. </w:t>
            </w:r>
            <w:r w:rsidR="00AF34B2">
              <w:rPr>
                <w:rFonts w:cs="Arial"/>
                <w:lang w:val="en-US"/>
              </w:rPr>
              <w:t>The Partnership</w:t>
            </w:r>
            <w:r w:rsidRPr="00F153D1">
              <w:rPr>
                <w:rFonts w:cs="Arial"/>
                <w:lang w:val="en-US"/>
              </w:rPr>
              <w:t xml:space="preserve"> also integrates ad-hoc reporting requirements for material adverse impacts, enabling timely responses to emerging risks.</w:t>
            </w:r>
          </w:p>
          <w:p w14:paraId="4E3A3188" w14:textId="77777777" w:rsidR="00F153D1" w:rsidRDefault="00F153D1" w:rsidP="00B16974">
            <w:pPr>
              <w:spacing w:line="312" w:lineRule="auto"/>
              <w:jc w:val="both"/>
              <w:rPr>
                <w:rFonts w:eastAsia="Arial"/>
                <w:lang w:val="en-US"/>
              </w:rPr>
            </w:pPr>
          </w:p>
          <w:p w14:paraId="05D81999" w14:textId="2A99D188" w:rsidR="00B16974" w:rsidRPr="00162979" w:rsidRDefault="00B16974" w:rsidP="00B16974">
            <w:pPr>
              <w:spacing w:line="312" w:lineRule="auto"/>
              <w:jc w:val="both"/>
              <w:rPr>
                <w:rFonts w:eastAsia="Arial"/>
                <w:lang w:val="en-US"/>
              </w:rPr>
            </w:pPr>
            <w:r w:rsidRPr="00162979">
              <w:rPr>
                <w:rFonts w:eastAsia="Arial"/>
                <w:lang w:val="en-US"/>
              </w:rPr>
              <w:t>The following methodologies are implemented to monitor and manage ESG risks:</w:t>
            </w:r>
          </w:p>
          <w:p w14:paraId="0ABC1B78" w14:textId="353EC512" w:rsidR="00B16974" w:rsidRPr="00162979"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 xml:space="preserve">Monitoring ESG impact through collecting the proprietary ESG questionnaire on a recurring </w:t>
            </w:r>
            <w:r w:rsidR="00C233C2">
              <w:rPr>
                <w:rFonts w:eastAsia="Arial"/>
                <w:lang w:val="en-US"/>
              </w:rPr>
              <w:tab/>
            </w:r>
            <w:r w:rsidRPr="00162979">
              <w:rPr>
                <w:rFonts w:eastAsia="Arial"/>
                <w:lang w:val="en-US"/>
              </w:rPr>
              <w:t xml:space="preserve">basis (at least </w:t>
            </w:r>
            <w:r w:rsidR="001E71BB">
              <w:rPr>
                <w:rFonts w:eastAsia="Arial"/>
                <w:lang w:val="en-US"/>
              </w:rPr>
              <w:t>quarterly</w:t>
            </w:r>
            <w:r w:rsidRPr="00162979">
              <w:rPr>
                <w:rFonts w:eastAsia="Arial"/>
                <w:lang w:val="en-US"/>
              </w:rPr>
              <w:t>);</w:t>
            </w:r>
          </w:p>
          <w:p w14:paraId="6D767108" w14:textId="441B052D" w:rsidR="00B16974"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 xml:space="preserve">Regular reporting from </w:t>
            </w:r>
            <w:r w:rsidR="00C233C2">
              <w:rPr>
                <w:rFonts w:eastAsia="Arial"/>
                <w:lang w:val="en-US"/>
              </w:rPr>
              <w:t>portfolio</w:t>
            </w:r>
            <w:r w:rsidRPr="00162979">
              <w:rPr>
                <w:rFonts w:eastAsia="Arial"/>
                <w:lang w:val="en-US"/>
              </w:rPr>
              <w:t xml:space="preserve"> companies.</w:t>
            </w:r>
          </w:p>
          <w:p w14:paraId="5BA26DAE" w14:textId="77777777" w:rsidR="0048445A" w:rsidRPr="00162979" w:rsidRDefault="0048445A" w:rsidP="00B16974">
            <w:pPr>
              <w:spacing w:line="312" w:lineRule="auto"/>
              <w:jc w:val="both"/>
              <w:rPr>
                <w:rFonts w:eastAsia="Arial"/>
                <w:lang w:val="en-US"/>
              </w:rPr>
            </w:pPr>
          </w:p>
          <w:p w14:paraId="73DB20B6" w14:textId="2791B3EF" w:rsidR="00B16974" w:rsidRPr="00162979" w:rsidRDefault="00B16974" w:rsidP="00B16974">
            <w:pPr>
              <w:spacing w:line="312" w:lineRule="auto"/>
              <w:jc w:val="both"/>
              <w:rPr>
                <w:rFonts w:eastAsia="Arial"/>
                <w:lang w:val="en-US"/>
              </w:rPr>
            </w:pPr>
            <w:r w:rsidRPr="00162979">
              <w:rPr>
                <w:rFonts w:eastAsia="Arial"/>
                <w:lang w:val="en-US"/>
              </w:rPr>
              <w:t>The ESG questionnaires collect a consistent set of data, including, among other parameters, KPIs that cover social and environmental aspects:</w:t>
            </w:r>
          </w:p>
          <w:p w14:paraId="3882DA08" w14:textId="629A0F94" w:rsidR="00B16974" w:rsidRPr="00162979"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Carbon emissions;</w:t>
            </w:r>
          </w:p>
          <w:p w14:paraId="0EF33EC0" w14:textId="20899807" w:rsidR="00B16974" w:rsidRPr="00162979"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Water and energy consumption;</w:t>
            </w:r>
          </w:p>
          <w:p w14:paraId="24BAF710" w14:textId="042F6FA1" w:rsidR="00B16974" w:rsidRPr="00162979"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Share of female/male employees across different levels;</w:t>
            </w:r>
          </w:p>
          <w:p w14:paraId="33A4D3D7" w14:textId="0156A05B" w:rsidR="00B16974" w:rsidRDefault="00B16974" w:rsidP="00B16974">
            <w:pPr>
              <w:spacing w:line="312" w:lineRule="auto"/>
              <w:jc w:val="both"/>
              <w:rPr>
                <w:rFonts w:eastAsia="Arial"/>
                <w:lang w:val="en-US"/>
              </w:rPr>
            </w:pPr>
            <w:r w:rsidRPr="00162979">
              <w:rPr>
                <w:rFonts w:eastAsia="Arial"/>
                <w:lang w:val="en-US"/>
              </w:rPr>
              <w:t>–</w:t>
            </w:r>
            <w:r w:rsidRPr="00162979">
              <w:rPr>
                <w:rFonts w:eastAsia="Arial"/>
                <w:lang w:val="en-US"/>
              </w:rPr>
              <w:tab/>
              <w:t xml:space="preserve">Framework for </w:t>
            </w:r>
            <w:proofErr w:type="spellStart"/>
            <w:r w:rsidRPr="00162979">
              <w:rPr>
                <w:rFonts w:eastAsia="Arial"/>
                <w:lang w:val="en-US"/>
              </w:rPr>
              <w:t>labour</w:t>
            </w:r>
            <w:proofErr w:type="spellEnd"/>
            <w:r w:rsidRPr="00162979">
              <w:rPr>
                <w:rFonts w:eastAsia="Arial"/>
                <w:lang w:val="en-US"/>
              </w:rPr>
              <w:t xml:space="preserve"> representatives.</w:t>
            </w:r>
          </w:p>
          <w:p w14:paraId="73526500" w14:textId="77777777" w:rsidR="0048445A" w:rsidRPr="00162979" w:rsidRDefault="0048445A" w:rsidP="00B16974">
            <w:pPr>
              <w:spacing w:line="312" w:lineRule="auto"/>
              <w:jc w:val="both"/>
              <w:rPr>
                <w:rFonts w:eastAsia="Arial"/>
                <w:lang w:val="en-US"/>
              </w:rPr>
            </w:pPr>
          </w:p>
          <w:p w14:paraId="555FAD54" w14:textId="190D36E8" w:rsidR="00B16974" w:rsidRDefault="00B16974" w:rsidP="00B16974">
            <w:pPr>
              <w:spacing w:line="312" w:lineRule="auto"/>
              <w:jc w:val="both"/>
              <w:rPr>
                <w:rFonts w:eastAsia="Arial"/>
                <w:lang w:val="en-US"/>
              </w:rPr>
            </w:pPr>
            <w:r w:rsidRPr="00162979">
              <w:rPr>
                <w:rFonts w:eastAsia="Arial"/>
                <w:lang w:val="en-US"/>
              </w:rPr>
              <w:t>All data are initially collected in the due diligence of the respective investment. A complete view of all relevant risks and opportunities is critical in order to negotiate the right terms for a deal.</w:t>
            </w:r>
          </w:p>
          <w:p w14:paraId="405E98CD" w14:textId="77777777" w:rsidR="00D0231D" w:rsidRPr="00162979" w:rsidRDefault="00D0231D" w:rsidP="00B16974">
            <w:pPr>
              <w:spacing w:line="312" w:lineRule="auto"/>
              <w:jc w:val="both"/>
              <w:rPr>
                <w:rFonts w:eastAsia="Arial"/>
                <w:lang w:val="en-US"/>
              </w:rPr>
            </w:pPr>
          </w:p>
          <w:p w14:paraId="7EC74162" w14:textId="7040278F" w:rsidR="00C233C2" w:rsidRDefault="00C233C2" w:rsidP="00B16974">
            <w:pPr>
              <w:spacing w:line="312" w:lineRule="auto"/>
              <w:jc w:val="both"/>
              <w:rPr>
                <w:rFonts w:eastAsia="Arial"/>
                <w:b/>
                <w:lang w:val="en-US"/>
              </w:rPr>
            </w:pPr>
            <w:r w:rsidRPr="00C233C2">
              <w:rPr>
                <w:rFonts w:eastAsia="Arial"/>
                <w:b/>
                <w:lang w:val="en-US"/>
              </w:rPr>
              <w:t xml:space="preserve">Stakeholder Engagement and Governance: </w:t>
            </w:r>
          </w:p>
          <w:p w14:paraId="70719060" w14:textId="58E85517" w:rsidR="00D0231D" w:rsidRPr="0048445A" w:rsidRDefault="00C233C2" w:rsidP="00B16974">
            <w:pPr>
              <w:spacing w:line="312" w:lineRule="auto"/>
              <w:jc w:val="both"/>
              <w:rPr>
                <w:rFonts w:eastAsia="Arial"/>
                <w:b/>
                <w:lang w:val="en-US"/>
              </w:rPr>
            </w:pPr>
            <w:r w:rsidRPr="0048445A">
              <w:rPr>
                <w:rFonts w:cs="Arial"/>
                <w:lang w:val="en-US"/>
              </w:rPr>
              <w:t xml:space="preserve">ESG oversight is maintained by a </w:t>
            </w:r>
            <w:r w:rsidR="00D72EA2" w:rsidRPr="0048445A">
              <w:rPr>
                <w:rFonts w:cs="Arial"/>
                <w:lang w:val="en-US"/>
              </w:rPr>
              <w:t>s</w:t>
            </w:r>
            <w:r w:rsidRPr="0048445A">
              <w:rPr>
                <w:rFonts w:cs="Arial"/>
                <w:lang w:val="en-US"/>
              </w:rPr>
              <w:t xml:space="preserve">ustainable </w:t>
            </w:r>
            <w:r w:rsidR="00D72EA2" w:rsidRPr="0048445A">
              <w:rPr>
                <w:rFonts w:cs="Arial"/>
                <w:lang w:val="en-US"/>
              </w:rPr>
              <w:t>i</w:t>
            </w:r>
            <w:r w:rsidRPr="0048445A">
              <w:rPr>
                <w:rFonts w:cs="Arial"/>
                <w:lang w:val="en-US"/>
              </w:rPr>
              <w:t xml:space="preserve">nvesting </w:t>
            </w:r>
            <w:r w:rsidR="00D72EA2" w:rsidRPr="0048445A">
              <w:rPr>
                <w:rFonts w:cs="Arial"/>
                <w:lang w:val="en-US"/>
              </w:rPr>
              <w:t>t</w:t>
            </w:r>
            <w:r w:rsidRPr="0048445A">
              <w:rPr>
                <w:rFonts w:cs="Arial"/>
                <w:lang w:val="en-US"/>
              </w:rPr>
              <w:t xml:space="preserve">eam and a dedicated ESG </w:t>
            </w:r>
            <w:r w:rsidR="00D72EA2" w:rsidRPr="0048445A">
              <w:rPr>
                <w:rFonts w:cs="Arial"/>
                <w:lang w:val="en-US"/>
              </w:rPr>
              <w:t>c</w:t>
            </w:r>
            <w:r w:rsidRPr="0048445A">
              <w:rPr>
                <w:rFonts w:cs="Arial"/>
                <w:lang w:val="en-US"/>
              </w:rPr>
              <w:t xml:space="preserve">ommittee, which ensure alignment with international standards, such as the UN Principles for Responsible Investment (PRI). </w:t>
            </w:r>
            <w:r w:rsidR="00D72EA2" w:rsidRPr="0048445A">
              <w:rPr>
                <w:rFonts w:cs="Arial"/>
                <w:lang w:val="en-US"/>
              </w:rPr>
              <w:t>The Partnership</w:t>
            </w:r>
            <w:r w:rsidRPr="0048445A">
              <w:rPr>
                <w:rFonts w:cs="Arial"/>
                <w:lang w:val="en-US"/>
              </w:rPr>
              <w:t xml:space="preserve"> encourages portfolio companies to adopt ESG practices, helping drive improvements in ESG performance over time.</w:t>
            </w:r>
          </w:p>
          <w:p w14:paraId="78CC90A5" w14:textId="77777777" w:rsidR="00C233C2" w:rsidRDefault="00C233C2" w:rsidP="00B16974">
            <w:pPr>
              <w:spacing w:line="312" w:lineRule="auto"/>
              <w:jc w:val="both"/>
              <w:rPr>
                <w:rFonts w:eastAsia="Arial"/>
                <w:b/>
                <w:lang w:val="en-US"/>
              </w:rPr>
            </w:pPr>
          </w:p>
          <w:p w14:paraId="48D617DF" w14:textId="1A609CBF" w:rsidR="00D72EA2" w:rsidRPr="003B2A1F" w:rsidRDefault="003B2A1F" w:rsidP="00B16974">
            <w:pPr>
              <w:jc w:val="both"/>
              <w:rPr>
                <w:rFonts w:eastAsia="Arial" w:cs="Arial"/>
                <w:lang w:val="en-US"/>
              </w:rPr>
            </w:pPr>
            <w:r>
              <w:rPr>
                <w:rFonts w:eastAsia="Arial"/>
                <w:b/>
                <w:lang w:val="en-US"/>
              </w:rPr>
              <w:t>E</w:t>
            </w:r>
            <w:r w:rsidR="00B16974" w:rsidRPr="00162979">
              <w:rPr>
                <w:rFonts w:eastAsia="Arial"/>
                <w:b/>
                <w:lang w:val="en-US"/>
              </w:rPr>
              <w:t>xit phase</w:t>
            </w:r>
            <w:r>
              <w:rPr>
                <w:rFonts w:eastAsia="Arial"/>
                <w:b/>
                <w:lang w:val="en-US"/>
              </w:rPr>
              <w:t>:</w:t>
            </w:r>
            <w:r w:rsidR="00B16974" w:rsidRPr="00162979">
              <w:rPr>
                <w:rFonts w:eastAsia="Arial"/>
                <w:b/>
                <w:lang w:val="en-US"/>
              </w:rPr>
              <w:t xml:space="preserve"> </w:t>
            </w:r>
          </w:p>
          <w:p w14:paraId="547D8C73" w14:textId="77777777" w:rsidR="0024578E" w:rsidRDefault="00D72EA2" w:rsidP="00C233C2">
            <w:pPr>
              <w:jc w:val="both"/>
              <w:rPr>
                <w:rFonts w:eastAsia="Arial" w:cs="Arial"/>
                <w:lang w:val="en-US"/>
              </w:rPr>
            </w:pPr>
            <w:r>
              <w:rPr>
                <w:rFonts w:eastAsia="Arial" w:cs="Arial"/>
                <w:lang w:val="en-US"/>
              </w:rPr>
              <w:t>I</w:t>
            </w:r>
            <w:r w:rsidRPr="0005670E">
              <w:rPr>
                <w:rFonts w:eastAsia="Arial" w:cs="Arial"/>
                <w:lang w:val="en-US"/>
              </w:rPr>
              <w:t xml:space="preserve">n the exit phase, </w:t>
            </w:r>
            <w:r>
              <w:rPr>
                <w:rFonts w:eastAsia="Arial" w:cs="Arial"/>
                <w:lang w:val="en-US"/>
              </w:rPr>
              <w:t xml:space="preserve">the Partnership </w:t>
            </w:r>
            <w:r w:rsidRPr="0005670E">
              <w:rPr>
                <w:rFonts w:eastAsia="Arial" w:cs="Arial"/>
                <w:lang w:val="en-US"/>
              </w:rPr>
              <w:t>engages with the portfolio company to assess the ESG performance throughout the Partnership's holding period and motivate the portfolio company to continue and strengthen its engagement with ESG initiatives.</w:t>
            </w:r>
          </w:p>
          <w:p w14:paraId="17C160A4" w14:textId="389202AE" w:rsidR="00451C1F" w:rsidRPr="00451C1F" w:rsidRDefault="00451C1F" w:rsidP="00C233C2">
            <w:pPr>
              <w:jc w:val="both"/>
              <w:rPr>
                <w:rFonts w:cs="Arial"/>
                <w:lang w:val="en-US"/>
              </w:rPr>
            </w:pPr>
          </w:p>
        </w:tc>
      </w:tr>
      <w:tr w:rsidR="00521C63" w:rsidRPr="00162979" w14:paraId="592C8708" w14:textId="77777777" w:rsidTr="00FE10DA">
        <w:trPr>
          <w:trHeight w:val="565"/>
        </w:trPr>
        <w:tc>
          <w:tcPr>
            <w:tcW w:w="9286" w:type="dxa"/>
            <w:gridSpan w:val="2"/>
            <w:shd w:val="clear" w:color="auto" w:fill="FFFFFF" w:themeFill="background1"/>
            <w:vAlign w:val="center"/>
          </w:tcPr>
          <w:p w14:paraId="0EF1468F" w14:textId="77777777" w:rsidR="00521C63" w:rsidRPr="00162979" w:rsidRDefault="00521C63" w:rsidP="00FE10DA">
            <w:pPr>
              <w:jc w:val="center"/>
              <w:rPr>
                <w:rFonts w:cs="Arial"/>
                <w:b/>
                <w:color w:val="0F243E" w:themeColor="text2" w:themeShade="80"/>
                <w:lang w:val="en-US"/>
              </w:rPr>
            </w:pPr>
            <w:r w:rsidRPr="00162979">
              <w:rPr>
                <w:rFonts w:cs="Arial"/>
                <w:b/>
                <w:color w:val="0F243E" w:themeColor="text2" w:themeShade="80"/>
                <w:lang w:val="en-US"/>
              </w:rPr>
              <w:lastRenderedPageBreak/>
              <w:t>What are the binding elements of the investment strategy used to select the investments to attain each of the environmental or social characteristics promoted by this financial product?</w:t>
            </w:r>
          </w:p>
        </w:tc>
      </w:tr>
      <w:tr w:rsidR="00123FE6" w:rsidRPr="00162979" w14:paraId="512C085C" w14:textId="77777777" w:rsidTr="00230BAE">
        <w:trPr>
          <w:trHeight w:val="914"/>
        </w:trPr>
        <w:tc>
          <w:tcPr>
            <w:tcW w:w="9286" w:type="dxa"/>
            <w:gridSpan w:val="2"/>
            <w:vAlign w:val="center"/>
          </w:tcPr>
          <w:p w14:paraId="1C4528C2" w14:textId="77777777" w:rsidR="003066E3" w:rsidRPr="00162979" w:rsidRDefault="003066E3" w:rsidP="003066E3">
            <w:pPr>
              <w:rPr>
                <w:rFonts w:cs="Arial"/>
                <w:lang w:val="en-US"/>
              </w:rPr>
            </w:pPr>
          </w:p>
          <w:p w14:paraId="24394EB4" w14:textId="40DFFBBB" w:rsidR="003066E3" w:rsidRDefault="00CA0543" w:rsidP="004D532C">
            <w:pPr>
              <w:jc w:val="both"/>
              <w:rPr>
                <w:rFonts w:cs="Arial"/>
                <w:lang w:val="en-US"/>
              </w:rPr>
            </w:pPr>
            <w:r w:rsidRPr="00CA0543">
              <w:rPr>
                <w:rFonts w:cs="Arial"/>
                <w:lang w:val="en-US"/>
              </w:rPr>
              <w:t>The Partnership does not invest in companies with substantial focus on the production of and trade in tobacco and alcoholic beverages, financing of the production of and trade in weapons and ammunition of any kind, gambling, adult entertainment, fossil fuel-based energy production and energy-intensive and/or high CO2-emitting industries</w:t>
            </w:r>
            <w:r w:rsidR="00C233C2">
              <w:rPr>
                <w:rFonts w:cs="Arial"/>
                <w:lang w:val="en-US"/>
              </w:rPr>
              <w:t xml:space="preserve"> unless EU Taxonomy</w:t>
            </w:r>
            <w:r w:rsidR="00B424BF">
              <w:rPr>
                <w:rFonts w:cs="Arial"/>
                <w:lang w:val="en-US"/>
              </w:rPr>
              <w:t xml:space="preserve"> </w:t>
            </w:r>
            <w:r w:rsidR="00C233C2">
              <w:rPr>
                <w:rFonts w:cs="Arial"/>
                <w:lang w:val="en-US"/>
              </w:rPr>
              <w:t>aligned or eligible under the CA&amp;ES criteria</w:t>
            </w:r>
            <w:r w:rsidRPr="00CA0543">
              <w:rPr>
                <w:rFonts w:cs="Arial"/>
                <w:lang w:val="en-US"/>
              </w:rPr>
              <w:t>.</w:t>
            </w:r>
          </w:p>
          <w:p w14:paraId="28BE3CB6" w14:textId="5C3A5D4B" w:rsidR="00CE27D8" w:rsidRDefault="00CE27D8" w:rsidP="004D532C">
            <w:pPr>
              <w:jc w:val="both"/>
              <w:rPr>
                <w:rFonts w:cs="Arial"/>
                <w:lang w:val="en-US"/>
              </w:rPr>
            </w:pPr>
          </w:p>
          <w:p w14:paraId="6539D223" w14:textId="77777777" w:rsidR="00206554" w:rsidRDefault="00CE27D8" w:rsidP="004D532C">
            <w:pPr>
              <w:jc w:val="both"/>
              <w:rPr>
                <w:rFonts w:cs="Arial"/>
                <w:lang w:val="en-US"/>
              </w:rPr>
            </w:pPr>
            <w:r>
              <w:rPr>
                <w:rFonts w:cs="Arial"/>
                <w:lang w:val="en-US"/>
              </w:rPr>
              <w:t xml:space="preserve">Additionally, the Partnership employs a questionnaire to assess the compliance of an investment with </w:t>
            </w:r>
            <w:r w:rsidR="002F539F">
              <w:rPr>
                <w:rFonts w:cs="Arial"/>
                <w:lang w:val="en-US"/>
              </w:rPr>
              <w:t xml:space="preserve">the E/S Characteristics and </w:t>
            </w:r>
            <w:r>
              <w:rPr>
                <w:rFonts w:cs="Arial"/>
                <w:lang w:val="en-US"/>
              </w:rPr>
              <w:t>its guidelines</w:t>
            </w:r>
            <w:r w:rsidR="002F539F">
              <w:rPr>
                <w:rFonts w:cs="Arial"/>
                <w:lang w:val="en-US"/>
              </w:rPr>
              <w:t>.</w:t>
            </w:r>
          </w:p>
          <w:p w14:paraId="458D1A05" w14:textId="6A33EDE1" w:rsidR="00451C1F" w:rsidRPr="00162979" w:rsidRDefault="00451C1F" w:rsidP="004D532C">
            <w:pPr>
              <w:jc w:val="both"/>
              <w:rPr>
                <w:rFonts w:cs="Arial"/>
                <w:lang w:val="en-US"/>
              </w:rPr>
            </w:pPr>
          </w:p>
        </w:tc>
      </w:tr>
      <w:tr w:rsidR="00690C95" w:rsidRPr="00162979" w14:paraId="5D76D246" w14:textId="77777777" w:rsidTr="00FE10DA">
        <w:trPr>
          <w:trHeight w:val="562"/>
        </w:trPr>
        <w:tc>
          <w:tcPr>
            <w:tcW w:w="9286" w:type="dxa"/>
            <w:gridSpan w:val="2"/>
            <w:shd w:val="clear" w:color="auto" w:fill="FFFFFF" w:themeFill="background1"/>
            <w:vAlign w:val="center"/>
          </w:tcPr>
          <w:p w14:paraId="6F745892" w14:textId="77777777" w:rsidR="00690C95" w:rsidRPr="00162979" w:rsidRDefault="00690C95" w:rsidP="00FE10DA">
            <w:pPr>
              <w:jc w:val="center"/>
              <w:rPr>
                <w:rFonts w:cs="Arial"/>
                <w:b/>
                <w:lang w:val="en-US"/>
              </w:rPr>
            </w:pPr>
            <w:r w:rsidRPr="00162979">
              <w:rPr>
                <w:rFonts w:cs="Arial"/>
                <w:b/>
                <w:color w:val="0F243E" w:themeColor="text2" w:themeShade="80"/>
                <w:lang w:val="en-US"/>
              </w:rPr>
              <w:t>What is the policy to assess good governance practices of the investee companies?</w:t>
            </w:r>
          </w:p>
        </w:tc>
      </w:tr>
      <w:tr w:rsidR="00690C95" w:rsidRPr="00162979" w14:paraId="74ADFF67" w14:textId="77777777" w:rsidTr="00F904BB">
        <w:trPr>
          <w:trHeight w:val="1118"/>
        </w:trPr>
        <w:tc>
          <w:tcPr>
            <w:tcW w:w="9286" w:type="dxa"/>
            <w:gridSpan w:val="2"/>
            <w:vAlign w:val="center"/>
          </w:tcPr>
          <w:p w14:paraId="7CB12558" w14:textId="77777777" w:rsidR="00451C1F" w:rsidRDefault="00451C1F" w:rsidP="00D536FB">
            <w:pPr>
              <w:jc w:val="both"/>
              <w:rPr>
                <w:rFonts w:cs="Arial"/>
                <w:lang w:val="en-US"/>
              </w:rPr>
            </w:pPr>
          </w:p>
          <w:p w14:paraId="2049304E" w14:textId="77777777" w:rsidR="00690C95" w:rsidRDefault="00D536FB" w:rsidP="00D536FB">
            <w:pPr>
              <w:jc w:val="both"/>
              <w:rPr>
                <w:rFonts w:cs="Arial"/>
                <w:lang w:val="en-US"/>
              </w:rPr>
            </w:pPr>
            <w:r>
              <w:rPr>
                <w:rFonts w:cs="Arial"/>
                <w:lang w:val="en-US"/>
              </w:rPr>
              <w:t>The Partnership</w:t>
            </w:r>
            <w:r w:rsidRPr="005C22A4">
              <w:rPr>
                <w:rFonts w:cs="Arial"/>
                <w:lang w:val="en-US"/>
              </w:rPr>
              <w:t xml:space="preserve"> assesses good governance practices in </w:t>
            </w:r>
            <w:r w:rsidR="002F539F">
              <w:rPr>
                <w:rFonts w:cs="Arial"/>
                <w:lang w:val="en-US"/>
              </w:rPr>
              <w:t>portfolio</w:t>
            </w:r>
            <w:r w:rsidRPr="005C22A4">
              <w:rPr>
                <w:rFonts w:cs="Arial"/>
                <w:lang w:val="en-US"/>
              </w:rPr>
              <w:t xml:space="preserve"> companies through a structured evaluation during due diligence and ongoing portfolio management. This involves a thorough review of the company’s management structure, board composition, and decision-making processes. </w:t>
            </w:r>
            <w:r w:rsidR="00AF34B2">
              <w:rPr>
                <w:rFonts w:cs="Arial"/>
                <w:lang w:val="en-US"/>
              </w:rPr>
              <w:t>The Partnership</w:t>
            </w:r>
            <w:r w:rsidRPr="005C22A4">
              <w:rPr>
                <w:rFonts w:cs="Arial"/>
                <w:lang w:val="en-US"/>
              </w:rPr>
              <w:t xml:space="preserve"> evaluates the independence of the board, management accountability, and whether governance practices align with industry standards. In the holding phase, </w:t>
            </w:r>
            <w:r>
              <w:rPr>
                <w:rFonts w:cs="Arial"/>
                <w:lang w:val="en-US"/>
              </w:rPr>
              <w:t>the Partnership</w:t>
            </w:r>
            <w:r w:rsidRPr="005C22A4">
              <w:rPr>
                <w:rFonts w:cs="Arial"/>
                <w:lang w:val="en-US"/>
              </w:rPr>
              <w:t xml:space="preserve"> actively engages with company management, often through regular business review meetings and governance-specific agenda items. The Partnership monitors changes in governance practices, potential conflicts of interest, discrimination and harassment, fair and inclusive hiring and management responsiveness to ESG matters.</w:t>
            </w:r>
          </w:p>
          <w:p w14:paraId="23259ABD" w14:textId="32F29BA1" w:rsidR="00451C1F" w:rsidRPr="00451C1F" w:rsidRDefault="00451C1F" w:rsidP="00D536FB">
            <w:pPr>
              <w:jc w:val="both"/>
              <w:rPr>
                <w:rFonts w:cs="Arial"/>
                <w:lang w:val="en-US"/>
              </w:rPr>
            </w:pPr>
          </w:p>
        </w:tc>
      </w:tr>
      <w:tr w:rsidR="00EE5E30" w:rsidRPr="00162979" w14:paraId="179A63AE" w14:textId="77777777" w:rsidTr="00EE5E30">
        <w:trPr>
          <w:trHeight w:val="1118"/>
        </w:trPr>
        <w:tc>
          <w:tcPr>
            <w:tcW w:w="9286" w:type="dxa"/>
            <w:gridSpan w:val="2"/>
            <w:vAlign w:val="center"/>
          </w:tcPr>
          <w:p w14:paraId="38CFD13A" w14:textId="0F053DDB" w:rsidR="00EE5E30" w:rsidRPr="00162979" w:rsidRDefault="00EE5E30" w:rsidP="00EE5E30">
            <w:pPr>
              <w:jc w:val="center"/>
              <w:rPr>
                <w:rFonts w:ascii="Calibri" w:hAnsi="Calibri" w:cs="Arial"/>
                <w:lang w:val="en-US"/>
              </w:rPr>
            </w:pPr>
            <w:r w:rsidRPr="00162979">
              <w:rPr>
                <w:rFonts w:cs="Arial"/>
                <w:b/>
                <w:color w:val="0F243E" w:themeColor="text2" w:themeShade="80"/>
                <w:lang w:val="en-US"/>
              </w:rPr>
              <w:t>Is there a commitment to reduce by a minimum rate the scope of investments considered prior to the application of the strategy? (Including an indication of the rate)</w:t>
            </w:r>
          </w:p>
        </w:tc>
      </w:tr>
      <w:tr w:rsidR="00EE5E30" w:rsidRPr="00162979" w14:paraId="406E0467" w14:textId="77777777" w:rsidTr="00F904BB">
        <w:trPr>
          <w:trHeight w:val="1118"/>
        </w:trPr>
        <w:tc>
          <w:tcPr>
            <w:tcW w:w="9286" w:type="dxa"/>
            <w:gridSpan w:val="2"/>
            <w:vAlign w:val="center"/>
          </w:tcPr>
          <w:p w14:paraId="1E370957" w14:textId="6D205FF4" w:rsidR="00EE5E30" w:rsidRPr="00162979" w:rsidRDefault="0095006D" w:rsidP="00EE5E30">
            <w:pPr>
              <w:jc w:val="both"/>
              <w:rPr>
                <w:rFonts w:ascii="Calibri" w:hAnsi="Calibri" w:cs="Arial"/>
                <w:lang w:val="en-US"/>
              </w:rPr>
            </w:pPr>
            <w:r w:rsidRPr="0095006D">
              <w:rPr>
                <w:rFonts w:ascii="Calibri" w:hAnsi="Calibri" w:cs="Arial"/>
                <w:lang w:val="en-US"/>
              </w:rPr>
              <w:t>Not applicable.</w:t>
            </w:r>
          </w:p>
        </w:tc>
      </w:tr>
      <w:tr w:rsidR="00EE5E30" w:rsidRPr="00162979" w14:paraId="10A462D7" w14:textId="77777777" w:rsidTr="001D7C5E">
        <w:trPr>
          <w:trHeight w:val="521"/>
        </w:trPr>
        <w:tc>
          <w:tcPr>
            <w:tcW w:w="9286" w:type="dxa"/>
            <w:gridSpan w:val="2"/>
            <w:vAlign w:val="center"/>
          </w:tcPr>
          <w:p w14:paraId="2F6A0090" w14:textId="7338FF46" w:rsidR="00EE5E30" w:rsidRPr="00162979" w:rsidRDefault="00EE5E30" w:rsidP="00EE5E30">
            <w:pPr>
              <w:jc w:val="center"/>
              <w:rPr>
                <w:rFonts w:ascii="Calibri" w:hAnsi="Calibri" w:cs="Arial"/>
                <w:lang w:val="en-US"/>
              </w:rPr>
            </w:pPr>
            <w:r w:rsidRPr="00162979">
              <w:rPr>
                <w:rFonts w:cs="Arial"/>
                <w:b/>
                <w:color w:val="0F243E" w:themeColor="text2" w:themeShade="80"/>
                <w:lang w:val="en-US"/>
              </w:rPr>
              <w:t>Does this financial product consider principal adverse impacts on sustainability factors?</w:t>
            </w:r>
          </w:p>
        </w:tc>
      </w:tr>
      <w:tr w:rsidR="00EE5E30" w:rsidRPr="00162979" w14:paraId="4B938BBE" w14:textId="77777777" w:rsidTr="00F904BB">
        <w:trPr>
          <w:trHeight w:val="1118"/>
        </w:trPr>
        <w:tc>
          <w:tcPr>
            <w:tcW w:w="9286" w:type="dxa"/>
            <w:gridSpan w:val="2"/>
            <w:vAlign w:val="center"/>
          </w:tcPr>
          <w:p w14:paraId="7AF0977C" w14:textId="77777777" w:rsidR="00EE5E30" w:rsidRPr="00162979" w:rsidRDefault="00E145BF" w:rsidP="00EE5E30">
            <w:pPr>
              <w:jc w:val="both"/>
              <w:rPr>
                <w:lang w:val="en-US"/>
              </w:rPr>
            </w:pPr>
            <w:sdt>
              <w:sdtPr>
                <w:rPr>
                  <w:rFonts w:eastAsia="MS Gothic"/>
                  <w:sz w:val="28"/>
                  <w:lang w:val="en-US"/>
                </w:rPr>
                <w:id w:val="-1590530548"/>
                <w14:checkbox>
                  <w14:checked w14:val="0"/>
                  <w14:checkedState w14:val="2612" w14:font="MS Gothic"/>
                  <w14:uncheckedState w14:val="2610" w14:font="MS Gothic"/>
                </w14:checkbox>
              </w:sdtPr>
              <w:sdtEndPr/>
              <w:sdtContent>
                <w:r w:rsidR="00EE5E30" w:rsidRPr="00162979">
                  <w:rPr>
                    <w:rFonts w:ascii="MS Gothic" w:eastAsia="MS Gothic" w:hAnsi="MS Gothic"/>
                    <w:sz w:val="28"/>
                    <w:lang w:val="en-US"/>
                  </w:rPr>
                  <w:t>☐</w:t>
                </w:r>
              </w:sdtContent>
            </w:sdt>
            <w:r w:rsidR="00EE5E30" w:rsidRPr="00162979">
              <w:rPr>
                <w:lang w:val="en-US"/>
              </w:rPr>
              <w:t xml:space="preserve"> Yes</w:t>
            </w:r>
          </w:p>
          <w:p w14:paraId="32D25F02" w14:textId="114EF315" w:rsidR="00EE5E30" w:rsidRPr="00162979" w:rsidRDefault="00E145BF" w:rsidP="00EE5E30">
            <w:pPr>
              <w:jc w:val="both"/>
              <w:rPr>
                <w:rFonts w:ascii="Calibri" w:hAnsi="Calibri" w:cs="Arial"/>
                <w:lang w:val="en-US"/>
              </w:rPr>
            </w:pPr>
            <w:sdt>
              <w:sdtPr>
                <w:rPr>
                  <w:rFonts w:eastAsia="MS Gothic"/>
                  <w:sz w:val="28"/>
                  <w:lang w:val="en-US"/>
                </w:rPr>
                <w:id w:val="540015636"/>
                <w14:checkbox>
                  <w14:checked w14:val="1"/>
                  <w14:checkedState w14:val="2612" w14:font="MS Gothic"/>
                  <w14:uncheckedState w14:val="2610" w14:font="MS Gothic"/>
                </w14:checkbox>
              </w:sdtPr>
              <w:sdtEndPr/>
              <w:sdtContent>
                <w:r w:rsidR="0095006D">
                  <w:rPr>
                    <w:rFonts w:ascii="MS Gothic" w:eastAsia="MS Gothic" w:hAnsi="MS Gothic" w:hint="eastAsia"/>
                    <w:sz w:val="28"/>
                    <w:lang w:val="en-US"/>
                  </w:rPr>
                  <w:t>☒</w:t>
                </w:r>
              </w:sdtContent>
            </w:sdt>
            <w:r w:rsidR="00EE5E30" w:rsidRPr="00162979">
              <w:rPr>
                <w:lang w:val="en-US"/>
              </w:rPr>
              <w:t xml:space="preserve"> No</w:t>
            </w:r>
          </w:p>
        </w:tc>
      </w:tr>
    </w:tbl>
    <w:p w14:paraId="3EA90DAB" w14:textId="6F569F35" w:rsidR="00F54856" w:rsidRPr="00162979" w:rsidRDefault="00F54856" w:rsidP="00DA606B">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1"/>
        <w:gridCol w:w="7969"/>
      </w:tblGrid>
      <w:tr w:rsidR="00123FE6" w:rsidRPr="00162979" w14:paraId="79EBC9FB" w14:textId="77777777" w:rsidTr="001F4AE6">
        <w:trPr>
          <w:trHeight w:val="510"/>
        </w:trPr>
        <w:tc>
          <w:tcPr>
            <w:tcW w:w="1100" w:type="dxa"/>
            <w:shd w:val="clear" w:color="auto" w:fill="17365D" w:themeFill="text2" w:themeFillShade="BF"/>
            <w:vAlign w:val="center"/>
          </w:tcPr>
          <w:p w14:paraId="767E2805" w14:textId="77777777" w:rsidR="00123FE6" w:rsidRPr="00162979" w:rsidRDefault="00E071A1" w:rsidP="00E071A1">
            <w:pPr>
              <w:jc w:val="center"/>
              <w:rPr>
                <w:rFonts w:ascii="Calibri" w:hAnsi="Calibri" w:cs="Arial"/>
                <w:b/>
                <w:color w:val="FFFFFF" w:themeColor="background1"/>
                <w:lang w:val="en-US"/>
              </w:rPr>
            </w:pPr>
            <w:r w:rsidRPr="00162979">
              <w:rPr>
                <w:noProof/>
                <w:lang w:val="en-US" w:eastAsia="en-GB"/>
              </w:rPr>
              <w:drawing>
                <wp:inline distT="0" distB="0" distL="0" distR="0" wp14:anchorId="189E3177" wp14:editId="45D2E8E6">
                  <wp:extent cx="449261" cy="56520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clrChange>
                              <a:clrFrom>
                                <a:srgbClr val="FFFFFF"/>
                              </a:clrFrom>
                              <a:clrTo>
                                <a:srgbClr val="FFFFFF">
                                  <a:alpha val="0"/>
                                </a:srgbClr>
                              </a:clrTo>
                            </a:clrChange>
                            <a:lum bright="70000" contrast="-70000"/>
                          </a:blip>
                          <a:stretch>
                            <a:fillRect/>
                          </a:stretch>
                        </pic:blipFill>
                        <pic:spPr>
                          <a:xfrm>
                            <a:off x="0" y="0"/>
                            <a:ext cx="449261" cy="565200"/>
                          </a:xfrm>
                          <a:prstGeom prst="rect">
                            <a:avLst/>
                          </a:prstGeom>
                        </pic:spPr>
                      </pic:pic>
                    </a:graphicData>
                  </a:graphic>
                </wp:inline>
              </w:drawing>
            </w:r>
          </w:p>
        </w:tc>
        <w:tc>
          <w:tcPr>
            <w:tcW w:w="8186" w:type="dxa"/>
            <w:shd w:val="clear" w:color="auto" w:fill="17365D" w:themeFill="text2" w:themeFillShade="BF"/>
            <w:vAlign w:val="center"/>
          </w:tcPr>
          <w:p w14:paraId="60D22BEB" w14:textId="45954659"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Proportion of investments</w:t>
            </w:r>
            <w:r w:rsidR="00186CF2" w:rsidRPr="00162979">
              <w:rPr>
                <w:rFonts w:ascii="Calibri" w:hAnsi="Calibri" w:cs="Arial"/>
                <w:b/>
                <w:color w:val="FFFFFF" w:themeColor="background1"/>
                <w:sz w:val="24"/>
                <w:szCs w:val="24"/>
                <w:lang w:val="en-US"/>
              </w:rPr>
              <w:t xml:space="preserve"> </w:t>
            </w:r>
            <w:r w:rsidR="00DA66D5" w:rsidRPr="00162979">
              <w:rPr>
                <w:rFonts w:ascii="Calibri" w:hAnsi="Calibri" w:cs="Arial"/>
                <w:b/>
                <w:color w:val="FFFFFF" w:themeColor="background1"/>
                <w:sz w:val="24"/>
                <w:szCs w:val="24"/>
                <w:lang w:val="en-US"/>
              </w:rPr>
              <w:t xml:space="preserve"> </w:t>
            </w:r>
          </w:p>
        </w:tc>
      </w:tr>
      <w:tr w:rsidR="00CB000F" w:rsidRPr="00162979" w14:paraId="45E20FCF" w14:textId="77777777" w:rsidTr="007A7536">
        <w:trPr>
          <w:trHeight w:val="511"/>
        </w:trPr>
        <w:tc>
          <w:tcPr>
            <w:tcW w:w="9286" w:type="dxa"/>
            <w:gridSpan w:val="2"/>
            <w:shd w:val="clear" w:color="auto" w:fill="FFFFFF" w:themeFill="background1"/>
            <w:vAlign w:val="center"/>
          </w:tcPr>
          <w:p w14:paraId="65B0ACCD" w14:textId="77777777" w:rsidR="00CB000F" w:rsidRPr="00162979" w:rsidRDefault="007A7536" w:rsidP="00FE10DA">
            <w:pPr>
              <w:jc w:val="center"/>
              <w:rPr>
                <w:rFonts w:ascii="Calibri" w:hAnsi="Calibri" w:cs="Arial"/>
                <w:b/>
                <w:lang w:val="en-US"/>
              </w:rPr>
            </w:pPr>
            <w:r w:rsidRPr="00162979">
              <w:rPr>
                <w:rFonts w:cs="Arial"/>
                <w:b/>
                <w:color w:val="0F243E" w:themeColor="text2" w:themeShade="80"/>
                <w:lang w:val="en-US"/>
              </w:rPr>
              <w:t xml:space="preserve">What is the </w:t>
            </w:r>
            <w:r w:rsidR="009620D0" w:rsidRPr="00162979">
              <w:rPr>
                <w:rFonts w:cs="Arial"/>
                <w:b/>
                <w:color w:val="0F243E" w:themeColor="text2" w:themeShade="80"/>
                <w:lang w:val="en-US"/>
              </w:rPr>
              <w:t xml:space="preserve">planned </w:t>
            </w:r>
            <w:r w:rsidRPr="00162979">
              <w:rPr>
                <w:rFonts w:cs="Arial"/>
                <w:b/>
                <w:color w:val="0F243E" w:themeColor="text2" w:themeShade="80"/>
                <w:lang w:val="en-US"/>
              </w:rPr>
              <w:t>asset allocation for this financial product?</w:t>
            </w:r>
          </w:p>
        </w:tc>
      </w:tr>
      <w:tr w:rsidR="00123FE6" w:rsidRPr="00162979" w14:paraId="77B67125" w14:textId="77777777" w:rsidTr="00136266">
        <w:trPr>
          <w:trHeight w:val="899"/>
        </w:trPr>
        <w:tc>
          <w:tcPr>
            <w:tcW w:w="9286" w:type="dxa"/>
            <w:gridSpan w:val="2"/>
            <w:vAlign w:val="center"/>
          </w:tcPr>
          <w:p w14:paraId="444FFC58" w14:textId="77777777" w:rsidR="00451C1F" w:rsidRDefault="00451C1F" w:rsidP="00E00CEC">
            <w:pPr>
              <w:jc w:val="both"/>
              <w:rPr>
                <w:rFonts w:ascii="Calibri" w:hAnsi="Calibri" w:cs="Arial"/>
                <w:lang w:val="en-US"/>
              </w:rPr>
            </w:pPr>
          </w:p>
          <w:p w14:paraId="3BEB1A71" w14:textId="32CED862" w:rsidR="00255003" w:rsidRDefault="00255003" w:rsidP="00E00CEC">
            <w:pPr>
              <w:jc w:val="both"/>
              <w:rPr>
                <w:rFonts w:ascii="Calibri" w:hAnsi="Calibri" w:cs="Arial"/>
                <w:lang w:val="en-US"/>
              </w:rPr>
            </w:pPr>
            <w:r w:rsidRPr="00255003">
              <w:rPr>
                <w:rFonts w:ascii="Calibri" w:hAnsi="Calibri" w:cs="Arial"/>
                <w:lang w:val="en-US"/>
              </w:rPr>
              <w:t>The Partnership invests at least 70% of its invested capital in companies that qualify as aligned with E/S Characteristics (#1 Aligned with E/S characteristics).</w:t>
            </w:r>
          </w:p>
          <w:p w14:paraId="5B6712CC" w14:textId="77777777" w:rsidR="00DD2890" w:rsidRPr="00255003" w:rsidRDefault="00DD2890" w:rsidP="00E00CEC">
            <w:pPr>
              <w:jc w:val="both"/>
              <w:rPr>
                <w:rFonts w:ascii="Calibri" w:hAnsi="Calibri" w:cs="Arial"/>
                <w:lang w:val="en-US"/>
              </w:rPr>
            </w:pPr>
          </w:p>
          <w:p w14:paraId="0D820A88" w14:textId="45622371" w:rsidR="00123C6A" w:rsidRPr="00162979" w:rsidRDefault="00255003" w:rsidP="00E00CEC">
            <w:pPr>
              <w:jc w:val="both"/>
              <w:rPr>
                <w:rFonts w:ascii="Calibri" w:hAnsi="Calibri" w:cs="Arial"/>
                <w:lang w:val="en-US"/>
              </w:rPr>
            </w:pPr>
            <w:r w:rsidRPr="00255003">
              <w:rPr>
                <w:rFonts w:ascii="Calibri" w:hAnsi="Calibri" w:cs="Arial"/>
                <w:lang w:val="en-US"/>
              </w:rPr>
              <w:t>The Partnership is allowed to invest up to 30% of its invested capital in cash, cash equivalents, and/or hedging instruments (#2 Other).</w:t>
            </w:r>
          </w:p>
          <w:p w14:paraId="47603679" w14:textId="77777777" w:rsidR="00EE5E30" w:rsidRPr="00162979" w:rsidRDefault="00123C6A" w:rsidP="00F54856">
            <w:pPr>
              <w:rPr>
                <w:rFonts w:ascii="Calibri" w:hAnsi="Calibri" w:cs="Arial"/>
                <w:lang w:val="en-US"/>
              </w:rPr>
            </w:pPr>
            <w:r w:rsidRPr="00162979">
              <w:rPr>
                <w:rFonts w:ascii="Calibri" w:hAnsi="Calibri" w:cs="Arial"/>
                <w:noProof/>
                <w:lang w:val="en-US"/>
              </w:rPr>
              <w:lastRenderedPageBreak/>
              <mc:AlternateContent>
                <mc:Choice Requires="wpg">
                  <w:drawing>
                    <wp:inline distT="0" distB="0" distL="0" distR="0" wp14:anchorId="5E5287A3" wp14:editId="27A5E301">
                      <wp:extent cx="5716905" cy="3457575"/>
                      <wp:effectExtent l="0" t="0" r="0" b="9525"/>
                      <wp:docPr id="35" name="Group 93"/>
                      <wp:cNvGraphicFramePr/>
                      <a:graphic xmlns:a="http://schemas.openxmlformats.org/drawingml/2006/main">
                        <a:graphicData uri="http://schemas.microsoft.com/office/word/2010/wordprocessingGroup">
                          <wpg:wgp>
                            <wpg:cNvGrpSpPr/>
                            <wpg:grpSpPr>
                              <a:xfrm>
                                <a:off x="0" y="0"/>
                                <a:ext cx="5716905" cy="3457575"/>
                                <a:chOff x="0" y="0"/>
                                <a:chExt cx="8247601" cy="4837712"/>
                              </a:xfrm>
                            </wpg:grpSpPr>
                            <wpg:grpSp>
                              <wpg:cNvPr id="37" name="Group 37"/>
                              <wpg:cNvGrpSpPr/>
                              <wpg:grpSpPr>
                                <a:xfrm>
                                  <a:off x="0" y="0"/>
                                  <a:ext cx="8247601" cy="4837712"/>
                                  <a:chOff x="0" y="0"/>
                                  <a:chExt cx="7252882" cy="3891379"/>
                                </a:xfrm>
                              </wpg:grpSpPr>
                              <wpg:grpSp>
                                <wpg:cNvPr id="38" name="Group 38"/>
                                <wpg:cNvGrpSpPr/>
                                <wpg:grpSpPr>
                                  <a:xfrm>
                                    <a:off x="0" y="0"/>
                                    <a:ext cx="7252882" cy="3891379"/>
                                    <a:chOff x="0" y="0"/>
                                    <a:chExt cx="7252882" cy="3891379"/>
                                  </a:xfrm>
                                </wpg:grpSpPr>
                                <wps:wsp>
                                  <wps:cNvPr id="39" name="Rectangle 39"/>
                                  <wps:cNvSpPr/>
                                  <wps:spPr>
                                    <a:xfrm>
                                      <a:off x="0" y="0"/>
                                      <a:ext cx="7252882" cy="3891379"/>
                                    </a:xfrm>
                                    <a:prstGeom prst="rect">
                                      <a:avLst/>
                                    </a:prstGeom>
                                    <a:solidFill>
                                      <a:srgbClr val="9696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4"/>
                                  <wps:cNvSpPr txBox="1"/>
                                  <wps:spPr>
                                    <a:xfrm>
                                      <a:off x="443" y="1805720"/>
                                      <a:ext cx="7252439" cy="972333"/>
                                    </a:xfrm>
                                    <a:prstGeom prst="rect">
                                      <a:avLst/>
                                    </a:prstGeom>
                                    <a:noFill/>
                                  </wps:spPr>
                                  <wps:txbx>
                                    <w:txbxContent>
                                      <w:p w14:paraId="06D52433" w14:textId="77777777" w:rsidR="0078265A" w:rsidRPr="0078265A" w:rsidRDefault="0078265A" w:rsidP="0078265A">
                                        <w:pPr>
                                          <w:spacing w:line="240" w:lineRule="auto"/>
                                          <w:jc w:val="both"/>
                                          <w:rPr>
                                            <w:rFonts w:hAnsi="Calibri"/>
                                            <w:color w:val="FFFFFF" w:themeColor="background1"/>
                                            <w:kern w:val="24"/>
                                            <w:sz w:val="18"/>
                                            <w:szCs w:val="18"/>
                                            <w:lang w:val="en-US"/>
                                          </w:rPr>
                                        </w:pPr>
                                        <w:r w:rsidRPr="0078265A">
                                          <w:rPr>
                                            <w:rFonts w:hAnsi="Calibri"/>
                                            <w:color w:val="FFFFFF" w:themeColor="background1"/>
                                            <w:kern w:val="24"/>
                                            <w:sz w:val="18"/>
                                            <w:szCs w:val="18"/>
                                            <w:lang w:val="en-US"/>
                                          </w:rPr>
                                          <w:t>#1 Aligned with E/S characteristics includes the investments of the financial product used to attain the environmental or social characteristics promoted by the financial product.</w:t>
                                        </w:r>
                                      </w:p>
                                      <w:p w14:paraId="39DA6137" w14:textId="77777777" w:rsidR="0078265A" w:rsidRPr="0078265A" w:rsidRDefault="0078265A" w:rsidP="0078265A">
                                        <w:pPr>
                                          <w:spacing w:line="240" w:lineRule="auto"/>
                                          <w:jc w:val="both"/>
                                          <w:rPr>
                                            <w:rFonts w:hAnsi="Calibri"/>
                                            <w:color w:val="FFFFFF" w:themeColor="background1"/>
                                            <w:kern w:val="24"/>
                                            <w:sz w:val="18"/>
                                            <w:szCs w:val="18"/>
                                            <w:lang w:val="en-US"/>
                                          </w:rPr>
                                        </w:pPr>
                                        <w:r w:rsidRPr="0078265A">
                                          <w:rPr>
                                            <w:rFonts w:hAnsi="Calibri"/>
                                            <w:color w:val="FFFFFF" w:themeColor="background1"/>
                                            <w:kern w:val="24"/>
                                            <w:sz w:val="18"/>
                                            <w:szCs w:val="18"/>
                                            <w:lang w:val="en-US"/>
                                          </w:rPr>
                                          <w:t>#2 Other includes the remaining investments of the financial product which are neither aligned with the environmental or social characteristics, nor are qualified as sustainable investments.</w:t>
                                        </w:r>
                                      </w:p>
                                      <w:p w14:paraId="1B41BD62" w14:textId="2977D317" w:rsidR="0078265A" w:rsidRPr="00255003" w:rsidRDefault="0078265A" w:rsidP="00255003">
                                        <w:pPr>
                                          <w:spacing w:line="240" w:lineRule="auto"/>
                                          <w:jc w:val="both"/>
                                          <w:rPr>
                                            <w:rFonts w:hAnsi="Calibri"/>
                                            <w:color w:val="FFFFFF" w:themeColor="background1"/>
                                            <w:kern w:val="24"/>
                                            <w:sz w:val="18"/>
                                            <w:szCs w:val="18"/>
                                            <w:lang w:val="en-US"/>
                                          </w:rPr>
                                        </w:pPr>
                                      </w:p>
                                      <w:p w14:paraId="4E593EBE" w14:textId="77777777" w:rsidR="006867FE" w:rsidRDefault="006867FE"/>
                                    </w:txbxContent>
                                  </wps:txbx>
                                  <wps:bodyPr wrap="square" rtlCol="0">
                                    <a:noAutofit/>
                                  </wps:bodyPr>
                                </wps:wsp>
                                <wps:wsp>
                                  <wps:cNvPr id="41" name="TextBox 6"/>
                                  <wps:cNvSpPr txBox="1"/>
                                  <wps:spPr>
                                    <a:xfrm>
                                      <a:off x="2498812" y="820671"/>
                                      <a:ext cx="972417" cy="317012"/>
                                    </a:xfrm>
                                    <a:prstGeom prst="rect">
                                      <a:avLst/>
                                    </a:prstGeom>
                                    <a:solidFill>
                                      <a:schemeClr val="bg1">
                                        <a:lumMod val="85000"/>
                                      </a:schemeClr>
                                    </a:solidFill>
                                  </wps:spPr>
                                  <wps:txbx>
                                    <w:txbxContent>
                                      <w:p w14:paraId="440B0B67" w14:textId="77777777" w:rsidR="0078265A" w:rsidRPr="0078265A" w:rsidRDefault="0078265A" w:rsidP="0078265A">
                                        <w:pPr>
                                          <w:jc w:val="center"/>
                                          <w:rPr>
                                            <w:rFonts w:hAnsi="Calibri"/>
                                            <w:color w:val="000000" w:themeColor="text1"/>
                                            <w:kern w:val="24"/>
                                            <w:sz w:val="18"/>
                                            <w:szCs w:val="18"/>
                                            <w:lang w:val="fr-BE"/>
                                          </w:rPr>
                                        </w:pPr>
                                        <w:r w:rsidRPr="0078265A">
                                          <w:rPr>
                                            <w:rFonts w:hAnsi="Calibri"/>
                                            <w:color w:val="000000" w:themeColor="text1"/>
                                            <w:kern w:val="24"/>
                                            <w:sz w:val="18"/>
                                            <w:szCs w:val="18"/>
                                            <w:lang w:val="fr-BE"/>
                                          </w:rPr>
                                          <w:t xml:space="preserve">Investments </w:t>
                                        </w:r>
                                      </w:p>
                                    </w:txbxContent>
                                  </wps:txbx>
                                  <wps:bodyPr wrap="square" rtlCol="0">
                                    <a:noAutofit/>
                                  </wps:bodyPr>
                                </wps:wsp>
                                <wps:wsp>
                                  <wps:cNvPr id="42" name="TextBox 8"/>
                                  <wps:cNvSpPr txBox="1"/>
                                  <wps:spPr>
                                    <a:xfrm>
                                      <a:off x="3706055" y="544988"/>
                                      <a:ext cx="1316882" cy="429113"/>
                                    </a:xfrm>
                                    <a:prstGeom prst="rect">
                                      <a:avLst/>
                                    </a:prstGeom>
                                    <a:solidFill>
                                      <a:srgbClr val="00B050"/>
                                    </a:solidFill>
                                  </wps:spPr>
                                  <wps:txbx>
                                    <w:txbxContent>
                                      <w:p w14:paraId="76C14E19" w14:textId="77777777" w:rsidR="0078265A" w:rsidRPr="0078265A" w:rsidRDefault="0078265A" w:rsidP="00192D13">
                                        <w:pPr>
                                          <w:jc w:val="center"/>
                                          <w:rPr>
                                            <w:rFonts w:hAnsi="Calibri"/>
                                            <w:color w:val="000000" w:themeColor="text1"/>
                                            <w:kern w:val="24"/>
                                            <w:sz w:val="18"/>
                                            <w:szCs w:val="18"/>
                                            <w:lang w:val="en-US"/>
                                          </w:rPr>
                                        </w:pPr>
                                        <w:r w:rsidRPr="0078265A">
                                          <w:rPr>
                                            <w:rFonts w:hAnsi="Calibri"/>
                                            <w:color w:val="000000" w:themeColor="text1"/>
                                            <w:kern w:val="24"/>
                                            <w:sz w:val="18"/>
                                            <w:szCs w:val="18"/>
                                            <w:lang w:val="en-US"/>
                                          </w:rPr>
                                          <w:t>#1Aligned with E/S characteristics</w:t>
                                        </w:r>
                                      </w:p>
                                      <w:p w14:paraId="5FAC371E" w14:textId="77777777" w:rsidR="0078265A" w:rsidRDefault="0078265A"/>
                                    </w:txbxContent>
                                  </wps:txbx>
                                  <wps:bodyPr wrap="square" rtlCol="0">
                                    <a:noAutofit/>
                                  </wps:bodyPr>
                                </wps:wsp>
                                <wps:wsp>
                                  <wps:cNvPr id="43" name="TextBox 9"/>
                                  <wps:cNvSpPr txBox="1"/>
                                  <wps:spPr>
                                    <a:xfrm>
                                      <a:off x="3706055" y="1068820"/>
                                      <a:ext cx="1324487" cy="287098"/>
                                    </a:xfrm>
                                    <a:prstGeom prst="rect">
                                      <a:avLst/>
                                    </a:prstGeom>
                                    <a:solidFill>
                                      <a:schemeClr val="bg1">
                                        <a:lumMod val="85000"/>
                                      </a:schemeClr>
                                    </a:solidFill>
                                  </wps:spPr>
                                  <wps:txbx>
                                    <w:txbxContent>
                                      <w:p w14:paraId="70DE138F" w14:textId="77777777" w:rsidR="0078265A" w:rsidRPr="0078265A" w:rsidRDefault="0078265A" w:rsidP="00192D13">
                                        <w:pPr>
                                          <w:jc w:val="center"/>
                                          <w:rPr>
                                            <w:rFonts w:hAnsi="Calibri"/>
                                            <w:color w:val="000000" w:themeColor="text1"/>
                                            <w:kern w:val="24"/>
                                            <w:sz w:val="18"/>
                                            <w:szCs w:val="18"/>
                                          </w:rPr>
                                        </w:pPr>
                                        <w:r w:rsidRPr="0078265A">
                                          <w:rPr>
                                            <w:rFonts w:hAnsi="Calibri"/>
                                            <w:color w:val="000000" w:themeColor="text1"/>
                                            <w:kern w:val="24"/>
                                            <w:sz w:val="18"/>
                                            <w:szCs w:val="18"/>
                                          </w:rPr>
                                          <w:t xml:space="preserve">#2 </w:t>
                                        </w:r>
                                        <w:proofErr w:type="spellStart"/>
                                        <w:r w:rsidRPr="0078265A">
                                          <w:rPr>
                                            <w:rFonts w:hAnsi="Calibri"/>
                                            <w:color w:val="000000" w:themeColor="text1"/>
                                            <w:kern w:val="24"/>
                                            <w:sz w:val="18"/>
                                            <w:szCs w:val="18"/>
                                          </w:rPr>
                                          <w:t>Other</w:t>
                                        </w:r>
                                        <w:proofErr w:type="spellEnd"/>
                                      </w:p>
                                    </w:txbxContent>
                                  </wps:txbx>
                                  <wps:bodyPr wrap="square" rtlCol="0">
                                    <a:noAutofit/>
                                  </wps:bodyPr>
                                </wps:wsp>
                              </wpg:grpSp>
                              <wps:wsp>
                                <wps:cNvPr id="44" name="Connector: Elbow 44"/>
                                <wps:cNvCnPr>
                                  <a:cxnSpLocks/>
                                </wps:cNvCnPr>
                                <wps:spPr>
                                  <a:xfrm>
                                    <a:off x="3453916" y="1036529"/>
                                    <a:ext cx="252139" cy="206162"/>
                                  </a:xfrm>
                                  <a:prstGeom prst="bentConnector3">
                                    <a:avLst/>
                                  </a:prstGeom>
                                  <a:ln>
                                    <a:solidFill>
                                      <a:srgbClr val="5F5F5F"/>
                                    </a:solidFill>
                                  </a:ln>
                                </wps:spPr>
                                <wps:style>
                                  <a:lnRef idx="1">
                                    <a:schemeClr val="accent1"/>
                                  </a:lnRef>
                                  <a:fillRef idx="0">
                                    <a:schemeClr val="accent1"/>
                                  </a:fillRef>
                                  <a:effectRef idx="0">
                                    <a:schemeClr val="accent1"/>
                                  </a:effectRef>
                                  <a:fontRef idx="minor">
                                    <a:schemeClr val="tx1"/>
                                  </a:fontRef>
                                </wps:style>
                                <wps:bodyPr/>
                              </wps:wsp>
                            </wpg:grpSp>
                            <wps:wsp>
                              <wps:cNvPr id="55" name="TextBox 54"/>
                              <wps:cNvSpPr txBox="1"/>
                              <wps:spPr>
                                <a:xfrm>
                                  <a:off x="85109" y="3"/>
                                  <a:ext cx="5271896" cy="324142"/>
                                </a:xfrm>
                                <a:prstGeom prst="rect">
                                  <a:avLst/>
                                </a:prstGeom>
                                <a:noFill/>
                              </wps:spPr>
                              <wps:txbx>
                                <w:txbxContent>
                                  <w:p w14:paraId="04372D26" w14:textId="530A1D71" w:rsidR="0078265A" w:rsidRPr="00287475" w:rsidRDefault="0078265A" w:rsidP="0078265A">
                                    <w:pPr>
                                      <w:rPr>
                                        <w:rFonts w:hAnsi="Calibri"/>
                                        <w:i/>
                                        <w:iCs/>
                                        <w:color w:val="C00000"/>
                                        <w:kern w:val="24"/>
                                        <w:sz w:val="17"/>
                                        <w:szCs w:val="17"/>
                                        <w:lang w:val="en-US"/>
                                      </w:rPr>
                                    </w:pPr>
                                  </w:p>
                                </w:txbxContent>
                              </wps:txbx>
                              <wps:bodyPr wrap="square" rtlCol="0">
                                <a:noAutofit/>
                              </wps:bodyPr>
                            </wps:wsp>
                            <wps:wsp>
                              <wps:cNvPr id="56" name="Connector: Elbow 56"/>
                              <wps:cNvCnPr>
                                <a:cxnSpLocks/>
                              </wps:cNvCnPr>
                              <wps:spPr>
                                <a:xfrm flipV="1">
                                  <a:off x="3927616" y="930142"/>
                                  <a:ext cx="286717" cy="214175"/>
                                </a:xfrm>
                                <a:prstGeom prst="bentConnector3">
                                  <a:avLst/>
                                </a:prstGeom>
                                <a:ln>
                                  <a:solidFill>
                                    <a:srgbClr val="5F5F5F"/>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E5287A3" id="Group 93" o:spid="_x0000_s1027" style="width:450.15pt;height:272.25pt;mso-position-horizontal-relative:char;mso-position-vertical-relative:line" coordsize="82476,4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rZzAQAADAVAAAOAAAAZHJzL2Uyb0RvYy54bWzsWG1v2zYQ/j5g/4HQ98WiXizJiFOsaZMv&#10;3VY0Xb/TMmULk0iNYmLn3++OlGjJiRvXSQMEWAw4lsSXu3vunueo83fbuiJ3XLWlFHOPnvke4SKX&#10;y1Ks5t7fX69+Sz3SaiaWrJKCz7173nrvLn795XzTzHgg17JackVgEdHONs3cW2vdzCaTNl/zmrVn&#10;suECHhZS1UzDpVpNloptYPW6mgS+P51spFo2Sua8beHuB/vQuzDrFwXP9V9F0XJNqrkHtmnzrcz3&#10;Ar8nF+dstlKsWZd5ZwY7wYqalQI2dUt9YJqRW1U+WKoucyVbWeizXNYTWRRlzo0P4A3197y5VvK2&#10;Mb6sZptV48IEod2L08nL5n/efVakXM69MPaIYDVgZLYlWYjB2TSrGYy5Vs1N81l1N1b2Cv3dFqrG&#10;/+AJ2Zqw3ruw8q0mOdyMEzrNfFg+h2dhFCfwsYHP14DOg3n5+mM3Mw2iZOpTOzNKwyShAc6c9BtP&#10;0D5njrtwdve+JWPfwuSlfDtkIZs95VsSxEGaBl1U0oyGSXaSb1BhQ9zC9KV8O2ThT/ANir/d5Xf7&#10;vPy+WbOGm7JpMXf7HMj6OH0BVmBiVXESmohvGjPOJXg7ayHXj83uQ1FyOcpmjWr1NZc1wR9zT8H+&#10;hizY3adW23Tuh+CurazK5VVZVeZCrRaXlSJ3DBgsm+Kny5LRsErgYCFxml0R70B59M6YX/q+4jiu&#10;El94AVUPxRkYSwzfcrcPy3MuNLWP1mzJ7faxD3/97sjQOMNUo1kQVy5gf7d2t0A/0i7Sr22t7Mbj&#10;VG7o2k32v2eYnexmmJ2l0G5yXQqpHlugAq+6ne34Pkg2NBilhVzeQ84oXV1KqxpM5GsJopFrZSbj&#10;KMhXZJlXSNwIdMsW+Fdg1PdySyK0AveG7MasJXoLt0F++/sH8jeKQo8AB9PUj5OgE7+epTGPIygI&#10;w9JZEoShEYDT03iXjGiqNQl/6e1iaxTHmdtFfAMyPPfaf2+Z4t4g/oiukL/falmUplxwFTunQ+8V&#10;wQAxGoNhyvEEMIIoS1OQMwQkDfxpYsIBZdBpH0AQUdAtI5o08feU75msMq7JxcqWanVb/yGXtk5T&#10;rPauVhw9mGIfEM8ewThojUrvYCJvAlrAYgxtp6Q/XGdh4k/9GBoegDaOEGeM4w5aGtKpk/4oyCh9&#10;ZqkNEAH5GCqG77/3YwfjTlgOAdc1fX19vQ3ggNXGwO3L+rEEOQSO+ojRHknSMIiitKvKIE38zEB7&#10;OkmOkfvJVel042UId9d8v5YSRj3Ql1II6KKkmpGP1UJuSOR8A028FLZ9y7fipvkk839alPyOo+1D&#10;vDigknBCCTM6tUrph9M4MOm0K18QStoLJRA3nY7PJA+YeQG9lDM4NF3Jgc7PdnHjnBhWc3yFn56U&#10;B9WMLV3fyZje1fj3SLt3REv2eC93RDv22r2c3h7Zy/Xomzbh1bMWhWBMT/EwWX+kgUtj6kOHhsfo&#10;saLEQUJTOBnYbgEah+iJnHzqDPJk82ZO8G9M4WMIkEXClWPPH/Bo11OfwB+kqMrmG7bgKPTd25Aw&#10;CxKgBwNYFvodKAMiSaHr68WEQrdngnpYTP4nkiNY6IRD4TOIBF7LmZ64e4WI7/2G14aTdy86L/4D&#10;AAD//wMAUEsDBBQABgAIAAAAIQAuHgpn3QAAAAUBAAAPAAAAZHJzL2Rvd25yZXYueG1sTI9BS8NA&#10;EIXvgv9hGcGb3Y1tRGM2pRT1VIS2gnibZqdJaHY2ZLdJ+u9dvehl4PEe732TLyfbioF63zjWkMwU&#10;COLSmYYrDR/717tHED4gG2wdk4YLeVgW11c5ZsaNvKVhFyoRS9hnqKEOocuk9GVNFv3MdcTRO7re&#10;Yoiyr6TpcYzltpX3Sj1Iiw3HhRo7WtdUnnZnq+FtxHE1T16Gzem4vnzt0/fPTUJa395Mq2cQgabw&#10;F4Yf/IgORWQ6uDMbL1oN8ZHwe6P3pNQcxEFDulikIItc/qcvvgEAAP//AwBQSwECLQAUAAYACAAA&#10;ACEAtoM4kv4AAADhAQAAEwAAAAAAAAAAAAAAAAAAAAAAW0NvbnRlbnRfVHlwZXNdLnhtbFBLAQIt&#10;ABQABgAIAAAAIQA4/SH/1gAAAJQBAAALAAAAAAAAAAAAAAAAAC8BAABfcmVscy8ucmVsc1BLAQIt&#10;ABQABgAIAAAAIQD7dirZzAQAADAVAAAOAAAAAAAAAAAAAAAAAC4CAABkcnMvZTJvRG9jLnhtbFBL&#10;AQItABQABgAIAAAAIQAuHgpn3QAAAAUBAAAPAAAAAAAAAAAAAAAAACYHAABkcnMvZG93bnJldi54&#10;bWxQSwUGAAAAAAQABADzAAAAMAgAAAAA&#10;">
                      <v:group id="Group 37" o:spid="_x0000_s1028" style="position:absolute;width:82476;height:48377" coordsize="72528,3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29" style="position:absolute;width:72528;height:38913" coordsize="72528,3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0" style="position:absolute;width:72528;height:38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OpZxQAAANsAAAAPAAAAZHJzL2Rvd25yZXYueG1sRI9Ba8JA&#10;FITvBf/D8oTemk1bCBpdpRUKqagl6sHja/Y1CWbfhuw2pv/eFYQeh5n5hpkvB9OInjpXW1bwHMUg&#10;iAuray4VHA8fTxMQziNrbCyTgj9ysFyMHuaYanvhnPq9L0WAsEtRQeV9m0rpiooMusi2xMH7sZ1B&#10;H2RXSt3hJcBNI1/iOJEGaw4LFba0qqg473+NgnNSf558Vr5vp6vv9dcOE843a6Uex8PbDISnwf+H&#10;7+1MK3idwu1L+AFycQUAAP//AwBQSwECLQAUAAYACAAAACEA2+H2y+4AAACFAQAAEwAAAAAAAAAA&#10;AAAAAAAAAAAAW0NvbnRlbnRfVHlwZXNdLnhtbFBLAQItABQABgAIAAAAIQBa9CxbvwAAABUBAAAL&#10;AAAAAAAAAAAAAAAAAB8BAABfcmVscy8ucmVsc1BLAQItABQABgAIAAAAIQA4ROpZxQAAANsAAAAP&#10;AAAAAAAAAAAAAAAAAAcCAABkcnMvZG93bnJldi54bWxQSwUGAAAAAAMAAwC3AAAA+QIAAAAA&#10;" fillcolor="#969696" stroked="f" strokeweight="2pt"/>
                          <v:shape id="TextBox 4" o:spid="_x0000_s1031" type="#_x0000_t202" style="position:absolute;left:4;top:18057;width:72524;height: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6D52433" w14:textId="77777777" w:rsidR="0078265A" w:rsidRPr="0078265A" w:rsidRDefault="0078265A" w:rsidP="0078265A">
                                  <w:pPr>
                                    <w:spacing w:line="240" w:lineRule="auto"/>
                                    <w:jc w:val="both"/>
                                    <w:rPr>
                                      <w:rFonts w:hAnsi="Calibri"/>
                                      <w:color w:val="FFFFFF" w:themeColor="background1"/>
                                      <w:kern w:val="24"/>
                                      <w:sz w:val="18"/>
                                      <w:szCs w:val="18"/>
                                      <w:lang w:val="en-US"/>
                                    </w:rPr>
                                  </w:pPr>
                                  <w:r w:rsidRPr="0078265A">
                                    <w:rPr>
                                      <w:rFonts w:hAnsi="Calibri"/>
                                      <w:color w:val="FFFFFF" w:themeColor="background1"/>
                                      <w:kern w:val="24"/>
                                      <w:sz w:val="18"/>
                                      <w:szCs w:val="18"/>
                                      <w:lang w:val="en-US"/>
                                    </w:rPr>
                                    <w:t>#1 Aligned with E/S characteristics includes the investments of the financial product used to attain the environmental or social characteristics promoted by the financial product.</w:t>
                                  </w:r>
                                </w:p>
                                <w:p w14:paraId="39DA6137" w14:textId="77777777" w:rsidR="0078265A" w:rsidRPr="0078265A" w:rsidRDefault="0078265A" w:rsidP="0078265A">
                                  <w:pPr>
                                    <w:spacing w:line="240" w:lineRule="auto"/>
                                    <w:jc w:val="both"/>
                                    <w:rPr>
                                      <w:rFonts w:hAnsi="Calibri"/>
                                      <w:color w:val="FFFFFF" w:themeColor="background1"/>
                                      <w:kern w:val="24"/>
                                      <w:sz w:val="18"/>
                                      <w:szCs w:val="18"/>
                                      <w:lang w:val="en-US"/>
                                    </w:rPr>
                                  </w:pPr>
                                  <w:r w:rsidRPr="0078265A">
                                    <w:rPr>
                                      <w:rFonts w:hAnsi="Calibri"/>
                                      <w:color w:val="FFFFFF" w:themeColor="background1"/>
                                      <w:kern w:val="24"/>
                                      <w:sz w:val="18"/>
                                      <w:szCs w:val="18"/>
                                      <w:lang w:val="en-US"/>
                                    </w:rPr>
                                    <w:t>#2 Other includes the remaining investments of the financial product which are neither aligned with the environmental or social characteristics, nor are qualified as sustainable investments.</w:t>
                                  </w:r>
                                </w:p>
                                <w:p w14:paraId="1B41BD62" w14:textId="2977D317" w:rsidR="0078265A" w:rsidRPr="00255003" w:rsidRDefault="0078265A" w:rsidP="00255003">
                                  <w:pPr>
                                    <w:spacing w:line="240" w:lineRule="auto"/>
                                    <w:jc w:val="both"/>
                                    <w:rPr>
                                      <w:rFonts w:hAnsi="Calibri"/>
                                      <w:color w:val="FFFFFF" w:themeColor="background1"/>
                                      <w:kern w:val="24"/>
                                      <w:sz w:val="18"/>
                                      <w:szCs w:val="18"/>
                                      <w:lang w:val="en-US"/>
                                    </w:rPr>
                                  </w:pPr>
                                </w:p>
                                <w:p w14:paraId="4E593EBE" w14:textId="77777777" w:rsidR="006867FE" w:rsidRDefault="006867FE"/>
                              </w:txbxContent>
                            </v:textbox>
                          </v:shape>
                          <v:shape id="TextBox 6" o:spid="_x0000_s1032" type="#_x0000_t202" style="position:absolute;left:24988;top:8206;width:9724;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1/txAAAANsAAAAPAAAAZHJzL2Rvd25yZXYueG1sRI9BawIx&#10;FITvhf6H8ArealYRldUopVBQUUFtPT82z92lm5clie7qrzeC4HGYmW+Y6bw1lbiQ86VlBb1uAoI4&#10;s7rkXMHv4edzDMIHZI2VZVJwJQ/z2fvbFFNtG97RZR9yESHsU1RQhFCnUvqsIIO+a2vi6J2sMxii&#10;dLnUDpsIN5XsJ8lQGiw5LhRY03dB2f/+bBSsebXE02G8ud365+bvuBg127VTqvPRfk1ABGrDK/xs&#10;L7SCQQ8eX+IPkLM7AAAA//8DAFBLAQItABQABgAIAAAAIQDb4fbL7gAAAIUBAAATAAAAAAAAAAAA&#10;AAAAAAAAAABbQ29udGVudF9UeXBlc10ueG1sUEsBAi0AFAAGAAgAAAAhAFr0LFu/AAAAFQEAAAsA&#10;AAAAAAAAAAAAAAAAHwEAAF9yZWxzLy5yZWxzUEsBAi0AFAAGAAgAAAAhAA13X+3EAAAA2wAAAA8A&#10;AAAAAAAAAAAAAAAABwIAAGRycy9kb3ducmV2LnhtbFBLBQYAAAAAAwADALcAAAD4AgAAAAA=&#10;" fillcolor="#d8d8d8 [2732]" stroked="f">
                            <v:textbox>
                              <w:txbxContent>
                                <w:p w14:paraId="440B0B67" w14:textId="77777777" w:rsidR="0078265A" w:rsidRPr="0078265A" w:rsidRDefault="0078265A" w:rsidP="0078265A">
                                  <w:pPr>
                                    <w:jc w:val="center"/>
                                    <w:rPr>
                                      <w:rFonts w:hAnsi="Calibri"/>
                                      <w:color w:val="000000" w:themeColor="text1"/>
                                      <w:kern w:val="24"/>
                                      <w:sz w:val="18"/>
                                      <w:szCs w:val="18"/>
                                      <w:lang w:val="fr-BE"/>
                                    </w:rPr>
                                  </w:pPr>
                                  <w:r w:rsidRPr="0078265A">
                                    <w:rPr>
                                      <w:rFonts w:hAnsi="Calibri"/>
                                      <w:color w:val="000000" w:themeColor="text1"/>
                                      <w:kern w:val="24"/>
                                      <w:sz w:val="18"/>
                                      <w:szCs w:val="18"/>
                                      <w:lang w:val="fr-BE"/>
                                    </w:rPr>
                                    <w:t xml:space="preserve">Investments </w:t>
                                  </w:r>
                                </w:p>
                              </w:txbxContent>
                            </v:textbox>
                          </v:shape>
                          <v:shape id="TextBox 8" o:spid="_x0000_s1033" type="#_x0000_t202" style="position:absolute;left:37060;top:5449;width:13169;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r/wwAAANsAAAAPAAAAZHJzL2Rvd25yZXYueG1sRI9fa8Iw&#10;FMXfhX2HcAd7m+lkyFaNMmSV+mgdwt7ummtbbG66JLb125vBwMfD+fPjLNejaUVPzjeWFbxMExDE&#10;pdUNVwq+DtnzGwgfkDW2lknBlTysVw+TJabaDrynvgiViCPsU1RQh9ClUvqyJoN+ajvi6J2sMxii&#10;dJXUDoc4blo5S5K5NNhwJNTY0aam8lxcTORujvsfd86Ou98tmvei+vxu80Spp8fxYwEi0Bju4f92&#10;rhW8zuDvS/wBcnUDAAD//wMAUEsBAi0AFAAGAAgAAAAhANvh9svuAAAAhQEAABMAAAAAAAAAAAAA&#10;AAAAAAAAAFtDb250ZW50X1R5cGVzXS54bWxQSwECLQAUAAYACAAAACEAWvQsW78AAAAVAQAACwAA&#10;AAAAAAAAAAAAAAAfAQAAX3JlbHMvLnJlbHNQSwECLQAUAAYACAAAACEACGIa/8MAAADbAAAADwAA&#10;AAAAAAAAAAAAAAAHAgAAZHJzL2Rvd25yZXYueG1sUEsFBgAAAAADAAMAtwAAAPcCAAAAAA==&#10;" fillcolor="#00b050" stroked="f">
                            <v:textbox>
                              <w:txbxContent>
                                <w:p w14:paraId="76C14E19" w14:textId="77777777" w:rsidR="0078265A" w:rsidRPr="0078265A" w:rsidRDefault="0078265A" w:rsidP="00192D13">
                                  <w:pPr>
                                    <w:jc w:val="center"/>
                                    <w:rPr>
                                      <w:rFonts w:hAnsi="Calibri"/>
                                      <w:color w:val="000000" w:themeColor="text1"/>
                                      <w:kern w:val="24"/>
                                      <w:sz w:val="18"/>
                                      <w:szCs w:val="18"/>
                                      <w:lang w:val="en-US"/>
                                    </w:rPr>
                                  </w:pPr>
                                  <w:r w:rsidRPr="0078265A">
                                    <w:rPr>
                                      <w:rFonts w:hAnsi="Calibri"/>
                                      <w:color w:val="000000" w:themeColor="text1"/>
                                      <w:kern w:val="24"/>
                                      <w:sz w:val="18"/>
                                      <w:szCs w:val="18"/>
                                      <w:lang w:val="en-US"/>
                                    </w:rPr>
                                    <w:t>#1Aligned with E/S characteristics</w:t>
                                  </w:r>
                                </w:p>
                                <w:p w14:paraId="5FAC371E" w14:textId="77777777" w:rsidR="0078265A" w:rsidRDefault="0078265A"/>
                              </w:txbxContent>
                            </v:textbox>
                          </v:shape>
                          <v:shape id="TextBox 9" o:spid="_x0000_s1034" type="#_x0000_t202" style="position:absolute;left:37060;top:10688;width:13245;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QBxAAAANsAAAAPAAAAZHJzL2Rvd25yZXYueG1sRI9BawIx&#10;FITvBf9DeIK3mlVLla1RRBC0aEFte35snruLm5clie7qrzdCocdhZr5hpvPWVOJKzpeWFQz6CQji&#10;zOqScwXfx9XrBIQPyBory6TgRh7ms87LFFNtG97T9RByESHsU1RQhFCnUvqsIIO+b2vi6J2sMxii&#10;dLnUDpsIN5UcJsm7NFhyXCiwpmVB2flwMQq2/LnB03Gyu9+Hl+bndz1uvrZOqV63XXyACNSG//Bf&#10;e60VvI3g+SX+ADl7AAAA//8DAFBLAQItABQABgAIAAAAIQDb4fbL7gAAAIUBAAATAAAAAAAAAAAA&#10;AAAAAAAAAABbQ29udGVudF9UeXBlc10ueG1sUEsBAi0AFAAGAAgAAAAhAFr0LFu/AAAAFQEAAAsA&#10;AAAAAAAAAAAAAAAAHwEAAF9yZWxzLy5yZWxzUEsBAi0AFAAGAAgAAAAhAJLpZAHEAAAA2wAAAA8A&#10;AAAAAAAAAAAAAAAABwIAAGRycy9kb3ducmV2LnhtbFBLBQYAAAAAAwADALcAAAD4AgAAAAA=&#10;" fillcolor="#d8d8d8 [2732]" stroked="f">
                            <v:textbox>
                              <w:txbxContent>
                                <w:p w14:paraId="70DE138F" w14:textId="77777777" w:rsidR="0078265A" w:rsidRPr="0078265A" w:rsidRDefault="0078265A" w:rsidP="00192D13">
                                  <w:pPr>
                                    <w:jc w:val="center"/>
                                    <w:rPr>
                                      <w:rFonts w:hAnsi="Calibri"/>
                                      <w:color w:val="000000" w:themeColor="text1"/>
                                      <w:kern w:val="24"/>
                                      <w:sz w:val="18"/>
                                      <w:szCs w:val="18"/>
                                    </w:rPr>
                                  </w:pPr>
                                  <w:r w:rsidRPr="0078265A">
                                    <w:rPr>
                                      <w:rFonts w:hAnsi="Calibri"/>
                                      <w:color w:val="000000" w:themeColor="text1"/>
                                      <w:kern w:val="24"/>
                                      <w:sz w:val="18"/>
                                      <w:szCs w:val="18"/>
                                    </w:rPr>
                                    <w:t xml:space="preserve">#2 </w:t>
                                  </w:r>
                                  <w:proofErr w:type="spellStart"/>
                                  <w:r w:rsidRPr="0078265A">
                                    <w:rPr>
                                      <w:rFonts w:hAnsi="Calibri"/>
                                      <w:color w:val="000000" w:themeColor="text1"/>
                                      <w:kern w:val="24"/>
                                      <w:sz w:val="18"/>
                                      <w:szCs w:val="18"/>
                                    </w:rPr>
                                    <w:t>Other</w:t>
                                  </w:r>
                                  <w:proofErr w:type="spellEnd"/>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4" o:spid="_x0000_s1035" type="#_x0000_t34" style="position:absolute;left:34539;top:10365;width:2521;height:20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VvxgAAANsAAAAPAAAAZHJzL2Rvd25yZXYueG1sRI9Ba8JA&#10;FITvgv9heUIvohsllDbNRkQRPFhQ68HeHruvSWr2bchuNfbXdwuFHoeZ+YbJF71txJU6XztWMJsm&#10;IIi1MzWXCk5vm8kTCB+QDTaOScGdPCyK4SDHzLgbH+h6DKWIEPYZKqhCaDMpva7Iop+6ljh6H66z&#10;GKLsSmk6vEW4beQ8SR6lxZrjQoUtrSrSl+OXVYD7dfJ51rvn9325Oo3XOnzvNq9KPYz65QuIQH34&#10;D/+1t0ZBmsLvl/gDZPEDAAD//wMAUEsBAi0AFAAGAAgAAAAhANvh9svuAAAAhQEAABMAAAAAAAAA&#10;AAAAAAAAAAAAAFtDb250ZW50X1R5cGVzXS54bWxQSwECLQAUAAYACAAAACEAWvQsW78AAAAVAQAA&#10;CwAAAAAAAAAAAAAAAAAfAQAAX3JlbHMvLnJlbHNQSwECLQAUAAYACAAAACEA9YwFb8YAAADbAAAA&#10;DwAAAAAAAAAAAAAAAAAHAgAAZHJzL2Rvd25yZXYueG1sUEsFBgAAAAADAAMAtwAAAPoCAAAAAA==&#10;" strokecolor="#5f5f5f">
                          <o:lock v:ext="edit" shapetype="f"/>
                        </v:shape>
                      </v:group>
                      <v:shape id="TextBox 54" o:spid="_x0000_s1036" type="#_x0000_t202" style="position:absolute;left:851;width:52719;height: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4372D26" w14:textId="530A1D71" w:rsidR="0078265A" w:rsidRPr="00287475" w:rsidRDefault="0078265A" w:rsidP="0078265A">
                              <w:pPr>
                                <w:rPr>
                                  <w:rFonts w:hAnsi="Calibri"/>
                                  <w:i/>
                                  <w:iCs/>
                                  <w:color w:val="C00000"/>
                                  <w:kern w:val="24"/>
                                  <w:sz w:val="17"/>
                                  <w:szCs w:val="17"/>
                                  <w:lang w:val="en-US"/>
                                </w:rPr>
                              </w:pPr>
                            </w:p>
                          </w:txbxContent>
                        </v:textbox>
                      </v:shape>
                      <v:shape id="Connector: Elbow 56" o:spid="_x0000_s1037" type="#_x0000_t34" style="position:absolute;left:39276;top:9301;width:2867;height:214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ovxQAAANsAAAAPAAAAZHJzL2Rvd25yZXYueG1sRI9Ba8JA&#10;FITvhf6H5RW8FN0Y2mBTVxFtIfRm9OLtkX1mg9m3Ibsm6b/vFgo9DjPzDbPeTrYVA/W+caxguUhA&#10;EFdON1wrOJ8+5ysQPiBrbB2Tgm/ysN08Pqwx127kIw1lqEWEsM9RgQmhy6X0lSGLfuE64uhdXW8x&#10;RNnXUvc4RrhtZZokmbTYcFww2NHeUHUr71bB1zBerof6OTUfL+3beMuK1SktlJo9Tbt3EIGm8B/+&#10;axdawWsGv1/iD5CbHwAAAP//AwBQSwECLQAUAAYACAAAACEA2+H2y+4AAACFAQAAEwAAAAAAAAAA&#10;AAAAAAAAAAAAW0NvbnRlbnRfVHlwZXNdLnhtbFBLAQItABQABgAIAAAAIQBa9CxbvwAAABUBAAAL&#10;AAAAAAAAAAAAAAAAAB8BAABfcmVscy8ucmVsc1BLAQItABQABgAIAAAAIQBM8povxQAAANsAAAAP&#10;AAAAAAAAAAAAAAAAAAcCAABkcnMvZG93bnJldi54bWxQSwUGAAAAAAMAAwC3AAAA+QIAAAAA&#10;" strokecolor="#5f5f5f">
                        <o:lock v:ext="edit" shapetype="f"/>
                      </v:shape>
                      <w10:anchorlock/>
                    </v:group>
                  </w:pict>
                </mc:Fallback>
              </mc:AlternateContent>
            </w:r>
          </w:p>
          <w:p w14:paraId="6D86BCB7" w14:textId="77777777" w:rsidR="00123C6A" w:rsidRPr="00162979" w:rsidRDefault="00123C6A" w:rsidP="00F54856">
            <w:pPr>
              <w:rPr>
                <w:rFonts w:ascii="Calibri" w:hAnsi="Calibri" w:cs="Arial"/>
                <w:lang w:val="en-US"/>
              </w:rPr>
            </w:pPr>
          </w:p>
          <w:p w14:paraId="44832F32" w14:textId="5116AA0E" w:rsidR="00123C6A" w:rsidRPr="00162979" w:rsidRDefault="00123C6A" w:rsidP="00F54856">
            <w:pPr>
              <w:rPr>
                <w:rFonts w:ascii="Calibri" w:hAnsi="Calibri" w:cs="Arial"/>
                <w:lang w:val="en-US"/>
              </w:rPr>
            </w:pPr>
          </w:p>
        </w:tc>
      </w:tr>
      <w:tr w:rsidR="002F41FC" w:rsidRPr="00162979" w14:paraId="411E4D28" w14:textId="77777777" w:rsidTr="00FE10DA">
        <w:trPr>
          <w:trHeight w:val="566"/>
        </w:trPr>
        <w:tc>
          <w:tcPr>
            <w:tcW w:w="9286" w:type="dxa"/>
            <w:gridSpan w:val="2"/>
            <w:shd w:val="clear" w:color="auto" w:fill="FFFFFF" w:themeFill="background1"/>
            <w:vAlign w:val="center"/>
          </w:tcPr>
          <w:p w14:paraId="40F63A10" w14:textId="4643FF99" w:rsidR="002F41FC" w:rsidRPr="00162979" w:rsidRDefault="002F41FC" w:rsidP="00FE10DA">
            <w:pPr>
              <w:jc w:val="center"/>
              <w:rPr>
                <w:rFonts w:cs="Arial"/>
                <w:b/>
                <w:color w:val="0F243E" w:themeColor="text2" w:themeShade="80"/>
                <w:lang w:val="en-US"/>
              </w:rPr>
            </w:pPr>
            <w:r w:rsidRPr="00162979">
              <w:rPr>
                <w:rFonts w:cs="Arial"/>
                <w:b/>
                <w:color w:val="0F243E" w:themeColor="text2" w:themeShade="80"/>
                <w:lang w:val="en-US"/>
              </w:rPr>
              <w:lastRenderedPageBreak/>
              <w:t>How does the use of derivatives attain the environmental or social characteristics promoted by the financial product</w:t>
            </w:r>
            <w:r w:rsidR="00EE5E30" w:rsidRPr="00162979">
              <w:rPr>
                <w:rFonts w:cs="Arial"/>
                <w:b/>
                <w:color w:val="0F243E" w:themeColor="text2" w:themeShade="80"/>
                <w:lang w:val="en-US"/>
              </w:rPr>
              <w:t>?</w:t>
            </w:r>
          </w:p>
        </w:tc>
      </w:tr>
      <w:tr w:rsidR="002F41FC" w:rsidRPr="00162979" w14:paraId="22649A91" w14:textId="77777777" w:rsidTr="00FE10DA">
        <w:trPr>
          <w:trHeight w:val="566"/>
        </w:trPr>
        <w:tc>
          <w:tcPr>
            <w:tcW w:w="9286" w:type="dxa"/>
            <w:gridSpan w:val="2"/>
            <w:shd w:val="clear" w:color="auto" w:fill="FFFFFF" w:themeFill="background1"/>
            <w:vAlign w:val="center"/>
          </w:tcPr>
          <w:p w14:paraId="5CBB8EDD" w14:textId="224A3777" w:rsidR="002F41FC" w:rsidRPr="00162979" w:rsidRDefault="00255003" w:rsidP="002F41FC">
            <w:pPr>
              <w:rPr>
                <w:rFonts w:cs="Arial"/>
                <w:b/>
                <w:color w:val="0F243E" w:themeColor="text2" w:themeShade="80"/>
                <w:lang w:val="en-US"/>
              </w:rPr>
            </w:pPr>
            <w:r>
              <w:rPr>
                <w:rFonts w:cs="Arial"/>
                <w:lang w:val="en-US"/>
              </w:rPr>
              <w:t>Not applicable.</w:t>
            </w:r>
          </w:p>
        </w:tc>
      </w:tr>
      <w:tr w:rsidR="002F41FC" w:rsidRPr="00162979" w14:paraId="2A5A8A1E" w14:textId="77777777" w:rsidTr="00FE10DA">
        <w:trPr>
          <w:trHeight w:val="566"/>
        </w:trPr>
        <w:tc>
          <w:tcPr>
            <w:tcW w:w="9286" w:type="dxa"/>
            <w:gridSpan w:val="2"/>
            <w:shd w:val="clear" w:color="auto" w:fill="FFFFFF" w:themeFill="background1"/>
            <w:vAlign w:val="center"/>
          </w:tcPr>
          <w:p w14:paraId="4B8E3A2C" w14:textId="4EA47965" w:rsidR="002F41FC" w:rsidRPr="00162979" w:rsidRDefault="00EE5E30" w:rsidP="002F41FC">
            <w:pPr>
              <w:jc w:val="center"/>
              <w:rPr>
                <w:rFonts w:cs="Arial"/>
                <w:b/>
                <w:color w:val="0F243E" w:themeColor="text2" w:themeShade="80"/>
                <w:lang w:val="en-US"/>
              </w:rPr>
            </w:pPr>
            <w:r w:rsidRPr="00162979">
              <w:rPr>
                <w:rFonts w:cs="Arial"/>
                <w:b/>
                <w:color w:val="0F243E" w:themeColor="text2" w:themeShade="80"/>
                <w:lang w:val="en-US"/>
              </w:rPr>
              <w:t>W</w:t>
            </w:r>
            <w:r w:rsidR="002F41FC" w:rsidRPr="00162979">
              <w:rPr>
                <w:rFonts w:cs="Arial"/>
                <w:b/>
                <w:color w:val="0F243E" w:themeColor="text2" w:themeShade="80"/>
                <w:lang w:val="en-US"/>
              </w:rPr>
              <w:t xml:space="preserve">hat </w:t>
            </w:r>
            <w:r w:rsidRPr="00162979">
              <w:rPr>
                <w:rFonts w:cs="Arial"/>
                <w:b/>
                <w:color w:val="0F243E" w:themeColor="text2" w:themeShade="80"/>
                <w:lang w:val="en-US"/>
              </w:rPr>
              <w:t xml:space="preserve">is the </w:t>
            </w:r>
            <w:r w:rsidR="002F41FC" w:rsidRPr="00162979">
              <w:rPr>
                <w:rFonts w:cs="Arial"/>
                <w:b/>
                <w:color w:val="0F243E" w:themeColor="text2" w:themeShade="80"/>
                <w:lang w:val="en-US"/>
              </w:rPr>
              <w:t xml:space="preserve">minimum </w:t>
            </w:r>
            <w:r w:rsidRPr="00162979">
              <w:rPr>
                <w:rFonts w:cs="Arial"/>
                <w:b/>
                <w:color w:val="0F243E" w:themeColor="text2" w:themeShade="80"/>
                <w:lang w:val="en-US"/>
              </w:rPr>
              <w:t>share of</w:t>
            </w:r>
            <w:r w:rsidR="002F41FC" w:rsidRPr="00162979">
              <w:rPr>
                <w:rFonts w:cs="Arial"/>
                <w:b/>
                <w:color w:val="0F243E" w:themeColor="text2" w:themeShade="80"/>
                <w:lang w:val="en-US"/>
              </w:rPr>
              <w:t xml:space="preserve"> investments with an environmental objective aligned with the EU Taxonomy?</w:t>
            </w:r>
            <w:r w:rsidRPr="00162979">
              <w:rPr>
                <w:rFonts w:cs="Arial"/>
                <w:b/>
                <w:color w:val="0F243E" w:themeColor="text2" w:themeShade="80"/>
                <w:lang w:val="en-US"/>
              </w:rPr>
              <w:t xml:space="preserve"> </w:t>
            </w:r>
            <w:r w:rsidR="002F41FC" w:rsidRPr="00162979">
              <w:rPr>
                <w:rFonts w:cs="Arial"/>
                <w:b/>
                <w:color w:val="0F243E" w:themeColor="text2" w:themeShade="80"/>
                <w:lang w:val="en-US"/>
              </w:rPr>
              <w:t>(including what methodology is used for the calculation of the alignment with the EU Taxonomy and why; and what the minimum share of transitional and enabling activities)</w:t>
            </w:r>
          </w:p>
        </w:tc>
      </w:tr>
      <w:tr w:rsidR="002F41FC" w:rsidRPr="00162979" w14:paraId="432E0A4E" w14:textId="77777777" w:rsidTr="00FE10DA">
        <w:trPr>
          <w:trHeight w:val="566"/>
        </w:trPr>
        <w:tc>
          <w:tcPr>
            <w:tcW w:w="9286" w:type="dxa"/>
            <w:gridSpan w:val="2"/>
            <w:shd w:val="clear" w:color="auto" w:fill="FFFFFF" w:themeFill="background1"/>
            <w:vAlign w:val="center"/>
          </w:tcPr>
          <w:p w14:paraId="40DE8A1A" w14:textId="568A0501" w:rsidR="00834F3A" w:rsidRPr="00162979" w:rsidRDefault="00D13CFD" w:rsidP="002F41FC">
            <w:pPr>
              <w:rPr>
                <w:rFonts w:cs="Arial"/>
                <w:lang w:val="en-US"/>
              </w:rPr>
            </w:pPr>
            <w:r w:rsidRPr="00162979">
              <w:rPr>
                <w:rFonts w:ascii="Arial" w:hAnsi="Arial" w:cs="Arial"/>
                <w:noProof/>
                <w:lang w:val="en-US"/>
              </w:rPr>
              <w:drawing>
                <wp:anchor distT="0" distB="0" distL="114300" distR="114300" simplePos="0" relativeHeight="251659264" behindDoc="1" locked="0" layoutInCell="1" allowOverlap="1" wp14:anchorId="07EEEA4F" wp14:editId="5A9C8BC8">
                  <wp:simplePos x="0" y="0"/>
                  <wp:positionH relativeFrom="margin">
                    <wp:align>center</wp:align>
                  </wp:positionH>
                  <wp:positionV relativeFrom="paragraph">
                    <wp:posOffset>182880</wp:posOffset>
                  </wp:positionV>
                  <wp:extent cx="4686300" cy="2362200"/>
                  <wp:effectExtent l="0" t="0" r="0" b="0"/>
                  <wp:wrapSquare wrapText="bothSides"/>
                  <wp:docPr id="208" name="Picture 20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rotWithShape="1">
                          <a:blip r:embed="rId16">
                            <a:extLst>
                              <a:ext uri="{28A0092B-C50C-407E-A947-70E740481C1C}">
                                <a14:useLocalDpi xmlns:a14="http://schemas.microsoft.com/office/drawing/2010/main" val="0"/>
                              </a:ext>
                            </a:extLst>
                          </a:blip>
                          <a:srcRect t="12852"/>
                          <a:stretch/>
                        </pic:blipFill>
                        <pic:spPr bwMode="auto">
                          <a:xfrm>
                            <a:off x="0" y="0"/>
                            <a:ext cx="468630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C1AD39" w14:textId="7E1F0951" w:rsidR="00D13CFD" w:rsidRPr="00162979" w:rsidRDefault="00D13CFD" w:rsidP="002F41FC">
            <w:pPr>
              <w:rPr>
                <w:rFonts w:cs="Arial"/>
                <w:lang w:val="en-US"/>
              </w:rPr>
            </w:pPr>
          </w:p>
          <w:p w14:paraId="07B56FAD" w14:textId="42AB564A" w:rsidR="00D13CFD" w:rsidRPr="00162979" w:rsidRDefault="00D13CFD" w:rsidP="002F41FC">
            <w:pPr>
              <w:rPr>
                <w:rFonts w:cs="Arial"/>
                <w:lang w:val="en-US"/>
              </w:rPr>
            </w:pPr>
          </w:p>
          <w:p w14:paraId="421A3E88" w14:textId="7B91C7FE" w:rsidR="00D13CFD" w:rsidRPr="00162979" w:rsidRDefault="00D13CFD" w:rsidP="002F41FC">
            <w:pPr>
              <w:rPr>
                <w:rFonts w:cs="Arial"/>
                <w:lang w:val="en-US"/>
              </w:rPr>
            </w:pPr>
          </w:p>
          <w:p w14:paraId="22B265AB" w14:textId="30F3177B" w:rsidR="00D13CFD" w:rsidRPr="00162979" w:rsidRDefault="00D13CFD" w:rsidP="002F41FC">
            <w:pPr>
              <w:rPr>
                <w:rFonts w:cs="Arial"/>
                <w:lang w:val="en-US"/>
              </w:rPr>
            </w:pPr>
          </w:p>
          <w:p w14:paraId="78D892A9" w14:textId="277F5A74" w:rsidR="00D13CFD" w:rsidRPr="00162979" w:rsidRDefault="00D13CFD" w:rsidP="002F41FC">
            <w:pPr>
              <w:rPr>
                <w:rFonts w:cs="Arial"/>
                <w:lang w:val="en-US"/>
              </w:rPr>
            </w:pPr>
          </w:p>
          <w:p w14:paraId="5BBDCDC2" w14:textId="1B8B7F78" w:rsidR="00D13CFD" w:rsidRPr="00162979" w:rsidRDefault="00D13CFD" w:rsidP="002F41FC">
            <w:pPr>
              <w:rPr>
                <w:rFonts w:cs="Arial"/>
                <w:lang w:val="en-US"/>
              </w:rPr>
            </w:pPr>
          </w:p>
          <w:p w14:paraId="51A5D8F6" w14:textId="62814250" w:rsidR="00D13CFD" w:rsidRPr="00162979" w:rsidRDefault="00D13CFD" w:rsidP="002F41FC">
            <w:pPr>
              <w:rPr>
                <w:rFonts w:cs="Arial"/>
                <w:lang w:val="en-US"/>
              </w:rPr>
            </w:pPr>
          </w:p>
          <w:p w14:paraId="13D9D4F3" w14:textId="26CB389C" w:rsidR="00D13CFD" w:rsidRPr="00162979" w:rsidRDefault="00D13CFD" w:rsidP="002F41FC">
            <w:pPr>
              <w:rPr>
                <w:rFonts w:cs="Arial"/>
                <w:lang w:val="en-US"/>
              </w:rPr>
            </w:pPr>
          </w:p>
          <w:p w14:paraId="5D477357" w14:textId="1920B310" w:rsidR="00D13CFD" w:rsidRPr="00162979" w:rsidRDefault="00D13CFD" w:rsidP="002F41FC">
            <w:pPr>
              <w:rPr>
                <w:rFonts w:cs="Arial"/>
                <w:lang w:val="en-US"/>
              </w:rPr>
            </w:pPr>
          </w:p>
          <w:p w14:paraId="16823A37" w14:textId="1D001BCF" w:rsidR="00D13CFD" w:rsidRPr="00162979" w:rsidRDefault="00D13CFD" w:rsidP="002F41FC">
            <w:pPr>
              <w:rPr>
                <w:rFonts w:cs="Arial"/>
                <w:lang w:val="en-US"/>
              </w:rPr>
            </w:pPr>
          </w:p>
          <w:p w14:paraId="2837A726" w14:textId="7A141333" w:rsidR="00D13CFD" w:rsidRPr="00162979" w:rsidRDefault="00D13CFD" w:rsidP="002F41FC">
            <w:pPr>
              <w:rPr>
                <w:rFonts w:cs="Arial"/>
                <w:lang w:val="en-US"/>
              </w:rPr>
            </w:pPr>
          </w:p>
          <w:p w14:paraId="6F3186C8" w14:textId="5A0C9F37" w:rsidR="00D13CFD" w:rsidRPr="00162979" w:rsidRDefault="00D13CFD" w:rsidP="002F41FC">
            <w:pPr>
              <w:rPr>
                <w:rFonts w:cs="Arial"/>
                <w:lang w:val="en-US"/>
              </w:rPr>
            </w:pPr>
          </w:p>
          <w:p w14:paraId="3144E4DC" w14:textId="3B0CAAA2" w:rsidR="00D13CFD" w:rsidRPr="00162979" w:rsidRDefault="00D13CFD" w:rsidP="002F41FC">
            <w:pPr>
              <w:rPr>
                <w:rFonts w:cs="Arial"/>
                <w:lang w:val="en-US"/>
              </w:rPr>
            </w:pPr>
          </w:p>
          <w:p w14:paraId="6FFAD31A" w14:textId="04818CE0" w:rsidR="00D13CFD" w:rsidRPr="00162979" w:rsidRDefault="00D13CFD" w:rsidP="002F41FC">
            <w:pPr>
              <w:rPr>
                <w:rFonts w:cs="Arial"/>
                <w:lang w:val="en-US"/>
              </w:rPr>
            </w:pPr>
          </w:p>
          <w:p w14:paraId="79062DBC" w14:textId="77777777" w:rsidR="00D13CFD" w:rsidRPr="00162979" w:rsidRDefault="00D13CFD" w:rsidP="002F41FC">
            <w:pPr>
              <w:rPr>
                <w:rFonts w:cs="Arial"/>
                <w:lang w:val="en-US"/>
              </w:rPr>
            </w:pPr>
          </w:p>
          <w:p w14:paraId="36C6C96C" w14:textId="6B9192F5" w:rsidR="002F41FC" w:rsidRPr="00162979" w:rsidRDefault="00CB68DE" w:rsidP="00E00CEC">
            <w:pPr>
              <w:jc w:val="both"/>
              <w:rPr>
                <w:rFonts w:cs="Arial"/>
                <w:lang w:val="en-US"/>
              </w:rPr>
            </w:pPr>
            <w:r w:rsidRPr="00CB68DE">
              <w:rPr>
                <w:rFonts w:cs="Arial"/>
                <w:lang w:val="en-US"/>
              </w:rPr>
              <w:t xml:space="preserve">The Partnership does not currently commit to invest in any “sustainable investment” within the meaning of the EU Taxonomy. </w:t>
            </w:r>
          </w:p>
          <w:p w14:paraId="7C5FC39E" w14:textId="729F0B95" w:rsidR="00834F3A" w:rsidRPr="00162979" w:rsidRDefault="00834F3A" w:rsidP="002F41FC">
            <w:pPr>
              <w:rPr>
                <w:rFonts w:cs="Arial"/>
                <w:lang w:val="en-US"/>
              </w:rPr>
            </w:pPr>
          </w:p>
          <w:p w14:paraId="361ACA1E" w14:textId="3075FD1C" w:rsidR="00834F3A" w:rsidRPr="00162979" w:rsidRDefault="00834F3A" w:rsidP="00834F3A">
            <w:pPr>
              <w:jc w:val="center"/>
              <w:rPr>
                <w:rFonts w:cs="Arial"/>
                <w:b/>
                <w:color w:val="0F243E" w:themeColor="text2" w:themeShade="80"/>
                <w:lang w:val="en-US"/>
              </w:rPr>
            </w:pPr>
          </w:p>
          <w:tbl>
            <w:tblPr>
              <w:tblStyle w:val="PlainTable11"/>
              <w:tblpPr w:leftFromText="180" w:rightFromText="180" w:vertAnchor="text" w:horzAnchor="margin" w:tblpXSpec="right" w:tblpY="-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DBF4"/>
              <w:tblLook w:val="04A0" w:firstRow="1" w:lastRow="0" w:firstColumn="1" w:lastColumn="0" w:noHBand="0" w:noVBand="1"/>
            </w:tblPr>
            <w:tblGrid>
              <w:gridCol w:w="3936"/>
              <w:gridCol w:w="3974"/>
            </w:tblGrid>
            <w:tr w:rsidR="007474EA" w:rsidRPr="00927A1B" w14:paraId="79928E13" w14:textId="77777777" w:rsidTr="007170F4">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AADBF4"/>
                  <w:hideMark/>
                </w:tcPr>
                <w:p w14:paraId="5C350876" w14:textId="77777777" w:rsidR="007474EA" w:rsidRPr="00927A1B" w:rsidRDefault="007474EA" w:rsidP="007474EA">
                  <w:pPr>
                    <w:spacing w:after="160" w:line="256" w:lineRule="auto"/>
                    <w:rPr>
                      <w:rFonts w:eastAsia="Calibri" w:cs="Arial"/>
                      <w:i/>
                      <w:iCs/>
                      <w:noProof/>
                      <w:color w:val="FAE9D7"/>
                      <w:sz w:val="18"/>
                      <w:szCs w:val="22"/>
                    </w:rPr>
                  </w:pPr>
                  <w:r w:rsidRPr="00927A1B">
                    <w:rPr>
                      <w:rFonts w:cs="Arial"/>
                      <w:i/>
                      <w:iCs/>
                      <w:noProof/>
                      <w:sz w:val="18"/>
                    </w:rPr>
                    <w:lastRenderedPageBreak/>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7474EA" w:rsidRPr="00927A1B" w14:paraId="0C26665D" w14:textId="77777777" w:rsidTr="007170F4">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AADBF4"/>
                  <w:hideMark/>
                </w:tcPr>
                <w:p w14:paraId="06616EBC" w14:textId="77777777" w:rsidR="007474EA" w:rsidRPr="00927A1B" w:rsidRDefault="007474EA" w:rsidP="007474EA">
                  <w:pPr>
                    <w:rPr>
                      <w:rFonts w:cs="Arial"/>
                      <w:b w:val="0"/>
                      <w:bCs w:val="0"/>
                      <w:noProof/>
                      <w:sz w:val="18"/>
                    </w:rPr>
                  </w:pPr>
                  <w:r w:rsidRPr="00927A1B">
                    <w:rPr>
                      <w:rFonts w:cs="Arial"/>
                      <w:noProof/>
                      <w:sz w:val="18"/>
                    </w:rPr>
                    <w:drawing>
                      <wp:inline distT="0" distB="0" distL="0" distR="0" wp14:anchorId="55C40535" wp14:editId="04666E1A">
                        <wp:extent cx="2359479" cy="1510393"/>
                        <wp:effectExtent l="0" t="0" r="31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974" w:type="dxa"/>
                  <w:shd w:val="clear" w:color="auto" w:fill="AADBF4"/>
                </w:tcPr>
                <w:p w14:paraId="62E1D146" w14:textId="77777777" w:rsidR="007474EA" w:rsidRPr="00927A1B" w:rsidRDefault="007474EA" w:rsidP="007474EA">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eastAsia="Calibri" w:cs="Arial"/>
                      <w:i/>
                      <w:iCs/>
                      <w:noProof/>
                      <w:sz w:val="18"/>
                      <w:szCs w:val="22"/>
                      <w:u w:val="single"/>
                    </w:rPr>
                  </w:pPr>
                  <w:r w:rsidRPr="00927A1B">
                    <w:rPr>
                      <w:rFonts w:cs="Arial"/>
                      <w:noProof/>
                      <w:sz w:val="18"/>
                    </w:rPr>
                    <w:drawing>
                      <wp:inline distT="0" distB="0" distL="0" distR="0" wp14:anchorId="5092BF50" wp14:editId="71641AE8">
                        <wp:extent cx="2359479" cy="1510393"/>
                        <wp:effectExtent l="0" t="0" r="31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474EA" w:rsidRPr="00927A1B" w14:paraId="67E84C4D" w14:textId="77777777" w:rsidTr="007170F4">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AADBF4"/>
                </w:tcPr>
                <w:p w14:paraId="3831C1E5" w14:textId="77777777" w:rsidR="007474EA" w:rsidRPr="00927A1B" w:rsidRDefault="007474EA" w:rsidP="007474EA">
                  <w:pPr>
                    <w:spacing w:after="160" w:line="256" w:lineRule="auto"/>
                    <w:ind w:left="37"/>
                    <w:rPr>
                      <w:rFonts w:cs="Arial"/>
                      <w:noProof/>
                      <w:sz w:val="18"/>
                    </w:rPr>
                  </w:pPr>
                  <w:r w:rsidRPr="00927A1B">
                    <w:rPr>
                      <w:rFonts w:cs="Arial"/>
                      <w:b w:val="0"/>
                      <w:noProof/>
                      <w:sz w:val="18"/>
                    </w:rPr>
                    <w:t xml:space="preserve">*  </w:t>
                  </w:r>
                  <w:r w:rsidRPr="00927A1B">
                    <w:rPr>
                      <w:rFonts w:cs="Arial"/>
                      <w:b w:val="0"/>
                      <w:i/>
                      <w:iCs/>
                      <w:noProof/>
                      <w:sz w:val="18"/>
                    </w:rPr>
                    <w:t xml:space="preserve"> For the purpose of these graphs, ‘sovereign bonds’ consist of  all sovereign exposures</w:t>
                  </w:r>
                </w:p>
              </w:tc>
            </w:tr>
          </w:tbl>
          <w:p w14:paraId="29A89377" w14:textId="13DA435E" w:rsidR="00834F3A" w:rsidRPr="00162979" w:rsidRDefault="00834F3A" w:rsidP="002F41FC">
            <w:pPr>
              <w:rPr>
                <w:rFonts w:cs="Arial"/>
                <w:b/>
                <w:color w:val="0F243E" w:themeColor="text2" w:themeShade="80"/>
                <w:lang w:val="en-US"/>
              </w:rPr>
            </w:pPr>
          </w:p>
        </w:tc>
      </w:tr>
      <w:tr w:rsidR="002F41FC" w:rsidRPr="00162979" w14:paraId="254EC5C7" w14:textId="77777777" w:rsidTr="00FE10DA">
        <w:trPr>
          <w:trHeight w:val="566"/>
        </w:trPr>
        <w:tc>
          <w:tcPr>
            <w:tcW w:w="9286" w:type="dxa"/>
            <w:gridSpan w:val="2"/>
            <w:shd w:val="clear" w:color="auto" w:fill="FFFFFF" w:themeFill="background1"/>
            <w:vAlign w:val="center"/>
          </w:tcPr>
          <w:p w14:paraId="3C3A5800" w14:textId="5948EA84" w:rsidR="002F41FC" w:rsidRPr="00162979" w:rsidRDefault="002F41FC" w:rsidP="002F41FC">
            <w:pPr>
              <w:jc w:val="center"/>
              <w:rPr>
                <w:rFonts w:cs="Arial"/>
                <w:b/>
                <w:color w:val="0F243E" w:themeColor="text2" w:themeShade="80"/>
                <w:lang w:val="en-US"/>
              </w:rPr>
            </w:pPr>
            <w:r w:rsidRPr="00162979">
              <w:rPr>
                <w:rFonts w:cs="Arial"/>
                <w:b/>
                <w:color w:val="0F243E" w:themeColor="text2" w:themeShade="80"/>
                <w:lang w:val="en-US"/>
              </w:rPr>
              <w:lastRenderedPageBreak/>
              <w:t>What is the minimum share of sustainable investments with an environmental objective that are not aligned with the EU Taxonomy?</w:t>
            </w:r>
          </w:p>
        </w:tc>
      </w:tr>
      <w:tr w:rsidR="002F41FC" w:rsidRPr="00162979" w14:paraId="38B2AD01" w14:textId="77777777" w:rsidTr="00FE10DA">
        <w:trPr>
          <w:trHeight w:val="566"/>
        </w:trPr>
        <w:tc>
          <w:tcPr>
            <w:tcW w:w="9286" w:type="dxa"/>
            <w:gridSpan w:val="2"/>
            <w:shd w:val="clear" w:color="auto" w:fill="FFFFFF" w:themeFill="background1"/>
            <w:vAlign w:val="center"/>
          </w:tcPr>
          <w:p w14:paraId="7990EB62" w14:textId="77777777" w:rsidR="00451C1F" w:rsidRDefault="00451C1F" w:rsidP="002F41FC">
            <w:pPr>
              <w:rPr>
                <w:rFonts w:cs="Arial"/>
                <w:lang w:val="en-US"/>
              </w:rPr>
            </w:pPr>
          </w:p>
          <w:p w14:paraId="553109F2" w14:textId="77777777" w:rsidR="002F41FC" w:rsidRDefault="00721271" w:rsidP="002F41FC">
            <w:pPr>
              <w:rPr>
                <w:rFonts w:cs="Arial"/>
                <w:lang w:val="en-US"/>
              </w:rPr>
            </w:pPr>
            <w:r w:rsidRPr="00721271">
              <w:rPr>
                <w:rFonts w:cs="Arial"/>
                <w:lang w:val="en-US"/>
              </w:rPr>
              <w:t>As the Partnership does not commit to invest any “sustainable investment” within the meaning of the EU Taxonomy, the minimum share of investments in transitional and enabling activities within the meaning of the EU Taxonomy is therefore also set at 0%.</w:t>
            </w:r>
          </w:p>
          <w:p w14:paraId="713FD3F1" w14:textId="47A30CDB" w:rsidR="00451C1F" w:rsidRPr="00162979" w:rsidRDefault="00451C1F" w:rsidP="002F41FC">
            <w:pPr>
              <w:rPr>
                <w:rFonts w:cs="Arial"/>
                <w:lang w:val="en-US"/>
              </w:rPr>
            </w:pPr>
          </w:p>
        </w:tc>
      </w:tr>
      <w:tr w:rsidR="002F41FC" w:rsidRPr="00162979" w14:paraId="0D267741" w14:textId="77777777" w:rsidTr="00FE10DA">
        <w:trPr>
          <w:trHeight w:val="566"/>
        </w:trPr>
        <w:tc>
          <w:tcPr>
            <w:tcW w:w="9286" w:type="dxa"/>
            <w:gridSpan w:val="2"/>
            <w:shd w:val="clear" w:color="auto" w:fill="FFFFFF" w:themeFill="background1"/>
            <w:vAlign w:val="center"/>
          </w:tcPr>
          <w:p w14:paraId="56942A45" w14:textId="2557E2E2" w:rsidR="002F41FC" w:rsidRPr="00162979" w:rsidRDefault="002F41FC" w:rsidP="002F41FC">
            <w:pPr>
              <w:jc w:val="center"/>
              <w:rPr>
                <w:rFonts w:cs="Arial"/>
                <w:b/>
                <w:color w:val="0F243E" w:themeColor="text2" w:themeShade="80"/>
                <w:lang w:val="en-US"/>
              </w:rPr>
            </w:pPr>
            <w:r w:rsidRPr="00162979">
              <w:rPr>
                <w:rFonts w:cs="Arial"/>
                <w:b/>
                <w:color w:val="0F243E" w:themeColor="text2" w:themeShade="80"/>
                <w:lang w:val="en-US"/>
              </w:rPr>
              <w:t xml:space="preserve">What is the minimum share of sustainable investments with a social objective? </w:t>
            </w:r>
          </w:p>
        </w:tc>
      </w:tr>
      <w:tr w:rsidR="002F41FC" w:rsidRPr="00162979" w14:paraId="2059114B" w14:textId="77777777" w:rsidTr="00FE10DA">
        <w:trPr>
          <w:trHeight w:val="566"/>
        </w:trPr>
        <w:tc>
          <w:tcPr>
            <w:tcW w:w="9286" w:type="dxa"/>
            <w:gridSpan w:val="2"/>
            <w:shd w:val="clear" w:color="auto" w:fill="FFFFFF" w:themeFill="background1"/>
            <w:vAlign w:val="center"/>
          </w:tcPr>
          <w:p w14:paraId="04DFFF7D" w14:textId="5D898AAC" w:rsidR="002F41FC" w:rsidRPr="00162979" w:rsidRDefault="00721271" w:rsidP="002F41FC">
            <w:pPr>
              <w:rPr>
                <w:rFonts w:cs="Arial"/>
                <w:b/>
                <w:color w:val="0F243E" w:themeColor="text2" w:themeShade="80"/>
                <w:lang w:val="en-US"/>
              </w:rPr>
            </w:pPr>
            <w:r>
              <w:rPr>
                <w:rFonts w:cs="Arial"/>
                <w:lang w:val="en-US"/>
              </w:rPr>
              <w:t>Not applicable.</w:t>
            </w:r>
          </w:p>
        </w:tc>
      </w:tr>
      <w:tr w:rsidR="002F41FC" w:rsidRPr="00162979" w14:paraId="2E5B38B2" w14:textId="77777777" w:rsidTr="00FE10DA">
        <w:trPr>
          <w:trHeight w:val="566"/>
        </w:trPr>
        <w:tc>
          <w:tcPr>
            <w:tcW w:w="9286" w:type="dxa"/>
            <w:gridSpan w:val="2"/>
            <w:shd w:val="clear" w:color="auto" w:fill="FFFFFF" w:themeFill="background1"/>
            <w:vAlign w:val="center"/>
          </w:tcPr>
          <w:p w14:paraId="2D1F8C6F" w14:textId="10A72074" w:rsidR="002F41FC" w:rsidRPr="00162979" w:rsidRDefault="002F41FC" w:rsidP="002F41FC">
            <w:pPr>
              <w:jc w:val="center"/>
              <w:rPr>
                <w:rFonts w:ascii="Calibri" w:hAnsi="Calibri" w:cs="Arial"/>
                <w:b/>
                <w:color w:val="FFFFFF" w:themeColor="background1"/>
                <w:lang w:val="en-US"/>
              </w:rPr>
            </w:pPr>
            <w:r w:rsidRPr="00162979">
              <w:rPr>
                <w:rFonts w:cs="Arial"/>
                <w:b/>
                <w:color w:val="0F243E" w:themeColor="text2" w:themeShade="80"/>
                <w:lang w:val="en-US"/>
              </w:rPr>
              <w:t>What investments are included under “#2 Other”, what is their purpose and are there any minimum environmental or social safeguards?</w:t>
            </w:r>
          </w:p>
        </w:tc>
      </w:tr>
      <w:tr w:rsidR="002F41FC" w:rsidRPr="00162979" w14:paraId="59740DC5" w14:textId="77777777" w:rsidTr="0090565E">
        <w:trPr>
          <w:trHeight w:val="942"/>
        </w:trPr>
        <w:tc>
          <w:tcPr>
            <w:tcW w:w="9286" w:type="dxa"/>
            <w:gridSpan w:val="2"/>
            <w:vAlign w:val="center"/>
          </w:tcPr>
          <w:p w14:paraId="143DBA3F" w14:textId="77777777" w:rsidR="00451C1F" w:rsidRDefault="00451C1F" w:rsidP="00E00CEC">
            <w:pPr>
              <w:jc w:val="both"/>
              <w:rPr>
                <w:rFonts w:ascii="Calibri" w:hAnsi="Calibri" w:cs="Arial"/>
                <w:lang w:val="en-US"/>
              </w:rPr>
            </w:pPr>
          </w:p>
          <w:p w14:paraId="7871FD84" w14:textId="77777777" w:rsidR="002F41FC" w:rsidRDefault="00633CDD" w:rsidP="00E00CEC">
            <w:pPr>
              <w:jc w:val="both"/>
              <w:rPr>
                <w:rFonts w:ascii="Calibri" w:hAnsi="Calibri" w:cs="Arial"/>
                <w:lang w:val="en-US"/>
              </w:rPr>
            </w:pPr>
            <w:r w:rsidRPr="00633CDD">
              <w:rPr>
                <w:rFonts w:ascii="Calibri" w:hAnsi="Calibri" w:cs="Arial"/>
                <w:lang w:val="en-US"/>
              </w:rPr>
              <w:t>The “Other” investments may include investments in liquid assets (cash) held for the purposes of servicing the day-to-day requirements of the Partnership or investments for which there is insufficient data for them to be considered ESG-related Investment. This lack of data along with the intended use of this portion of the portfolio, precludes the existence of any E/S safeguards from being in place.</w:t>
            </w:r>
          </w:p>
          <w:p w14:paraId="7C9ACB3E" w14:textId="1F1EB77D" w:rsidR="00451C1F" w:rsidRPr="00162979" w:rsidRDefault="00451C1F" w:rsidP="00E00CEC">
            <w:pPr>
              <w:jc w:val="both"/>
              <w:rPr>
                <w:rFonts w:ascii="Calibri" w:hAnsi="Calibri" w:cs="Arial"/>
                <w:lang w:val="en-US"/>
              </w:rPr>
            </w:pPr>
          </w:p>
        </w:tc>
      </w:tr>
    </w:tbl>
    <w:p w14:paraId="7D46FFA8" w14:textId="16F33421" w:rsidR="00136266" w:rsidRPr="00162979" w:rsidRDefault="00136266" w:rsidP="002C5C97">
      <w:pPr>
        <w:spacing w:after="0" w:line="240" w:lineRule="auto"/>
        <w:rPr>
          <w:rFonts w:ascii="Calibri" w:hAnsi="Calibri" w:cs="Arial"/>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25"/>
        <w:gridCol w:w="7935"/>
      </w:tblGrid>
      <w:tr w:rsidR="00123FE6" w:rsidRPr="00162979" w14:paraId="2E367C5C" w14:textId="77777777" w:rsidTr="0028273D">
        <w:trPr>
          <w:trHeight w:val="510"/>
        </w:trPr>
        <w:tc>
          <w:tcPr>
            <w:tcW w:w="1125" w:type="dxa"/>
            <w:shd w:val="clear" w:color="auto" w:fill="17365D" w:themeFill="text2" w:themeFillShade="BF"/>
            <w:vAlign w:val="center"/>
          </w:tcPr>
          <w:p w14:paraId="079AB26A" w14:textId="77777777" w:rsidR="00123FE6" w:rsidRPr="00162979" w:rsidRDefault="00E071A1" w:rsidP="00E071A1">
            <w:pPr>
              <w:jc w:val="center"/>
              <w:rPr>
                <w:rFonts w:ascii="Calibri" w:hAnsi="Calibri" w:cs="Arial"/>
                <w:b/>
                <w:color w:val="FFFFFF" w:themeColor="background1"/>
                <w:lang w:val="en-US"/>
              </w:rPr>
            </w:pPr>
            <w:r w:rsidRPr="00162979">
              <w:rPr>
                <w:noProof/>
                <w:lang w:val="en-US" w:eastAsia="en-GB"/>
              </w:rPr>
              <w:drawing>
                <wp:inline distT="0" distB="0" distL="0" distR="0" wp14:anchorId="2EF582B5" wp14:editId="1BA41AA5">
                  <wp:extent cx="577683" cy="57001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clrChange>
                              <a:clrFrom>
                                <a:srgbClr val="FFFFFF"/>
                              </a:clrFrom>
                              <a:clrTo>
                                <a:srgbClr val="FFFFFF">
                                  <a:alpha val="0"/>
                                </a:srgbClr>
                              </a:clrTo>
                            </a:clrChange>
                            <a:lum bright="70000" contrast="-70000"/>
                          </a:blip>
                          <a:stretch>
                            <a:fillRect/>
                          </a:stretch>
                        </pic:blipFill>
                        <pic:spPr>
                          <a:xfrm>
                            <a:off x="0" y="0"/>
                            <a:ext cx="577102" cy="569442"/>
                          </a:xfrm>
                          <a:prstGeom prst="rect">
                            <a:avLst/>
                          </a:prstGeom>
                        </pic:spPr>
                      </pic:pic>
                    </a:graphicData>
                  </a:graphic>
                </wp:inline>
              </w:drawing>
            </w:r>
          </w:p>
        </w:tc>
        <w:tc>
          <w:tcPr>
            <w:tcW w:w="8161" w:type="dxa"/>
            <w:shd w:val="clear" w:color="auto" w:fill="17365D" w:themeFill="text2" w:themeFillShade="BF"/>
            <w:vAlign w:val="center"/>
          </w:tcPr>
          <w:p w14:paraId="54BB3D96" w14:textId="0C9FDAF3" w:rsidR="00123FE6"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Monitoring of environmental or social characteristics</w:t>
            </w:r>
          </w:p>
        </w:tc>
      </w:tr>
      <w:tr w:rsidR="002F41FC" w:rsidRPr="00162979" w14:paraId="14B8875D" w14:textId="77777777" w:rsidTr="00FE10DA">
        <w:trPr>
          <w:trHeight w:val="791"/>
        </w:trPr>
        <w:tc>
          <w:tcPr>
            <w:tcW w:w="9286" w:type="dxa"/>
            <w:gridSpan w:val="2"/>
            <w:shd w:val="clear" w:color="auto" w:fill="FFFFFF" w:themeFill="background1"/>
            <w:vAlign w:val="center"/>
          </w:tcPr>
          <w:p w14:paraId="61625735" w14:textId="556D3127" w:rsidR="002F41FC" w:rsidRPr="00162979" w:rsidRDefault="002F41FC" w:rsidP="00524C74">
            <w:pPr>
              <w:jc w:val="center"/>
              <w:rPr>
                <w:rFonts w:cs="Arial"/>
                <w:b/>
                <w:color w:val="0F243E" w:themeColor="text2" w:themeShade="80"/>
                <w:lang w:val="en-US"/>
              </w:rPr>
            </w:pPr>
            <w:r w:rsidRPr="00162979">
              <w:rPr>
                <w:rFonts w:cs="Arial"/>
                <w:b/>
                <w:color w:val="0F243E" w:themeColor="text2" w:themeShade="80"/>
                <w:lang w:val="en-US"/>
              </w:rPr>
              <w:t>What sustainability indicators are used to measure the attainment of the environmental or social characteristics promoted by this financial product?</w:t>
            </w:r>
          </w:p>
        </w:tc>
      </w:tr>
      <w:tr w:rsidR="002F41FC" w:rsidRPr="00162979" w14:paraId="2C55E2E8" w14:textId="77777777" w:rsidTr="00FE10DA">
        <w:trPr>
          <w:trHeight w:val="791"/>
        </w:trPr>
        <w:tc>
          <w:tcPr>
            <w:tcW w:w="9286" w:type="dxa"/>
            <w:gridSpan w:val="2"/>
            <w:shd w:val="clear" w:color="auto" w:fill="FFFFFF" w:themeFill="background1"/>
            <w:vAlign w:val="center"/>
          </w:tcPr>
          <w:p w14:paraId="4C5F2675" w14:textId="77777777" w:rsidR="00451C1F" w:rsidRDefault="00451C1F" w:rsidP="00DA1561">
            <w:pPr>
              <w:spacing w:after="160" w:line="259" w:lineRule="auto"/>
              <w:jc w:val="both"/>
              <w:rPr>
                <w:rFonts w:eastAsia="Calibri" w:cs="Arial"/>
                <w:noProof/>
              </w:rPr>
            </w:pPr>
          </w:p>
          <w:p w14:paraId="676C79E6" w14:textId="48179941" w:rsidR="00DA1561" w:rsidRPr="00C70159" w:rsidRDefault="00DA1561" w:rsidP="00DA1561">
            <w:pPr>
              <w:spacing w:after="160" w:line="259" w:lineRule="auto"/>
              <w:jc w:val="both"/>
              <w:rPr>
                <w:rFonts w:eastAsia="Calibri" w:cs="Arial"/>
                <w:noProof/>
              </w:rPr>
            </w:pPr>
            <w:r w:rsidRPr="00C70159">
              <w:rPr>
                <w:rFonts w:eastAsia="Calibri" w:cs="Arial"/>
                <w:noProof/>
              </w:rPr>
              <w:t xml:space="preserve">The Partnership will choose at least one adequate </w:t>
            </w:r>
            <w:r>
              <w:rPr>
                <w:rFonts w:eastAsia="Calibri" w:cs="Arial"/>
                <w:noProof/>
              </w:rPr>
              <w:t>s</w:t>
            </w:r>
            <w:r w:rsidRPr="00C70159">
              <w:rPr>
                <w:rFonts w:eastAsia="Calibri" w:cs="Arial"/>
                <w:noProof/>
              </w:rPr>
              <w:t xml:space="preserve">ustainability </w:t>
            </w:r>
            <w:r>
              <w:rPr>
                <w:rFonts w:eastAsia="Calibri" w:cs="Arial"/>
                <w:noProof/>
              </w:rPr>
              <w:t>i</w:t>
            </w:r>
            <w:r w:rsidRPr="00C70159">
              <w:rPr>
                <w:rFonts w:eastAsia="Calibri" w:cs="Arial"/>
                <w:noProof/>
              </w:rPr>
              <w:t xml:space="preserve">ndicator as set out below to measure the attainment of each of the </w:t>
            </w:r>
            <w:r>
              <w:rPr>
                <w:rFonts w:eastAsia="Calibri" w:cs="Arial"/>
                <w:noProof/>
              </w:rPr>
              <w:t>E/S Characteristics</w:t>
            </w:r>
            <w:r w:rsidRPr="00C70159">
              <w:rPr>
                <w:rFonts w:eastAsia="Calibri" w:cs="Arial"/>
                <w:noProof/>
              </w:rPr>
              <w:t xml:space="preserve"> it promotes</w:t>
            </w:r>
            <w:r>
              <w:rPr>
                <w:rFonts w:eastAsia="Calibri" w:cs="Arial"/>
                <w:noProof/>
              </w:rPr>
              <w:t xml:space="preserve"> (“</w:t>
            </w:r>
            <w:r w:rsidRPr="00E412A5">
              <w:rPr>
                <w:rFonts w:eastAsia="Calibri" w:cs="Arial"/>
                <w:b/>
                <w:noProof/>
              </w:rPr>
              <w:t>Sustainability Indicator</w:t>
            </w:r>
            <w:r>
              <w:rPr>
                <w:rFonts w:eastAsia="Calibri" w:cs="Arial"/>
                <w:noProof/>
              </w:rPr>
              <w:t>”)</w:t>
            </w:r>
            <w:r w:rsidRPr="00C70159">
              <w:rPr>
                <w:rFonts w:eastAsia="Calibri" w:cs="Arial"/>
                <w:noProof/>
              </w:rPr>
              <w:t xml:space="preserve">. </w:t>
            </w:r>
          </w:p>
          <w:p w14:paraId="478D5262" w14:textId="097D9F26" w:rsidR="00DA1561" w:rsidRPr="00C70159" w:rsidRDefault="00DA1561" w:rsidP="00E00CEC">
            <w:pPr>
              <w:spacing w:after="160" w:line="259" w:lineRule="auto"/>
              <w:jc w:val="both"/>
              <w:rPr>
                <w:rFonts w:eastAsia="Calibri" w:cs="Arial"/>
                <w:noProof/>
              </w:rPr>
            </w:pPr>
            <w:r w:rsidRPr="00C70159">
              <w:rPr>
                <w:rFonts w:eastAsia="Calibri" w:cs="Arial"/>
                <w:noProof/>
              </w:rPr>
              <w:t xml:space="preserve">Where none of the following Sustainability Indicators can be applied to individual E/S </w:t>
            </w:r>
            <w:r>
              <w:rPr>
                <w:rFonts w:eastAsia="Calibri" w:cs="Arial"/>
                <w:noProof/>
              </w:rPr>
              <w:t>C</w:t>
            </w:r>
            <w:r w:rsidRPr="00C70159">
              <w:rPr>
                <w:rFonts w:eastAsia="Calibri" w:cs="Arial"/>
                <w:noProof/>
              </w:rPr>
              <w:t>haracteristic</w:t>
            </w:r>
            <w:r>
              <w:rPr>
                <w:rFonts w:eastAsia="Calibri" w:cs="Arial"/>
                <w:noProof/>
              </w:rPr>
              <w:t>s</w:t>
            </w:r>
            <w:r w:rsidRPr="00C70159">
              <w:rPr>
                <w:rFonts w:eastAsia="Calibri" w:cs="Arial"/>
                <w:noProof/>
              </w:rPr>
              <w:t xml:space="preserve"> with a reasonable economic effort for the Partnership and/or the respective </w:t>
            </w:r>
            <w:r>
              <w:rPr>
                <w:rFonts w:eastAsia="Calibri" w:cs="Arial"/>
                <w:noProof/>
              </w:rPr>
              <w:t>portfolio company</w:t>
            </w:r>
            <w:r w:rsidRPr="00C70159">
              <w:rPr>
                <w:rFonts w:eastAsia="Calibri" w:cs="Arial"/>
                <w:noProof/>
              </w:rPr>
              <w:t>, the Partnership may review and adjust the respective Sustainability Indicator.</w:t>
            </w:r>
          </w:p>
          <w:tbl>
            <w:tblPr>
              <w:tblStyle w:val="Tabellenraster2"/>
              <w:tblpPr w:leftFromText="141" w:rightFromText="141" w:vertAnchor="text" w:horzAnchor="page" w:tblpX="2191" w:tblpY="14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22"/>
            </w:tblGrid>
            <w:tr w:rsidR="00DD2890" w:rsidRPr="00381D91" w14:paraId="54B1C9F1" w14:textId="77777777" w:rsidTr="00D9586D">
              <w:trPr>
                <w:cantSplit/>
              </w:trPr>
              <w:tc>
                <w:tcPr>
                  <w:tcW w:w="2500" w:type="pct"/>
                </w:tcPr>
                <w:p w14:paraId="5641F3D4" w14:textId="77777777" w:rsidR="00DD2890" w:rsidRPr="00C80BC6" w:rsidRDefault="00DD2890" w:rsidP="00DD2890">
                  <w:pPr>
                    <w:spacing w:after="120" w:line="312" w:lineRule="auto"/>
                    <w:ind w:left="171"/>
                    <w:rPr>
                      <w:rFonts w:eastAsia="Arial"/>
                      <w:b/>
                      <w:sz w:val="18"/>
                      <w:lang w:val="en-US"/>
                    </w:rPr>
                  </w:pPr>
                  <w:r w:rsidRPr="00C80BC6">
                    <w:rPr>
                      <w:rFonts w:eastAsia="Arial"/>
                      <w:b/>
                      <w:sz w:val="18"/>
                      <w:lang w:val="en-US"/>
                    </w:rPr>
                    <w:lastRenderedPageBreak/>
                    <w:t>Environmental characteristics</w:t>
                  </w:r>
                </w:p>
              </w:tc>
              <w:tc>
                <w:tcPr>
                  <w:tcW w:w="2500" w:type="pct"/>
                </w:tcPr>
                <w:p w14:paraId="3B33FE5B" w14:textId="77777777" w:rsidR="00DD2890" w:rsidRPr="00C80BC6" w:rsidRDefault="00DD2890" w:rsidP="00DD2890">
                  <w:pPr>
                    <w:spacing w:after="120" w:line="312" w:lineRule="auto"/>
                    <w:rPr>
                      <w:rFonts w:eastAsia="Arial"/>
                      <w:b/>
                      <w:sz w:val="18"/>
                      <w:lang w:val="en-US"/>
                    </w:rPr>
                  </w:pPr>
                  <w:r w:rsidRPr="00C80BC6">
                    <w:rPr>
                      <w:rFonts w:eastAsia="Arial"/>
                      <w:b/>
                      <w:sz w:val="18"/>
                      <w:lang w:val="en-US"/>
                    </w:rPr>
                    <w:t>Sustainability Indicators</w:t>
                  </w:r>
                </w:p>
              </w:tc>
            </w:tr>
            <w:tr w:rsidR="00DD2890" w:rsidRPr="00381D91" w14:paraId="09D048BB" w14:textId="77777777" w:rsidTr="00D9586D">
              <w:trPr>
                <w:cantSplit/>
              </w:trPr>
              <w:tc>
                <w:tcPr>
                  <w:tcW w:w="2500" w:type="pct"/>
                </w:tcPr>
                <w:p w14:paraId="44F49CF5" w14:textId="7A131BD5" w:rsidR="00DD2890" w:rsidRPr="00D536FB" w:rsidRDefault="00D536FB" w:rsidP="00D536FB">
                  <w:pPr>
                    <w:numPr>
                      <w:ilvl w:val="0"/>
                      <w:numId w:val="28"/>
                    </w:numPr>
                    <w:spacing w:after="120" w:line="312" w:lineRule="auto"/>
                    <w:rPr>
                      <w:rFonts w:eastAsia="Arial"/>
                      <w:sz w:val="18"/>
                      <w:lang w:val="en-US"/>
                    </w:rPr>
                  </w:pPr>
                  <w:r>
                    <w:rPr>
                      <w:rFonts w:eastAsia="Arial"/>
                      <w:sz w:val="18"/>
                      <w:lang w:val="en-US"/>
                    </w:rPr>
                    <w:t xml:space="preserve">Carbon </w:t>
                  </w:r>
                  <w:r w:rsidR="00DD2890" w:rsidRPr="00C80BC6">
                    <w:rPr>
                      <w:rFonts w:eastAsia="Arial"/>
                      <w:sz w:val="18"/>
                      <w:lang w:val="en-US"/>
                    </w:rPr>
                    <w:t xml:space="preserve">Emissions reduction </w:t>
                  </w:r>
                </w:p>
              </w:tc>
              <w:tc>
                <w:tcPr>
                  <w:tcW w:w="2500" w:type="pct"/>
                </w:tcPr>
                <w:p w14:paraId="3E9BF3FF" w14:textId="1F80259C" w:rsidR="00D536FB" w:rsidRDefault="00D536FB" w:rsidP="00DD2890">
                  <w:pPr>
                    <w:spacing w:after="120" w:line="312" w:lineRule="auto"/>
                    <w:rPr>
                      <w:rFonts w:eastAsia="Arial"/>
                      <w:sz w:val="18"/>
                      <w:lang w:val="en-US"/>
                    </w:rPr>
                  </w:pPr>
                  <w:r>
                    <w:rPr>
                      <w:rFonts w:eastAsia="Arial"/>
                      <w:sz w:val="18"/>
                      <w:lang w:val="en-US"/>
                    </w:rPr>
                    <w:t>Carbon emissions (tons)</w:t>
                  </w:r>
                </w:p>
                <w:p w14:paraId="122F963C" w14:textId="1174AB45" w:rsidR="00D536FB" w:rsidRDefault="00D536FB" w:rsidP="00DD2890">
                  <w:pPr>
                    <w:spacing w:after="120" w:line="312" w:lineRule="auto"/>
                    <w:rPr>
                      <w:rFonts w:eastAsia="Arial"/>
                      <w:sz w:val="18"/>
                      <w:lang w:val="en-US"/>
                    </w:rPr>
                  </w:pPr>
                  <w:r>
                    <w:rPr>
                      <w:rFonts w:eastAsia="Arial"/>
                      <w:sz w:val="18"/>
                      <w:lang w:val="en-US"/>
                    </w:rPr>
                    <w:t>Carbon intensity (tons/</w:t>
                  </w:r>
                  <w:proofErr w:type="spellStart"/>
                  <w:r>
                    <w:rPr>
                      <w:rFonts w:eastAsia="Arial"/>
                      <w:sz w:val="18"/>
                      <w:lang w:val="en-US"/>
                    </w:rPr>
                    <w:t>EURm</w:t>
                  </w:r>
                  <w:proofErr w:type="spellEnd"/>
                  <w:r>
                    <w:rPr>
                      <w:rFonts w:eastAsia="Arial"/>
                      <w:sz w:val="18"/>
                      <w:lang w:val="en-US"/>
                    </w:rPr>
                    <w:t>)</w:t>
                  </w:r>
                </w:p>
                <w:p w14:paraId="773632E0" w14:textId="4A1FBCD4" w:rsidR="00DD2890" w:rsidRPr="00C80BC6" w:rsidRDefault="00DD2890" w:rsidP="00DD2890">
                  <w:pPr>
                    <w:spacing w:after="120" w:line="312" w:lineRule="auto"/>
                    <w:rPr>
                      <w:rFonts w:eastAsia="Arial"/>
                      <w:sz w:val="18"/>
                      <w:lang w:val="en-US"/>
                    </w:rPr>
                  </w:pPr>
                  <w:r w:rsidRPr="00C80BC6">
                    <w:rPr>
                      <w:rFonts w:eastAsia="Arial"/>
                      <w:sz w:val="18"/>
                      <w:lang w:val="en-US"/>
                    </w:rPr>
                    <w:t>Energy consumption density (GWh/</w:t>
                  </w:r>
                  <w:proofErr w:type="spellStart"/>
                  <w:r w:rsidRPr="00C80BC6">
                    <w:rPr>
                      <w:rFonts w:eastAsia="Arial"/>
                      <w:sz w:val="18"/>
                      <w:lang w:val="en-US"/>
                    </w:rPr>
                    <w:t>EURm</w:t>
                  </w:r>
                  <w:proofErr w:type="spellEnd"/>
                  <w:r w:rsidRPr="00C80BC6">
                    <w:rPr>
                      <w:rFonts w:eastAsia="Arial"/>
                      <w:sz w:val="18"/>
                      <w:lang w:val="en-US"/>
                    </w:rPr>
                    <w:t xml:space="preserve">) </w:t>
                  </w:r>
                </w:p>
                <w:p w14:paraId="192A60CD" w14:textId="4E32401C" w:rsidR="00DD2890" w:rsidRPr="00C80BC6" w:rsidRDefault="00D536FB" w:rsidP="00DD2890">
                  <w:pPr>
                    <w:spacing w:after="120" w:line="312" w:lineRule="auto"/>
                    <w:rPr>
                      <w:rFonts w:eastAsia="Arial"/>
                      <w:sz w:val="18"/>
                      <w:lang w:val="en-US"/>
                    </w:rPr>
                  </w:pPr>
                  <w:r w:rsidRPr="00D536FB">
                    <w:rPr>
                      <w:rFonts w:eastAsia="Arial"/>
                      <w:sz w:val="18"/>
                      <w:lang w:val="en-US"/>
                    </w:rPr>
                    <w:t>% of portfolio companies that have implemented a strategy to reduce</w:t>
                  </w:r>
                  <w:r>
                    <w:rPr>
                      <w:rFonts w:eastAsia="Arial"/>
                      <w:sz w:val="18"/>
                      <w:lang w:val="en-US"/>
                    </w:rPr>
                    <w:t xml:space="preserve"> carbon</w:t>
                  </w:r>
                  <w:r w:rsidRPr="00D536FB">
                    <w:rPr>
                      <w:rFonts w:eastAsia="Arial"/>
                      <w:sz w:val="18"/>
                      <w:lang w:val="en-US"/>
                    </w:rPr>
                    <w:t xml:space="preserve"> emissions</w:t>
                  </w:r>
                </w:p>
              </w:tc>
            </w:tr>
            <w:tr w:rsidR="00DD2890" w:rsidRPr="00381D91" w14:paraId="320C16A1" w14:textId="77777777" w:rsidTr="00D9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0" w:type="pct"/>
                  <w:tcBorders>
                    <w:top w:val="nil"/>
                    <w:left w:val="nil"/>
                    <w:bottom w:val="nil"/>
                    <w:right w:val="nil"/>
                  </w:tcBorders>
                </w:tcPr>
                <w:p w14:paraId="1682E083" w14:textId="77777777" w:rsidR="00DD2890" w:rsidRPr="00C80BC6" w:rsidRDefault="00DD2890" w:rsidP="00DD2890">
                  <w:pPr>
                    <w:spacing w:after="120" w:line="312" w:lineRule="auto"/>
                    <w:ind w:left="313"/>
                    <w:rPr>
                      <w:rFonts w:eastAsia="Arial"/>
                      <w:b/>
                      <w:sz w:val="18"/>
                      <w:lang w:val="en-US"/>
                    </w:rPr>
                  </w:pPr>
                  <w:r w:rsidRPr="00C80BC6">
                    <w:rPr>
                      <w:rFonts w:eastAsia="Arial"/>
                      <w:b/>
                      <w:sz w:val="18"/>
                      <w:lang w:val="en-US"/>
                    </w:rPr>
                    <w:t>Social characteristics</w:t>
                  </w:r>
                </w:p>
              </w:tc>
              <w:tc>
                <w:tcPr>
                  <w:tcW w:w="2500" w:type="pct"/>
                  <w:tcBorders>
                    <w:top w:val="nil"/>
                    <w:left w:val="nil"/>
                    <w:bottom w:val="nil"/>
                    <w:right w:val="nil"/>
                  </w:tcBorders>
                </w:tcPr>
                <w:p w14:paraId="35EBCC5F" w14:textId="77777777" w:rsidR="00DD2890" w:rsidRPr="00C80BC6" w:rsidRDefault="00DD2890" w:rsidP="00DD2890">
                  <w:pPr>
                    <w:spacing w:after="120" w:line="312" w:lineRule="auto"/>
                    <w:ind w:left="314"/>
                    <w:rPr>
                      <w:rFonts w:eastAsia="Arial"/>
                      <w:b/>
                      <w:sz w:val="18"/>
                      <w:lang w:val="en-US"/>
                    </w:rPr>
                  </w:pPr>
                  <w:r w:rsidRPr="00C80BC6">
                    <w:rPr>
                      <w:rFonts w:eastAsia="Arial"/>
                      <w:b/>
                      <w:sz w:val="18"/>
                      <w:lang w:val="en-US"/>
                    </w:rPr>
                    <w:t>Sustainability Indicators</w:t>
                  </w:r>
                </w:p>
              </w:tc>
            </w:tr>
            <w:tr w:rsidR="00DD2890" w:rsidRPr="00381D91" w14:paraId="63383DFA" w14:textId="77777777" w:rsidTr="00D95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0" w:type="pct"/>
                  <w:tcBorders>
                    <w:top w:val="nil"/>
                    <w:left w:val="nil"/>
                    <w:bottom w:val="nil"/>
                    <w:right w:val="nil"/>
                  </w:tcBorders>
                </w:tcPr>
                <w:p w14:paraId="14CCE838" w14:textId="77777777" w:rsidR="00DD2890" w:rsidRPr="00C80BC6" w:rsidRDefault="00DD2890" w:rsidP="00DD2890">
                  <w:pPr>
                    <w:numPr>
                      <w:ilvl w:val="0"/>
                      <w:numId w:val="29"/>
                    </w:numPr>
                    <w:spacing w:after="120" w:line="312" w:lineRule="auto"/>
                    <w:rPr>
                      <w:rFonts w:eastAsia="Arial"/>
                      <w:sz w:val="18"/>
                      <w:lang w:val="en-US"/>
                    </w:rPr>
                  </w:pPr>
                  <w:r w:rsidRPr="00C80BC6">
                    <w:rPr>
                      <w:rFonts w:eastAsia="Arial"/>
                      <w:sz w:val="18"/>
                      <w:lang w:val="en-US"/>
                    </w:rPr>
                    <w:t>Occupational health &amp; safety</w:t>
                  </w:r>
                </w:p>
                <w:p w14:paraId="13F57BFF" w14:textId="77777777" w:rsidR="00DD2890" w:rsidRPr="00C80BC6" w:rsidRDefault="00DD2890" w:rsidP="00DD2890">
                  <w:pPr>
                    <w:numPr>
                      <w:ilvl w:val="0"/>
                      <w:numId w:val="29"/>
                    </w:numPr>
                    <w:spacing w:after="120" w:line="312" w:lineRule="auto"/>
                    <w:rPr>
                      <w:rFonts w:eastAsia="Arial"/>
                      <w:sz w:val="18"/>
                      <w:lang w:val="en-US"/>
                    </w:rPr>
                  </w:pPr>
                  <w:r w:rsidRPr="00C80BC6">
                    <w:rPr>
                      <w:rFonts w:eastAsia="Arial"/>
                      <w:sz w:val="18"/>
                      <w:lang w:val="en-US"/>
                    </w:rPr>
                    <w:t>Inclusion</w:t>
                  </w:r>
                </w:p>
                <w:p w14:paraId="4BA29C56" w14:textId="77777777" w:rsidR="00DD2890" w:rsidRPr="00C80BC6" w:rsidRDefault="00DD2890" w:rsidP="00DD2890">
                  <w:pPr>
                    <w:numPr>
                      <w:ilvl w:val="0"/>
                      <w:numId w:val="29"/>
                    </w:numPr>
                    <w:spacing w:after="120" w:line="312" w:lineRule="auto"/>
                    <w:rPr>
                      <w:rFonts w:eastAsia="Arial"/>
                      <w:sz w:val="18"/>
                      <w:lang w:val="en-US"/>
                    </w:rPr>
                  </w:pPr>
                  <w:r w:rsidRPr="00C80BC6">
                    <w:rPr>
                      <w:rFonts w:eastAsia="Arial"/>
                      <w:sz w:val="18"/>
                      <w:lang w:val="en-US"/>
                    </w:rPr>
                    <w:t>Board gender diversity</w:t>
                  </w:r>
                </w:p>
              </w:tc>
              <w:tc>
                <w:tcPr>
                  <w:tcW w:w="2500" w:type="pct"/>
                  <w:tcBorders>
                    <w:top w:val="nil"/>
                    <w:left w:val="nil"/>
                    <w:bottom w:val="nil"/>
                    <w:right w:val="nil"/>
                  </w:tcBorders>
                </w:tcPr>
                <w:p w14:paraId="385459A6" w14:textId="77777777" w:rsidR="00DD2890" w:rsidRPr="00C80BC6" w:rsidRDefault="00DD2890" w:rsidP="00DD2890">
                  <w:pPr>
                    <w:spacing w:after="120" w:line="312" w:lineRule="auto"/>
                    <w:rPr>
                      <w:rFonts w:eastAsia="Arial"/>
                      <w:sz w:val="18"/>
                      <w:lang w:val="en-US"/>
                    </w:rPr>
                  </w:pPr>
                  <w:r w:rsidRPr="00C80BC6">
                    <w:rPr>
                      <w:rFonts w:eastAsia="Arial"/>
                      <w:sz w:val="18"/>
                      <w:lang w:val="en-US"/>
                    </w:rPr>
                    <w:t>Sickness rate (%), number of accidents (#/FTE)</w:t>
                  </w:r>
                </w:p>
                <w:p w14:paraId="16FFF6F2" w14:textId="77777777" w:rsidR="00DD2890" w:rsidRPr="00C80BC6" w:rsidRDefault="00DD2890" w:rsidP="00DD2890">
                  <w:pPr>
                    <w:spacing w:after="120" w:line="312" w:lineRule="auto"/>
                    <w:rPr>
                      <w:rFonts w:eastAsia="Arial"/>
                      <w:sz w:val="18"/>
                      <w:lang w:val="en-US"/>
                    </w:rPr>
                  </w:pPr>
                  <w:r w:rsidRPr="00C80BC6">
                    <w:rPr>
                      <w:rFonts w:eastAsia="Arial"/>
                      <w:sz w:val="18"/>
                      <w:lang w:val="en-US"/>
                    </w:rPr>
                    <w:t>% disabled</w:t>
                  </w:r>
                </w:p>
                <w:p w14:paraId="52D2273D" w14:textId="0CC5C174" w:rsidR="00DD2890" w:rsidRPr="00C80BC6" w:rsidRDefault="00DD2890" w:rsidP="00DD2890">
                  <w:pPr>
                    <w:spacing w:after="120" w:line="312" w:lineRule="auto"/>
                    <w:rPr>
                      <w:rFonts w:eastAsia="Arial"/>
                      <w:sz w:val="18"/>
                      <w:lang w:val="en-US"/>
                    </w:rPr>
                  </w:pPr>
                  <w:r w:rsidRPr="00C80BC6">
                    <w:rPr>
                      <w:rFonts w:eastAsia="Arial"/>
                      <w:sz w:val="18"/>
                      <w:lang w:val="en-US"/>
                    </w:rPr>
                    <w:t>% femal</w:t>
                  </w:r>
                  <w:r>
                    <w:rPr>
                      <w:rFonts w:eastAsia="Arial"/>
                      <w:sz w:val="18"/>
                      <w:lang w:val="en-US"/>
                    </w:rPr>
                    <w:t>e</w:t>
                  </w:r>
                </w:p>
              </w:tc>
            </w:tr>
          </w:tbl>
          <w:p w14:paraId="32143635" w14:textId="77777777" w:rsidR="00DD2890" w:rsidRPr="00DD2890" w:rsidRDefault="00DD2890" w:rsidP="00DD2890">
            <w:pPr>
              <w:rPr>
                <w:rFonts w:cs="Arial"/>
                <w:color w:val="0F243E" w:themeColor="text2" w:themeShade="80"/>
                <w:lang w:val="en-US"/>
              </w:rPr>
            </w:pPr>
            <w:r w:rsidRPr="00DD2890">
              <w:rPr>
                <w:rFonts w:cs="Arial"/>
                <w:color w:val="0F243E" w:themeColor="text2" w:themeShade="80"/>
                <w:lang w:val="en-US"/>
              </w:rPr>
              <w:t>In addition to the above, the Partnership will also report on:</w:t>
            </w:r>
          </w:p>
          <w:p w14:paraId="4C704A72" w14:textId="77777777" w:rsidR="00DD2890" w:rsidRPr="00DD2890" w:rsidRDefault="00DD2890" w:rsidP="00DD2890">
            <w:pPr>
              <w:rPr>
                <w:rFonts w:cs="Arial"/>
                <w:color w:val="0F243E" w:themeColor="text2" w:themeShade="80"/>
                <w:lang w:val="en-US"/>
              </w:rPr>
            </w:pPr>
            <w:r w:rsidRPr="00DD2890">
              <w:rPr>
                <w:rFonts w:cs="Arial"/>
                <w:color w:val="0F243E" w:themeColor="text2" w:themeShade="80"/>
                <w:lang w:val="en-US"/>
              </w:rPr>
              <w:t>-</w:t>
            </w:r>
            <w:r w:rsidRPr="00DD2890">
              <w:rPr>
                <w:rFonts w:cs="Arial"/>
                <w:color w:val="0F243E" w:themeColor="text2" w:themeShade="80"/>
                <w:lang w:val="en-US"/>
              </w:rPr>
              <w:tab/>
              <w:t>the share of investments in companies that do not comply with the exclusion criteria;</w:t>
            </w:r>
          </w:p>
          <w:p w14:paraId="57B6FA2B" w14:textId="79533A28" w:rsidR="00DD2890" w:rsidRDefault="00DD2890" w:rsidP="002F41FC">
            <w:pPr>
              <w:rPr>
                <w:rFonts w:cs="Arial"/>
                <w:color w:val="0F243E" w:themeColor="text2" w:themeShade="80"/>
                <w:lang w:val="en-US"/>
              </w:rPr>
            </w:pPr>
            <w:r w:rsidRPr="00DD2890">
              <w:rPr>
                <w:rFonts w:cs="Arial"/>
                <w:color w:val="0F243E" w:themeColor="text2" w:themeShade="80"/>
                <w:lang w:val="en-US"/>
              </w:rPr>
              <w:t>-</w:t>
            </w:r>
            <w:r w:rsidRPr="00DD2890">
              <w:rPr>
                <w:rFonts w:cs="Arial"/>
                <w:color w:val="0F243E" w:themeColor="text2" w:themeShade="80"/>
                <w:lang w:val="en-US"/>
              </w:rPr>
              <w:tab/>
              <w:t>the share of investments in companies that did not complete the questionnaire</w:t>
            </w:r>
            <w:r w:rsidR="00D0231D">
              <w:rPr>
                <w:rFonts w:cs="Arial"/>
                <w:color w:val="0F243E" w:themeColor="text2" w:themeShade="80"/>
                <w:lang w:val="en-US"/>
              </w:rPr>
              <w:t>.</w:t>
            </w:r>
            <w:r w:rsidRPr="00DD2890">
              <w:rPr>
                <w:rFonts w:cs="Arial"/>
                <w:color w:val="0F243E" w:themeColor="text2" w:themeShade="80"/>
                <w:lang w:val="en-US"/>
              </w:rPr>
              <w:tab/>
            </w:r>
          </w:p>
          <w:p w14:paraId="7AB5D268" w14:textId="234636F4" w:rsidR="00DD2890" w:rsidRPr="00DD2890" w:rsidRDefault="00DD2890" w:rsidP="002F41FC">
            <w:pPr>
              <w:rPr>
                <w:rFonts w:cs="Arial"/>
                <w:color w:val="0F243E" w:themeColor="text2" w:themeShade="80"/>
                <w:lang w:val="en-US"/>
              </w:rPr>
            </w:pPr>
          </w:p>
        </w:tc>
      </w:tr>
      <w:tr w:rsidR="00BE0AF7" w:rsidRPr="00162979" w14:paraId="6AFC5508" w14:textId="77777777" w:rsidTr="00FE10DA">
        <w:trPr>
          <w:trHeight w:val="791"/>
        </w:trPr>
        <w:tc>
          <w:tcPr>
            <w:tcW w:w="9286" w:type="dxa"/>
            <w:gridSpan w:val="2"/>
            <w:shd w:val="clear" w:color="auto" w:fill="FFFFFF" w:themeFill="background1"/>
            <w:vAlign w:val="center"/>
          </w:tcPr>
          <w:p w14:paraId="7B4D993B" w14:textId="7B2E2820" w:rsidR="00BE0AF7" w:rsidRPr="00162979" w:rsidRDefault="008A6BF3" w:rsidP="00524C74">
            <w:pPr>
              <w:jc w:val="center"/>
              <w:rPr>
                <w:rFonts w:cs="Arial"/>
                <w:b/>
                <w:lang w:val="en-US"/>
              </w:rPr>
            </w:pPr>
            <w:r w:rsidRPr="00162979">
              <w:rPr>
                <w:rFonts w:cs="Arial"/>
                <w:b/>
                <w:color w:val="0F243E" w:themeColor="text2" w:themeShade="80"/>
                <w:lang w:val="en-US"/>
              </w:rPr>
              <w:lastRenderedPageBreak/>
              <w:t>How are the environmental or</w:t>
            </w:r>
            <w:r w:rsidR="00BE0AF7" w:rsidRPr="00162979">
              <w:rPr>
                <w:rFonts w:cs="Arial"/>
                <w:b/>
                <w:color w:val="0F243E" w:themeColor="text2" w:themeShade="80"/>
                <w:lang w:val="en-US"/>
              </w:rPr>
              <w:t xml:space="preserve"> social characteristics </w:t>
            </w:r>
            <w:r w:rsidRPr="00162979">
              <w:rPr>
                <w:rFonts w:cs="Arial"/>
                <w:b/>
                <w:color w:val="0F243E" w:themeColor="text2" w:themeShade="80"/>
                <w:lang w:val="en-US"/>
              </w:rPr>
              <w:t xml:space="preserve">and the sustainability indicators </w:t>
            </w:r>
            <w:r w:rsidR="00BE0AF7" w:rsidRPr="00162979">
              <w:rPr>
                <w:rFonts w:cs="Arial"/>
                <w:b/>
                <w:color w:val="0F243E" w:themeColor="text2" w:themeShade="80"/>
                <w:lang w:val="en-US"/>
              </w:rPr>
              <w:t>monitored throughout the lifecycle of the financial product and the related internal/external control mechanism?</w:t>
            </w:r>
          </w:p>
        </w:tc>
      </w:tr>
      <w:tr w:rsidR="00123FE6" w:rsidRPr="00162979" w14:paraId="7C5EDD4C" w14:textId="77777777" w:rsidTr="00064F1A">
        <w:trPr>
          <w:trHeight w:val="708"/>
        </w:trPr>
        <w:tc>
          <w:tcPr>
            <w:tcW w:w="9286" w:type="dxa"/>
            <w:gridSpan w:val="2"/>
            <w:vAlign w:val="center"/>
          </w:tcPr>
          <w:p w14:paraId="6D57039F" w14:textId="77777777" w:rsidR="00064F1A" w:rsidRPr="00162979" w:rsidRDefault="00064F1A" w:rsidP="000E71F6">
            <w:pPr>
              <w:rPr>
                <w:rFonts w:cs="Arial"/>
                <w:lang w:val="en-US"/>
              </w:rPr>
            </w:pPr>
          </w:p>
          <w:p w14:paraId="3E32E45F" w14:textId="78D243B1" w:rsidR="00123FE6" w:rsidRPr="00566A66" w:rsidRDefault="00566A66" w:rsidP="00737F89">
            <w:pPr>
              <w:jc w:val="both"/>
              <w:rPr>
                <w:rFonts w:cs="Arial"/>
                <w:lang w:val="en-US"/>
              </w:rPr>
            </w:pPr>
            <w:r w:rsidRPr="00566A66">
              <w:rPr>
                <w:rFonts w:cs="Arial"/>
                <w:lang w:val="en-US"/>
              </w:rPr>
              <w:t xml:space="preserve">Please see above under D. Investment strategy </w:t>
            </w:r>
            <w:r w:rsidR="006B1C66">
              <w:rPr>
                <w:rFonts w:cs="Arial"/>
                <w:lang w:val="en-US"/>
              </w:rPr>
              <w:t>sub-heading “</w:t>
            </w:r>
            <w:r w:rsidR="003B2A1F">
              <w:rPr>
                <w:rFonts w:cs="Arial"/>
                <w:lang w:val="en-US"/>
              </w:rPr>
              <w:t>H</w:t>
            </w:r>
            <w:r w:rsidR="003B2A1F" w:rsidRPr="00566A66">
              <w:rPr>
                <w:rFonts w:cs="Arial"/>
                <w:lang w:val="en-US"/>
              </w:rPr>
              <w:t xml:space="preserve">olding </w:t>
            </w:r>
            <w:r w:rsidRPr="00566A66">
              <w:rPr>
                <w:rFonts w:cs="Arial"/>
                <w:lang w:val="en-US"/>
              </w:rPr>
              <w:t>phase</w:t>
            </w:r>
            <w:r w:rsidR="006B1C66">
              <w:rPr>
                <w:rFonts w:cs="Arial"/>
                <w:lang w:val="en-US"/>
              </w:rPr>
              <w:t>”</w:t>
            </w:r>
            <w:r w:rsidRPr="00566A66">
              <w:rPr>
                <w:rFonts w:cs="Arial"/>
                <w:lang w:val="en-US"/>
              </w:rPr>
              <w:t>.</w:t>
            </w:r>
          </w:p>
          <w:p w14:paraId="416FE2DC" w14:textId="77777777" w:rsidR="00064F1A" w:rsidRPr="00162979" w:rsidRDefault="00064F1A" w:rsidP="000E71F6">
            <w:pPr>
              <w:rPr>
                <w:rFonts w:ascii="Calibri" w:hAnsi="Calibri" w:cs="Arial"/>
                <w:lang w:val="en-US"/>
              </w:rPr>
            </w:pPr>
          </w:p>
        </w:tc>
      </w:tr>
    </w:tbl>
    <w:p w14:paraId="6EAA2663" w14:textId="3C1E5F87" w:rsidR="00206554" w:rsidRPr="00162979" w:rsidRDefault="00206554" w:rsidP="00ED374C">
      <w:pPr>
        <w:spacing w:after="0" w:line="240" w:lineRule="auto"/>
        <w:rPr>
          <w:rFonts w:ascii="Calibri" w:hAnsi="Calibri" w:cs="Arial"/>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23"/>
        <w:gridCol w:w="7937"/>
      </w:tblGrid>
      <w:tr w:rsidR="00123FE6" w:rsidRPr="00162979" w14:paraId="74F49F79" w14:textId="77777777" w:rsidTr="00230BAE">
        <w:trPr>
          <w:trHeight w:val="510"/>
        </w:trPr>
        <w:tc>
          <w:tcPr>
            <w:tcW w:w="1123" w:type="dxa"/>
            <w:shd w:val="clear" w:color="auto" w:fill="17365D" w:themeFill="text2" w:themeFillShade="BF"/>
            <w:vAlign w:val="center"/>
          </w:tcPr>
          <w:p w14:paraId="108FA2D2" w14:textId="77777777" w:rsidR="00123FE6" w:rsidRPr="00162979" w:rsidRDefault="00E071A1" w:rsidP="00E071A1">
            <w:pPr>
              <w:jc w:val="center"/>
              <w:rPr>
                <w:rFonts w:ascii="Calibri" w:hAnsi="Calibri" w:cs="Arial"/>
                <w:b/>
                <w:color w:val="FFFFFF" w:themeColor="background1"/>
                <w:lang w:val="en-US"/>
              </w:rPr>
            </w:pPr>
            <w:r w:rsidRPr="00162979">
              <w:rPr>
                <w:noProof/>
                <w:lang w:val="en-US" w:eastAsia="en-GB"/>
              </w:rPr>
              <w:drawing>
                <wp:inline distT="0" distB="0" distL="0" distR="0" wp14:anchorId="019EEAF6" wp14:editId="48A889A0">
                  <wp:extent cx="576000" cy="563367"/>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clrChange>
                              <a:clrFrom>
                                <a:srgbClr val="FFFFFF"/>
                              </a:clrFrom>
                              <a:clrTo>
                                <a:srgbClr val="FFFFFF">
                                  <a:alpha val="0"/>
                                </a:srgbClr>
                              </a:clrTo>
                            </a:clrChange>
                            <a:lum bright="70000" contrast="-70000"/>
                          </a:blip>
                          <a:srcRect l="5826" t="3879" r="11151"/>
                          <a:stretch/>
                        </pic:blipFill>
                        <pic:spPr bwMode="auto">
                          <a:xfrm>
                            <a:off x="0" y="0"/>
                            <a:ext cx="576000" cy="563367"/>
                          </a:xfrm>
                          <a:prstGeom prst="rect">
                            <a:avLst/>
                          </a:prstGeom>
                          <a:ln>
                            <a:noFill/>
                          </a:ln>
                          <a:extLst>
                            <a:ext uri="{53640926-AAD7-44D8-BBD7-CCE9431645EC}">
                              <a14:shadowObscured xmlns:a14="http://schemas.microsoft.com/office/drawing/2010/main"/>
                            </a:ext>
                          </a:extLst>
                        </pic:spPr>
                      </pic:pic>
                    </a:graphicData>
                  </a:graphic>
                </wp:inline>
              </w:drawing>
            </w:r>
          </w:p>
        </w:tc>
        <w:tc>
          <w:tcPr>
            <w:tcW w:w="8163" w:type="dxa"/>
            <w:shd w:val="clear" w:color="auto" w:fill="17365D" w:themeFill="text2" w:themeFillShade="BF"/>
            <w:vAlign w:val="center"/>
          </w:tcPr>
          <w:p w14:paraId="716619B1" w14:textId="77777777" w:rsidR="00123FE6"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Methodologies</w:t>
            </w:r>
          </w:p>
        </w:tc>
      </w:tr>
      <w:tr w:rsidR="00682DF8" w:rsidRPr="00162979" w14:paraId="1F83CE71" w14:textId="77777777" w:rsidTr="00FE10DA">
        <w:trPr>
          <w:trHeight w:val="792"/>
        </w:trPr>
        <w:tc>
          <w:tcPr>
            <w:tcW w:w="9286" w:type="dxa"/>
            <w:gridSpan w:val="2"/>
            <w:shd w:val="clear" w:color="auto" w:fill="FFFFFF" w:themeFill="background1"/>
            <w:vAlign w:val="center"/>
          </w:tcPr>
          <w:p w14:paraId="6796CEAE" w14:textId="77777777" w:rsidR="00682DF8" w:rsidRPr="00162979" w:rsidRDefault="00ED374C" w:rsidP="00FE10DA">
            <w:pPr>
              <w:jc w:val="center"/>
              <w:rPr>
                <w:rFonts w:cs="Arial"/>
                <w:b/>
                <w:lang w:val="en-US"/>
              </w:rPr>
            </w:pPr>
            <w:r w:rsidRPr="00162979">
              <w:rPr>
                <w:rFonts w:cs="Arial"/>
                <w:b/>
                <w:color w:val="0F243E" w:themeColor="text2" w:themeShade="80"/>
                <w:lang w:val="en-US"/>
              </w:rPr>
              <w:t>What is the methodology</w:t>
            </w:r>
            <w:r w:rsidR="00682DF8" w:rsidRPr="00162979">
              <w:rPr>
                <w:rFonts w:cs="Arial"/>
                <w:b/>
                <w:color w:val="0F243E" w:themeColor="text2" w:themeShade="80"/>
                <w:lang w:val="en-US"/>
              </w:rPr>
              <w:t xml:space="preserve"> to meas</w:t>
            </w:r>
            <w:r w:rsidRPr="00162979">
              <w:rPr>
                <w:rFonts w:cs="Arial"/>
                <w:b/>
                <w:color w:val="0F243E" w:themeColor="text2" w:themeShade="80"/>
                <w:lang w:val="en-US"/>
              </w:rPr>
              <w:t>ure the attainment of the environmental or social</w:t>
            </w:r>
            <w:r w:rsidR="00682DF8" w:rsidRPr="00162979">
              <w:rPr>
                <w:rFonts w:cs="Arial"/>
                <w:b/>
                <w:color w:val="0F243E" w:themeColor="text2" w:themeShade="80"/>
                <w:lang w:val="en-US"/>
              </w:rPr>
              <w:t xml:space="preserve"> characteristics promoted by the financial product usin</w:t>
            </w:r>
            <w:r w:rsidRPr="00162979">
              <w:rPr>
                <w:rFonts w:cs="Arial"/>
                <w:b/>
                <w:color w:val="0F243E" w:themeColor="text2" w:themeShade="80"/>
                <w:lang w:val="en-US"/>
              </w:rPr>
              <w:t>g the sustainability indicators?</w:t>
            </w:r>
          </w:p>
        </w:tc>
      </w:tr>
      <w:tr w:rsidR="00123FE6" w:rsidRPr="00162979" w14:paraId="6E00A765" w14:textId="77777777" w:rsidTr="00230BAE">
        <w:trPr>
          <w:trHeight w:val="558"/>
        </w:trPr>
        <w:tc>
          <w:tcPr>
            <w:tcW w:w="9286" w:type="dxa"/>
            <w:gridSpan w:val="2"/>
            <w:vAlign w:val="center"/>
          </w:tcPr>
          <w:p w14:paraId="1E9387BD" w14:textId="77777777" w:rsidR="00206554" w:rsidRPr="00162979" w:rsidRDefault="00206554" w:rsidP="00206554">
            <w:pPr>
              <w:jc w:val="both"/>
              <w:rPr>
                <w:rFonts w:cs="Arial"/>
                <w:lang w:val="en-US"/>
              </w:rPr>
            </w:pPr>
          </w:p>
          <w:p w14:paraId="78A70E00" w14:textId="77777777" w:rsidR="00250282" w:rsidRPr="00250282" w:rsidRDefault="00250282" w:rsidP="00250282">
            <w:pPr>
              <w:jc w:val="both"/>
              <w:rPr>
                <w:lang w:val="en-US"/>
              </w:rPr>
            </w:pPr>
            <w:r w:rsidRPr="00250282">
              <w:rPr>
                <w:lang w:val="en-US"/>
              </w:rPr>
              <w:t>The following methodologies are implemented to monitor and manage ESG risks:</w:t>
            </w:r>
          </w:p>
          <w:p w14:paraId="3BD0FCA7" w14:textId="57D681B4" w:rsidR="00250282" w:rsidRPr="00250282" w:rsidRDefault="00250282" w:rsidP="00250282">
            <w:pPr>
              <w:jc w:val="both"/>
              <w:rPr>
                <w:lang w:val="en-US"/>
              </w:rPr>
            </w:pPr>
            <w:r w:rsidRPr="00250282">
              <w:rPr>
                <w:lang w:val="en-US"/>
              </w:rPr>
              <w:t>–</w:t>
            </w:r>
            <w:r w:rsidRPr="00250282">
              <w:rPr>
                <w:lang w:val="en-US"/>
              </w:rPr>
              <w:tab/>
              <w:t xml:space="preserve">Monitoring ESG impact through collecting the proprietary ESG questionnaire on a recurring </w:t>
            </w:r>
            <w:r w:rsidR="00DD2890">
              <w:rPr>
                <w:lang w:val="en-US"/>
              </w:rPr>
              <w:tab/>
            </w:r>
            <w:r w:rsidRPr="00250282">
              <w:rPr>
                <w:lang w:val="en-US"/>
              </w:rPr>
              <w:t>basis;</w:t>
            </w:r>
          </w:p>
          <w:p w14:paraId="5B6A12BA" w14:textId="48FF4C30" w:rsidR="00250282" w:rsidRPr="00250282" w:rsidRDefault="00250282" w:rsidP="00250282">
            <w:pPr>
              <w:jc w:val="both"/>
              <w:rPr>
                <w:lang w:val="en-US"/>
              </w:rPr>
            </w:pPr>
            <w:r w:rsidRPr="00250282">
              <w:rPr>
                <w:lang w:val="en-US"/>
              </w:rPr>
              <w:t>–</w:t>
            </w:r>
            <w:r w:rsidRPr="00250282">
              <w:rPr>
                <w:lang w:val="en-US"/>
              </w:rPr>
              <w:tab/>
            </w:r>
            <w:r w:rsidR="007D1188">
              <w:rPr>
                <w:lang w:val="en-US"/>
              </w:rPr>
              <w:t>Regular reporting from portfolio companies</w:t>
            </w:r>
            <w:r w:rsidRPr="00250282">
              <w:rPr>
                <w:lang w:val="en-US"/>
              </w:rPr>
              <w:t>.</w:t>
            </w:r>
          </w:p>
          <w:p w14:paraId="56D1A746" w14:textId="77777777" w:rsidR="00DD2890" w:rsidRDefault="00DD2890" w:rsidP="00250282">
            <w:pPr>
              <w:jc w:val="both"/>
              <w:rPr>
                <w:lang w:val="en-US"/>
              </w:rPr>
            </w:pPr>
          </w:p>
          <w:p w14:paraId="0F5D4942" w14:textId="4A090355" w:rsidR="00250282" w:rsidRPr="00250282" w:rsidRDefault="00250282" w:rsidP="00250282">
            <w:pPr>
              <w:jc w:val="both"/>
              <w:rPr>
                <w:lang w:val="en-US"/>
              </w:rPr>
            </w:pPr>
            <w:r w:rsidRPr="00250282">
              <w:rPr>
                <w:lang w:val="en-US"/>
              </w:rPr>
              <w:t>The ESG questionnaires collect a consistent set of data, including, among other parameters, KPIs that cover social and environmental aspects:</w:t>
            </w:r>
          </w:p>
          <w:p w14:paraId="08D01ABC" w14:textId="77777777" w:rsidR="00250282" w:rsidRPr="00250282" w:rsidRDefault="00250282" w:rsidP="00250282">
            <w:pPr>
              <w:jc w:val="both"/>
              <w:rPr>
                <w:lang w:val="en-US"/>
              </w:rPr>
            </w:pPr>
            <w:r w:rsidRPr="00250282">
              <w:rPr>
                <w:lang w:val="en-US"/>
              </w:rPr>
              <w:t>–</w:t>
            </w:r>
            <w:r w:rsidRPr="00250282">
              <w:rPr>
                <w:lang w:val="en-US"/>
              </w:rPr>
              <w:tab/>
              <w:t>Carbon emissions;</w:t>
            </w:r>
          </w:p>
          <w:p w14:paraId="329E42CA" w14:textId="77777777" w:rsidR="00250282" w:rsidRPr="00250282" w:rsidRDefault="00250282" w:rsidP="00250282">
            <w:pPr>
              <w:jc w:val="both"/>
              <w:rPr>
                <w:lang w:val="en-US"/>
              </w:rPr>
            </w:pPr>
            <w:r w:rsidRPr="00250282">
              <w:rPr>
                <w:lang w:val="en-US"/>
              </w:rPr>
              <w:t>–</w:t>
            </w:r>
            <w:r w:rsidRPr="00250282">
              <w:rPr>
                <w:lang w:val="en-US"/>
              </w:rPr>
              <w:tab/>
              <w:t>Water and energy consumption;</w:t>
            </w:r>
          </w:p>
          <w:p w14:paraId="7C750477" w14:textId="77777777" w:rsidR="00250282" w:rsidRPr="00250282" w:rsidRDefault="00250282" w:rsidP="00250282">
            <w:pPr>
              <w:jc w:val="both"/>
              <w:rPr>
                <w:lang w:val="en-US"/>
              </w:rPr>
            </w:pPr>
            <w:r w:rsidRPr="00250282">
              <w:rPr>
                <w:lang w:val="en-US"/>
              </w:rPr>
              <w:t>–</w:t>
            </w:r>
            <w:r w:rsidRPr="00250282">
              <w:rPr>
                <w:lang w:val="en-US"/>
              </w:rPr>
              <w:tab/>
              <w:t>Share of female/male employees across different levels;</w:t>
            </w:r>
          </w:p>
          <w:p w14:paraId="30393534" w14:textId="77777777" w:rsidR="00250282" w:rsidRPr="00250282" w:rsidRDefault="00250282" w:rsidP="00250282">
            <w:pPr>
              <w:jc w:val="both"/>
              <w:rPr>
                <w:lang w:val="en-US"/>
              </w:rPr>
            </w:pPr>
            <w:r w:rsidRPr="00250282">
              <w:rPr>
                <w:lang w:val="en-US"/>
              </w:rPr>
              <w:t>–</w:t>
            </w:r>
            <w:r w:rsidRPr="00250282">
              <w:rPr>
                <w:lang w:val="en-US"/>
              </w:rPr>
              <w:tab/>
              <w:t xml:space="preserve">Framework for </w:t>
            </w:r>
            <w:proofErr w:type="spellStart"/>
            <w:r w:rsidRPr="00250282">
              <w:rPr>
                <w:lang w:val="en-US"/>
              </w:rPr>
              <w:t>labour</w:t>
            </w:r>
            <w:proofErr w:type="spellEnd"/>
            <w:r w:rsidRPr="00250282">
              <w:rPr>
                <w:lang w:val="en-US"/>
              </w:rPr>
              <w:t xml:space="preserve"> representatives;</w:t>
            </w:r>
          </w:p>
          <w:p w14:paraId="1DBADBFE" w14:textId="6035089A" w:rsidR="00250282" w:rsidRDefault="00250282" w:rsidP="00250282">
            <w:pPr>
              <w:jc w:val="both"/>
              <w:rPr>
                <w:lang w:val="en-US"/>
              </w:rPr>
            </w:pPr>
            <w:r w:rsidRPr="00250282">
              <w:rPr>
                <w:lang w:val="en-US"/>
              </w:rPr>
              <w:t>–</w:t>
            </w:r>
            <w:r w:rsidRPr="00250282">
              <w:rPr>
                <w:lang w:val="en-US"/>
              </w:rPr>
              <w:tab/>
              <w:t>Etc.</w:t>
            </w:r>
          </w:p>
          <w:p w14:paraId="6D97F866" w14:textId="77777777" w:rsidR="00DD2890" w:rsidRPr="00250282" w:rsidRDefault="00DD2890" w:rsidP="00250282">
            <w:pPr>
              <w:jc w:val="both"/>
              <w:rPr>
                <w:lang w:val="en-US"/>
              </w:rPr>
            </w:pPr>
          </w:p>
          <w:p w14:paraId="1CCB2A77" w14:textId="08EB00B4" w:rsidR="00123FE6" w:rsidRPr="00451C1F" w:rsidRDefault="00250282" w:rsidP="00206554">
            <w:pPr>
              <w:jc w:val="both"/>
              <w:rPr>
                <w:lang w:val="en-US"/>
              </w:rPr>
            </w:pPr>
            <w:r w:rsidRPr="00250282">
              <w:rPr>
                <w:lang w:val="en-US"/>
              </w:rPr>
              <w:t xml:space="preserve">All data are initially collected in the due diligence of the respective investment. A complete view of all relevant risks and opportunities is </w:t>
            </w:r>
            <w:r w:rsidR="003B2A1F">
              <w:rPr>
                <w:lang w:val="en-US"/>
              </w:rPr>
              <w:t>crucia</w:t>
            </w:r>
            <w:r w:rsidRPr="00250282">
              <w:rPr>
                <w:lang w:val="en-US"/>
              </w:rPr>
              <w:t xml:space="preserve">l in order to negotiate the right terms for a deal. Where </w:t>
            </w:r>
            <w:r w:rsidRPr="00250282">
              <w:rPr>
                <w:lang w:val="en-US"/>
              </w:rPr>
              <w:lastRenderedPageBreak/>
              <w:t>no ESG due diligence is available we regularly work side-by-side with industry experts to cover all relevant ESG aspects.</w:t>
            </w:r>
          </w:p>
          <w:p w14:paraId="3928D1AD" w14:textId="77777777" w:rsidR="00206554" w:rsidRPr="00162979" w:rsidRDefault="00206554" w:rsidP="00206554">
            <w:pPr>
              <w:jc w:val="both"/>
              <w:rPr>
                <w:rFonts w:ascii="Calibri" w:hAnsi="Calibri" w:cs="Arial"/>
                <w:lang w:val="en-US"/>
              </w:rPr>
            </w:pPr>
          </w:p>
        </w:tc>
      </w:tr>
    </w:tbl>
    <w:p w14:paraId="25181179" w14:textId="7AF98FDC" w:rsidR="00212F82" w:rsidRPr="00162979" w:rsidRDefault="00212F82" w:rsidP="00ED374C">
      <w:pPr>
        <w:spacing w:after="0" w:line="240" w:lineRule="auto"/>
        <w:rPr>
          <w:rFonts w:ascii="Calibri" w:hAnsi="Calibri" w:cs="Arial"/>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00"/>
        <w:gridCol w:w="7960"/>
      </w:tblGrid>
      <w:tr w:rsidR="00123FE6" w:rsidRPr="00162979" w14:paraId="22B5ACA7" w14:textId="77777777" w:rsidTr="001F4AE6">
        <w:trPr>
          <w:trHeight w:val="510"/>
        </w:trPr>
        <w:tc>
          <w:tcPr>
            <w:tcW w:w="1100" w:type="dxa"/>
            <w:shd w:val="clear" w:color="auto" w:fill="17365D" w:themeFill="text2" w:themeFillShade="BF"/>
            <w:vAlign w:val="center"/>
          </w:tcPr>
          <w:p w14:paraId="143EBC25" w14:textId="77777777" w:rsidR="00123FE6" w:rsidRPr="00162979" w:rsidRDefault="00FB17CF" w:rsidP="00FB17CF">
            <w:pPr>
              <w:jc w:val="center"/>
              <w:rPr>
                <w:rFonts w:ascii="Calibri" w:hAnsi="Calibri" w:cs="Arial"/>
                <w:b/>
                <w:color w:val="FFFFFF" w:themeColor="background1"/>
                <w:lang w:val="en-US"/>
              </w:rPr>
            </w:pPr>
            <w:r w:rsidRPr="00162979">
              <w:rPr>
                <w:noProof/>
                <w:lang w:val="en-US" w:eastAsia="en-GB"/>
              </w:rPr>
              <w:drawing>
                <wp:inline distT="0" distB="0" distL="0" distR="0" wp14:anchorId="04B4AA0E" wp14:editId="21EC7B62">
                  <wp:extent cx="551963" cy="56520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clrChange>
                              <a:clrFrom>
                                <a:srgbClr val="FFFFFF"/>
                              </a:clrFrom>
                              <a:clrTo>
                                <a:srgbClr val="FFFFFF">
                                  <a:alpha val="0"/>
                                </a:srgbClr>
                              </a:clrTo>
                            </a:clrChange>
                            <a:lum bright="70000" contrast="-70000"/>
                          </a:blip>
                          <a:stretch>
                            <a:fillRect/>
                          </a:stretch>
                        </pic:blipFill>
                        <pic:spPr>
                          <a:xfrm>
                            <a:off x="0" y="0"/>
                            <a:ext cx="551963" cy="565200"/>
                          </a:xfrm>
                          <a:prstGeom prst="rect">
                            <a:avLst/>
                          </a:prstGeom>
                        </pic:spPr>
                      </pic:pic>
                    </a:graphicData>
                  </a:graphic>
                </wp:inline>
              </w:drawing>
            </w:r>
          </w:p>
        </w:tc>
        <w:tc>
          <w:tcPr>
            <w:tcW w:w="8186" w:type="dxa"/>
            <w:shd w:val="clear" w:color="auto" w:fill="17365D" w:themeFill="text2" w:themeFillShade="BF"/>
            <w:vAlign w:val="center"/>
          </w:tcPr>
          <w:p w14:paraId="45C49C86" w14:textId="77777777" w:rsidR="00123FE6"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Data sources and processing</w:t>
            </w:r>
          </w:p>
        </w:tc>
      </w:tr>
      <w:tr w:rsidR="00682DF8" w:rsidRPr="00162979" w14:paraId="4A4A29D7" w14:textId="77777777" w:rsidTr="00FE10DA">
        <w:trPr>
          <w:trHeight w:val="928"/>
        </w:trPr>
        <w:tc>
          <w:tcPr>
            <w:tcW w:w="9286" w:type="dxa"/>
            <w:gridSpan w:val="2"/>
            <w:shd w:val="clear" w:color="auto" w:fill="FFFFFF" w:themeFill="background1"/>
            <w:vAlign w:val="center"/>
          </w:tcPr>
          <w:p w14:paraId="2EAD52B1" w14:textId="77777777" w:rsidR="00682DF8" w:rsidRPr="00162979" w:rsidRDefault="00ED374C" w:rsidP="00FE10DA">
            <w:pPr>
              <w:jc w:val="center"/>
              <w:rPr>
                <w:rFonts w:cs="Arial"/>
                <w:b/>
                <w:lang w:val="en-US"/>
              </w:rPr>
            </w:pPr>
            <w:r w:rsidRPr="00162979">
              <w:rPr>
                <w:rFonts w:cs="Arial"/>
                <w:b/>
                <w:color w:val="0F243E" w:themeColor="text2" w:themeShade="80"/>
                <w:lang w:val="en-US"/>
              </w:rPr>
              <w:t>What are</w:t>
            </w:r>
            <w:r w:rsidR="00682DF8" w:rsidRPr="00162979">
              <w:rPr>
                <w:rFonts w:cs="Arial"/>
                <w:b/>
                <w:color w:val="0F243E" w:themeColor="text2" w:themeShade="80"/>
                <w:lang w:val="en-US"/>
              </w:rPr>
              <w:t xml:space="preserve"> the data sources used to attain each of the environmental or social characteristics including the measures taken to ensure data quality, how data is processed and the propo</w:t>
            </w:r>
            <w:r w:rsidRPr="00162979">
              <w:rPr>
                <w:rFonts w:cs="Arial"/>
                <w:b/>
                <w:color w:val="0F243E" w:themeColor="text2" w:themeShade="80"/>
                <w:lang w:val="en-US"/>
              </w:rPr>
              <w:t>rtion of data that is estimated?</w:t>
            </w:r>
          </w:p>
        </w:tc>
      </w:tr>
      <w:tr w:rsidR="00123FE6" w:rsidRPr="00162979" w14:paraId="2B1ED512" w14:textId="77777777" w:rsidTr="001A51A6">
        <w:trPr>
          <w:trHeight w:val="742"/>
        </w:trPr>
        <w:tc>
          <w:tcPr>
            <w:tcW w:w="9286" w:type="dxa"/>
            <w:gridSpan w:val="2"/>
            <w:vAlign w:val="center"/>
          </w:tcPr>
          <w:p w14:paraId="1A33F945" w14:textId="77777777" w:rsidR="0055682D" w:rsidRPr="00162979" w:rsidRDefault="0055682D" w:rsidP="00536D4C">
            <w:pPr>
              <w:jc w:val="both"/>
              <w:rPr>
                <w:rFonts w:ascii="Calibri" w:hAnsi="Calibri" w:cs="Arial"/>
                <w:lang w:val="en-US"/>
              </w:rPr>
            </w:pPr>
          </w:p>
          <w:p w14:paraId="7FDC5551" w14:textId="7CA6C7D5" w:rsidR="00A6407B" w:rsidRDefault="00A6407B" w:rsidP="007A64DF">
            <w:pPr>
              <w:jc w:val="both"/>
              <w:rPr>
                <w:rFonts w:cs="Arial"/>
                <w:lang w:val="en-US"/>
              </w:rPr>
            </w:pPr>
            <w:r w:rsidRPr="00A6407B">
              <w:rPr>
                <w:rFonts w:cs="Arial"/>
                <w:lang w:val="en-US"/>
              </w:rPr>
              <w:t xml:space="preserve">The </w:t>
            </w:r>
            <w:r>
              <w:rPr>
                <w:rFonts w:cs="Arial"/>
                <w:lang w:val="en-US"/>
              </w:rPr>
              <w:t>Partnership</w:t>
            </w:r>
            <w:r w:rsidRPr="00A6407B">
              <w:rPr>
                <w:rFonts w:cs="Arial"/>
                <w:lang w:val="en-US"/>
              </w:rPr>
              <w:t xml:space="preserve"> may apply one or a combination of the following methods to collect information and to assess its alignment with the promotion of the E/S </w:t>
            </w:r>
            <w:r w:rsidR="003B467B">
              <w:rPr>
                <w:rFonts w:cs="Arial"/>
                <w:lang w:val="en-US"/>
              </w:rPr>
              <w:t>C</w:t>
            </w:r>
            <w:r w:rsidRPr="00A6407B">
              <w:rPr>
                <w:rFonts w:cs="Arial"/>
                <w:lang w:val="en-US"/>
              </w:rPr>
              <w:t>haracteristics listed above.</w:t>
            </w:r>
          </w:p>
          <w:p w14:paraId="0CC1E384" w14:textId="77777777" w:rsidR="007A64DF" w:rsidRPr="00A6407B" w:rsidRDefault="007A64DF" w:rsidP="007A64DF">
            <w:pPr>
              <w:jc w:val="both"/>
              <w:rPr>
                <w:rFonts w:cs="Arial"/>
                <w:lang w:val="en-US"/>
              </w:rPr>
            </w:pPr>
          </w:p>
          <w:p w14:paraId="42C210C4" w14:textId="357BCF1E" w:rsidR="00A6407B" w:rsidRDefault="00A6407B" w:rsidP="007A64DF">
            <w:pPr>
              <w:jc w:val="both"/>
              <w:rPr>
                <w:rFonts w:cs="Arial"/>
                <w:lang w:val="en-US"/>
              </w:rPr>
            </w:pPr>
            <w:r w:rsidRPr="00A6407B">
              <w:rPr>
                <w:rFonts w:cs="Arial"/>
                <w:lang w:val="en-US"/>
              </w:rPr>
              <w:t xml:space="preserve">During the </w:t>
            </w:r>
            <w:r w:rsidR="00364307">
              <w:rPr>
                <w:rFonts w:cs="Arial"/>
                <w:lang w:val="en-US"/>
              </w:rPr>
              <w:t>(</w:t>
            </w:r>
            <w:r w:rsidRPr="00A6407B">
              <w:rPr>
                <w:rFonts w:cs="Arial"/>
                <w:lang w:val="en-US"/>
              </w:rPr>
              <w:t>pre-</w:t>
            </w:r>
            <w:r w:rsidR="00364307">
              <w:rPr>
                <w:rFonts w:cs="Arial"/>
                <w:lang w:val="en-US"/>
              </w:rPr>
              <w:t>)</w:t>
            </w:r>
            <w:r w:rsidRPr="00A6407B">
              <w:rPr>
                <w:rFonts w:cs="Arial"/>
                <w:lang w:val="en-US"/>
              </w:rPr>
              <w:t xml:space="preserve">investment and </w:t>
            </w:r>
            <w:r w:rsidR="00364307">
              <w:rPr>
                <w:rFonts w:cs="Arial"/>
                <w:lang w:val="en-US"/>
              </w:rPr>
              <w:t>holding</w:t>
            </w:r>
            <w:r w:rsidR="00364307" w:rsidRPr="00A6407B">
              <w:rPr>
                <w:rFonts w:cs="Arial"/>
                <w:lang w:val="en-US"/>
              </w:rPr>
              <w:t xml:space="preserve"> </w:t>
            </w:r>
            <w:r w:rsidRPr="00A6407B">
              <w:rPr>
                <w:rFonts w:cs="Arial"/>
                <w:lang w:val="en-US"/>
              </w:rPr>
              <w:t xml:space="preserve">phase the </w:t>
            </w:r>
            <w:r w:rsidR="007A64DF">
              <w:rPr>
                <w:rFonts w:cs="Arial"/>
                <w:lang w:val="en-US"/>
              </w:rPr>
              <w:t>Partnership</w:t>
            </w:r>
            <w:r w:rsidRPr="00A6407B">
              <w:rPr>
                <w:rFonts w:cs="Arial"/>
                <w:lang w:val="en-US"/>
              </w:rPr>
              <w:t xml:space="preserve"> will employ a questionnaire for sustainability characteristics to assess the compliance of an investment with the </w:t>
            </w:r>
            <w:r w:rsidR="007A64DF">
              <w:rPr>
                <w:rFonts w:cs="Arial"/>
                <w:lang w:val="en-US"/>
              </w:rPr>
              <w:t>Partnership</w:t>
            </w:r>
            <w:r w:rsidRPr="00A6407B">
              <w:rPr>
                <w:rFonts w:cs="Arial"/>
                <w:lang w:val="en-US"/>
              </w:rPr>
              <w:t xml:space="preserve">’s sustainability guidelines. </w:t>
            </w:r>
          </w:p>
          <w:p w14:paraId="7FC5FAC3" w14:textId="77777777" w:rsidR="007A64DF" w:rsidRPr="00A6407B" w:rsidRDefault="007A64DF" w:rsidP="007A64DF">
            <w:pPr>
              <w:jc w:val="both"/>
              <w:rPr>
                <w:rFonts w:cs="Arial"/>
                <w:lang w:val="en-US"/>
              </w:rPr>
            </w:pPr>
          </w:p>
          <w:p w14:paraId="2A0A1149" w14:textId="182BCA23" w:rsidR="00A6407B" w:rsidRDefault="00A6407B" w:rsidP="007A64DF">
            <w:pPr>
              <w:jc w:val="both"/>
              <w:rPr>
                <w:rFonts w:cs="Arial"/>
                <w:lang w:val="en-US"/>
              </w:rPr>
            </w:pPr>
            <w:r w:rsidRPr="00A6407B">
              <w:rPr>
                <w:rFonts w:cs="Arial"/>
                <w:lang w:val="en-US"/>
              </w:rPr>
              <w:t xml:space="preserve">Where no ESG due diligence is available the </w:t>
            </w:r>
            <w:r w:rsidR="007A64DF">
              <w:rPr>
                <w:rFonts w:cs="Arial"/>
                <w:lang w:val="en-US"/>
              </w:rPr>
              <w:t>Partnership</w:t>
            </w:r>
            <w:r w:rsidRPr="00A6407B">
              <w:rPr>
                <w:rFonts w:cs="Arial"/>
                <w:lang w:val="en-US"/>
              </w:rPr>
              <w:t xml:space="preserve"> regularly works side-by-side with industry experts to cover all relevant ESG aspects.</w:t>
            </w:r>
          </w:p>
          <w:p w14:paraId="2E8B2533" w14:textId="5425783D" w:rsidR="001A51A6" w:rsidRPr="00162979" w:rsidRDefault="001A51A6" w:rsidP="00364307">
            <w:pPr>
              <w:jc w:val="both"/>
              <w:rPr>
                <w:rFonts w:ascii="Calibri" w:hAnsi="Calibri" w:cs="Arial"/>
                <w:lang w:val="en-US"/>
              </w:rPr>
            </w:pPr>
          </w:p>
        </w:tc>
      </w:tr>
    </w:tbl>
    <w:p w14:paraId="24D9DF72" w14:textId="63EF4442" w:rsidR="00206554" w:rsidRPr="00162979" w:rsidRDefault="00206554" w:rsidP="00D378D4">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2"/>
        <w:gridCol w:w="7968"/>
      </w:tblGrid>
      <w:tr w:rsidR="00123FE6" w:rsidRPr="00162979" w14:paraId="2E624840" w14:textId="77777777" w:rsidTr="001F4AE6">
        <w:trPr>
          <w:trHeight w:val="510"/>
        </w:trPr>
        <w:tc>
          <w:tcPr>
            <w:tcW w:w="1100" w:type="dxa"/>
            <w:shd w:val="clear" w:color="auto" w:fill="17365D" w:themeFill="text2" w:themeFillShade="BF"/>
            <w:vAlign w:val="center"/>
          </w:tcPr>
          <w:p w14:paraId="555DE91C" w14:textId="77777777" w:rsidR="00123FE6" w:rsidRPr="00162979" w:rsidRDefault="00FB17CF" w:rsidP="00FB17CF">
            <w:pPr>
              <w:jc w:val="center"/>
              <w:rPr>
                <w:rFonts w:ascii="Calibri" w:hAnsi="Calibri" w:cs="Arial"/>
                <w:b/>
                <w:color w:val="FFFFFF" w:themeColor="background1"/>
                <w:lang w:val="en-US"/>
              </w:rPr>
            </w:pPr>
            <w:r w:rsidRPr="00162979">
              <w:rPr>
                <w:noProof/>
                <w:lang w:val="en-US" w:eastAsia="en-GB"/>
              </w:rPr>
              <w:drawing>
                <wp:inline distT="0" distB="0" distL="0" distR="0" wp14:anchorId="08461D18" wp14:editId="04D6E7EE">
                  <wp:extent cx="418478" cy="565200"/>
                  <wp:effectExtent l="0" t="0" r="63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clrChange>
                              <a:clrFrom>
                                <a:srgbClr val="FFFFFF"/>
                              </a:clrFrom>
                              <a:clrTo>
                                <a:srgbClr val="FFFFFF">
                                  <a:alpha val="0"/>
                                </a:srgbClr>
                              </a:clrTo>
                            </a:clrChange>
                            <a:lum bright="70000" contrast="-70000"/>
                          </a:blip>
                          <a:stretch>
                            <a:fillRect/>
                          </a:stretch>
                        </pic:blipFill>
                        <pic:spPr>
                          <a:xfrm>
                            <a:off x="0" y="0"/>
                            <a:ext cx="418478" cy="565200"/>
                          </a:xfrm>
                          <a:prstGeom prst="rect">
                            <a:avLst/>
                          </a:prstGeom>
                        </pic:spPr>
                      </pic:pic>
                    </a:graphicData>
                  </a:graphic>
                </wp:inline>
              </w:drawing>
            </w:r>
          </w:p>
        </w:tc>
        <w:tc>
          <w:tcPr>
            <w:tcW w:w="8186" w:type="dxa"/>
            <w:shd w:val="clear" w:color="auto" w:fill="17365D" w:themeFill="text2" w:themeFillShade="BF"/>
            <w:vAlign w:val="center"/>
          </w:tcPr>
          <w:p w14:paraId="0EC4C911" w14:textId="77777777"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Limitations to methodologies and data</w:t>
            </w:r>
          </w:p>
        </w:tc>
      </w:tr>
      <w:tr w:rsidR="00123FE6" w:rsidRPr="00162979" w14:paraId="767899BE" w14:textId="77777777" w:rsidTr="00FE10DA">
        <w:trPr>
          <w:trHeight w:val="800"/>
        </w:trPr>
        <w:tc>
          <w:tcPr>
            <w:tcW w:w="9286" w:type="dxa"/>
            <w:gridSpan w:val="2"/>
            <w:shd w:val="clear" w:color="auto" w:fill="FFFFFF" w:themeFill="background1"/>
            <w:vAlign w:val="center"/>
          </w:tcPr>
          <w:p w14:paraId="0B7A8623" w14:textId="0C9A3434" w:rsidR="00123FE6" w:rsidRPr="00162979" w:rsidRDefault="00EE5E30" w:rsidP="00D378D4">
            <w:pPr>
              <w:jc w:val="center"/>
              <w:rPr>
                <w:rFonts w:ascii="Calibri" w:hAnsi="Calibri" w:cs="Arial"/>
                <w:b/>
                <w:lang w:val="en-US"/>
              </w:rPr>
            </w:pPr>
            <w:r w:rsidRPr="00162979">
              <w:rPr>
                <w:rFonts w:cs="Arial"/>
                <w:b/>
                <w:color w:val="0F243E" w:themeColor="text2" w:themeShade="80"/>
                <w:lang w:val="en-US"/>
              </w:rPr>
              <w:t>W</w:t>
            </w:r>
            <w:r w:rsidR="00D378D4" w:rsidRPr="00162979">
              <w:rPr>
                <w:rFonts w:cs="Arial"/>
                <w:b/>
                <w:color w:val="0F243E" w:themeColor="text2" w:themeShade="80"/>
                <w:lang w:val="en-US"/>
              </w:rPr>
              <w:t>hat are the</w:t>
            </w:r>
            <w:r w:rsidR="00D753E2" w:rsidRPr="00162979">
              <w:rPr>
                <w:rFonts w:cs="Arial"/>
                <w:b/>
                <w:color w:val="0F243E" w:themeColor="text2" w:themeShade="80"/>
                <w:lang w:val="en-US"/>
              </w:rPr>
              <w:t xml:space="preserve"> limitations to the methodologies </w:t>
            </w:r>
            <w:r w:rsidR="00D378D4" w:rsidRPr="00162979">
              <w:rPr>
                <w:rFonts w:cs="Arial"/>
                <w:b/>
                <w:color w:val="0F243E" w:themeColor="text2" w:themeShade="80"/>
                <w:lang w:val="en-US"/>
              </w:rPr>
              <w:t>and data sources? (Including</w:t>
            </w:r>
            <w:r w:rsidR="00D753E2" w:rsidRPr="00162979">
              <w:rPr>
                <w:rFonts w:cs="Arial"/>
                <w:b/>
                <w:color w:val="0F243E" w:themeColor="text2" w:themeShade="80"/>
                <w:lang w:val="en-US"/>
              </w:rPr>
              <w:t xml:space="preserve"> how such limitations do not affect the attainment of the environmental or social characteristics and the actions ta</w:t>
            </w:r>
            <w:r w:rsidR="0055682D" w:rsidRPr="00162979">
              <w:rPr>
                <w:rFonts w:cs="Arial"/>
                <w:b/>
                <w:color w:val="0F243E" w:themeColor="text2" w:themeShade="80"/>
                <w:lang w:val="en-US"/>
              </w:rPr>
              <w:t>ken to address such limitations</w:t>
            </w:r>
            <w:r w:rsidR="00D378D4" w:rsidRPr="00162979">
              <w:rPr>
                <w:rFonts w:cs="Arial"/>
                <w:b/>
                <w:color w:val="0F243E" w:themeColor="text2" w:themeShade="80"/>
                <w:lang w:val="en-US"/>
              </w:rPr>
              <w:t>)</w:t>
            </w:r>
          </w:p>
        </w:tc>
      </w:tr>
      <w:tr w:rsidR="00682DF8" w:rsidRPr="00162979" w14:paraId="56B5EDC0" w14:textId="77777777" w:rsidTr="001A51A6">
        <w:trPr>
          <w:trHeight w:val="858"/>
        </w:trPr>
        <w:tc>
          <w:tcPr>
            <w:tcW w:w="9286" w:type="dxa"/>
            <w:gridSpan w:val="2"/>
            <w:vAlign w:val="center"/>
          </w:tcPr>
          <w:p w14:paraId="25653938" w14:textId="77777777" w:rsidR="007213B1" w:rsidRPr="00162979" w:rsidRDefault="007213B1" w:rsidP="00460656">
            <w:pPr>
              <w:rPr>
                <w:rFonts w:cs="Arial"/>
                <w:bCs/>
                <w:lang w:val="en-US"/>
              </w:rPr>
            </w:pPr>
          </w:p>
          <w:p w14:paraId="0AA1B8F6" w14:textId="6CB08F0A" w:rsidR="007213B1" w:rsidRPr="00162979" w:rsidRDefault="007A64DF" w:rsidP="001A51A6">
            <w:pPr>
              <w:jc w:val="both"/>
              <w:rPr>
                <w:rFonts w:cs="Arial"/>
                <w:bCs/>
                <w:lang w:val="en-US"/>
              </w:rPr>
            </w:pPr>
            <w:r>
              <w:rPr>
                <w:rFonts w:cs="Arial"/>
                <w:bCs/>
                <w:lang w:val="en-US"/>
              </w:rPr>
              <w:t>Please see above under H. Data sources and processing.</w:t>
            </w:r>
          </w:p>
          <w:p w14:paraId="0BAF1499" w14:textId="29A8F4FB" w:rsidR="001A51A6" w:rsidRPr="00162979" w:rsidRDefault="001A51A6" w:rsidP="001A51A6">
            <w:pPr>
              <w:jc w:val="both"/>
              <w:rPr>
                <w:rFonts w:ascii="Calibri" w:hAnsi="Calibri" w:cs="Arial"/>
                <w:bCs/>
                <w:lang w:val="en-US"/>
              </w:rPr>
            </w:pPr>
          </w:p>
        </w:tc>
      </w:tr>
    </w:tbl>
    <w:p w14:paraId="1C6EB31F" w14:textId="5429C6C3" w:rsidR="00206554" w:rsidRPr="00162979" w:rsidRDefault="00206554" w:rsidP="00D378D4">
      <w:pPr>
        <w:spacing w:after="0" w:line="240" w:lineRule="auto"/>
        <w:jc w:val="both"/>
        <w:rPr>
          <w:rFonts w:ascii="Calibri" w:hAnsi="Calibri" w:cs="Arial"/>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100"/>
        <w:gridCol w:w="7960"/>
      </w:tblGrid>
      <w:tr w:rsidR="00123FE6" w:rsidRPr="00162979" w14:paraId="2C3EEFC0" w14:textId="77777777" w:rsidTr="00FE10DA">
        <w:trPr>
          <w:trHeight w:val="510"/>
        </w:trPr>
        <w:tc>
          <w:tcPr>
            <w:tcW w:w="1100" w:type="dxa"/>
            <w:shd w:val="clear" w:color="auto" w:fill="17365D" w:themeFill="text2" w:themeFillShade="BF"/>
            <w:vAlign w:val="center"/>
          </w:tcPr>
          <w:p w14:paraId="5DDA73F7" w14:textId="77777777" w:rsidR="00123FE6" w:rsidRPr="00162979" w:rsidRDefault="00FB17CF" w:rsidP="00FB17CF">
            <w:pPr>
              <w:jc w:val="center"/>
              <w:rPr>
                <w:rFonts w:ascii="Calibri" w:hAnsi="Calibri" w:cs="Arial"/>
                <w:b/>
                <w:color w:val="FFFFFF" w:themeColor="background1"/>
                <w:lang w:val="en-US"/>
              </w:rPr>
            </w:pPr>
            <w:r w:rsidRPr="00162979">
              <w:rPr>
                <w:b/>
                <w:noProof/>
                <w:color w:val="FFFFFF" w:themeColor="background1"/>
                <w:lang w:val="en-US" w:eastAsia="en-GB"/>
              </w:rPr>
              <w:drawing>
                <wp:inline distT="0" distB="0" distL="0" distR="0" wp14:anchorId="438C5081" wp14:editId="78F943CB">
                  <wp:extent cx="558046" cy="565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clrChange>
                              <a:clrFrom>
                                <a:srgbClr val="FFFFFF"/>
                              </a:clrFrom>
                              <a:clrTo>
                                <a:srgbClr val="FFFFFF">
                                  <a:alpha val="0"/>
                                </a:srgbClr>
                              </a:clrTo>
                            </a:clrChange>
                            <a:lum bright="70000" contrast="-70000"/>
                          </a:blip>
                          <a:stretch>
                            <a:fillRect/>
                          </a:stretch>
                        </pic:blipFill>
                        <pic:spPr>
                          <a:xfrm>
                            <a:off x="0" y="0"/>
                            <a:ext cx="558046" cy="565200"/>
                          </a:xfrm>
                          <a:prstGeom prst="rect">
                            <a:avLst/>
                          </a:prstGeom>
                        </pic:spPr>
                      </pic:pic>
                    </a:graphicData>
                  </a:graphic>
                </wp:inline>
              </w:drawing>
            </w:r>
          </w:p>
        </w:tc>
        <w:tc>
          <w:tcPr>
            <w:tcW w:w="8186" w:type="dxa"/>
            <w:shd w:val="clear" w:color="auto" w:fill="17365D" w:themeFill="text2" w:themeFillShade="BF"/>
            <w:vAlign w:val="center"/>
          </w:tcPr>
          <w:p w14:paraId="209FC46B" w14:textId="77777777"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Due diligence</w:t>
            </w:r>
          </w:p>
        </w:tc>
      </w:tr>
      <w:tr w:rsidR="00D753E2" w:rsidRPr="00162979" w14:paraId="27E4A8A1" w14:textId="77777777" w:rsidTr="00FE10DA">
        <w:trPr>
          <w:trHeight w:val="507"/>
        </w:trPr>
        <w:tc>
          <w:tcPr>
            <w:tcW w:w="9286" w:type="dxa"/>
            <w:gridSpan w:val="2"/>
            <w:shd w:val="clear" w:color="auto" w:fill="FFFFFF" w:themeFill="background1"/>
            <w:vAlign w:val="center"/>
          </w:tcPr>
          <w:p w14:paraId="0580590B" w14:textId="263CB6DC" w:rsidR="00D753E2" w:rsidRPr="00162979" w:rsidRDefault="00732F3E" w:rsidP="00732F3E">
            <w:pPr>
              <w:jc w:val="center"/>
              <w:rPr>
                <w:rFonts w:cs="Arial"/>
                <w:b/>
                <w:color w:val="FFFFFF" w:themeColor="background1"/>
                <w:lang w:val="en-US"/>
              </w:rPr>
            </w:pPr>
            <w:r w:rsidRPr="00162979">
              <w:rPr>
                <w:rFonts w:cs="Arial"/>
                <w:b/>
                <w:color w:val="0F243E" w:themeColor="text2" w:themeShade="80"/>
                <w:lang w:val="en-US"/>
              </w:rPr>
              <w:t>What is</w:t>
            </w:r>
            <w:r w:rsidR="00D378D4" w:rsidRPr="00162979">
              <w:rPr>
                <w:rFonts w:cs="Arial"/>
                <w:b/>
                <w:color w:val="0F243E" w:themeColor="text2" w:themeShade="80"/>
                <w:lang w:val="en-US"/>
              </w:rPr>
              <w:t xml:space="preserve"> </w:t>
            </w:r>
            <w:r w:rsidR="00D753E2" w:rsidRPr="00162979">
              <w:rPr>
                <w:rFonts w:cs="Arial"/>
                <w:b/>
                <w:color w:val="0F243E" w:themeColor="text2" w:themeShade="80"/>
                <w:lang w:val="en-US"/>
              </w:rPr>
              <w:t>the due diligence carried out</w:t>
            </w:r>
            <w:r w:rsidR="00C27272" w:rsidRPr="00162979">
              <w:rPr>
                <w:rFonts w:cs="Arial"/>
                <w:b/>
                <w:color w:val="0F243E" w:themeColor="text2" w:themeShade="80"/>
                <w:lang w:val="en-US"/>
              </w:rPr>
              <w:t xml:space="preserve"> on the underlying assets and what are the </w:t>
            </w:r>
            <w:r w:rsidR="00C444F9" w:rsidRPr="00162979">
              <w:rPr>
                <w:rFonts w:cs="Arial"/>
                <w:b/>
                <w:color w:val="0F243E" w:themeColor="text2" w:themeShade="80"/>
                <w:lang w:val="en-US"/>
              </w:rPr>
              <w:t xml:space="preserve">internal and external </w:t>
            </w:r>
            <w:r w:rsidR="00C27272" w:rsidRPr="00162979">
              <w:rPr>
                <w:rFonts w:cs="Arial"/>
                <w:b/>
                <w:color w:val="0F243E" w:themeColor="text2" w:themeShade="80"/>
                <w:lang w:val="en-US"/>
              </w:rPr>
              <w:t>controls in place</w:t>
            </w:r>
            <w:r w:rsidR="00D378D4" w:rsidRPr="00162979">
              <w:rPr>
                <w:rFonts w:cs="Arial"/>
                <w:b/>
                <w:color w:val="0F243E" w:themeColor="text2" w:themeShade="80"/>
                <w:lang w:val="en-US"/>
              </w:rPr>
              <w:t>?</w:t>
            </w:r>
          </w:p>
        </w:tc>
      </w:tr>
      <w:tr w:rsidR="00123FE6" w:rsidRPr="00162979" w14:paraId="302D46F5" w14:textId="77777777" w:rsidTr="001A51A6">
        <w:trPr>
          <w:trHeight w:val="693"/>
        </w:trPr>
        <w:tc>
          <w:tcPr>
            <w:tcW w:w="9286" w:type="dxa"/>
            <w:gridSpan w:val="2"/>
            <w:vAlign w:val="center"/>
          </w:tcPr>
          <w:p w14:paraId="628984A4" w14:textId="77777777" w:rsidR="001A51A6" w:rsidRPr="00162979" w:rsidRDefault="001A51A6" w:rsidP="001A51A6">
            <w:pPr>
              <w:jc w:val="both"/>
              <w:rPr>
                <w:rFonts w:cs="Arial"/>
                <w:b/>
                <w:lang w:val="en-US"/>
              </w:rPr>
            </w:pPr>
          </w:p>
          <w:p w14:paraId="2692B50D" w14:textId="53E5C1AE" w:rsidR="00C6439F" w:rsidRDefault="00C6439F" w:rsidP="00C6439F">
            <w:pPr>
              <w:jc w:val="both"/>
              <w:rPr>
                <w:rFonts w:cs="Arial"/>
                <w:lang w:val="en-US"/>
              </w:rPr>
            </w:pPr>
            <w:r w:rsidRPr="00C6439F">
              <w:rPr>
                <w:rFonts w:cs="Arial"/>
                <w:lang w:val="en-US"/>
              </w:rPr>
              <w:t xml:space="preserve">During the </w:t>
            </w:r>
            <w:r w:rsidR="00364307">
              <w:rPr>
                <w:rFonts w:cs="Arial"/>
                <w:lang w:val="en-US"/>
              </w:rPr>
              <w:t>(</w:t>
            </w:r>
            <w:r w:rsidRPr="00C6439F">
              <w:rPr>
                <w:rFonts w:cs="Arial"/>
                <w:lang w:val="en-US"/>
              </w:rPr>
              <w:t>pre-</w:t>
            </w:r>
            <w:r w:rsidR="00364307">
              <w:rPr>
                <w:rFonts w:cs="Arial"/>
                <w:lang w:val="en-US"/>
              </w:rPr>
              <w:t>)</w:t>
            </w:r>
            <w:r w:rsidRPr="00C6439F">
              <w:rPr>
                <w:rFonts w:cs="Arial"/>
                <w:lang w:val="en-US"/>
              </w:rPr>
              <w:t>investment due diligence phase the investment teams identify whether there are any ESG-related risks or opportunities within the business or external factors affecting the business or the markets in which the company operates. The initial ESG assessment is an integral part of the due diligence and overall risk and opportunities assessment and includes strict exclusion criteria based on sectors and the identified long-term risks with a potentially significant impact.</w:t>
            </w:r>
          </w:p>
          <w:p w14:paraId="74FD6C50" w14:textId="77777777" w:rsidR="00C6439F" w:rsidRPr="00C6439F" w:rsidRDefault="00C6439F" w:rsidP="00C6439F">
            <w:pPr>
              <w:jc w:val="both"/>
              <w:rPr>
                <w:rFonts w:cs="Arial"/>
                <w:lang w:val="en-US"/>
              </w:rPr>
            </w:pPr>
          </w:p>
          <w:p w14:paraId="65388804" w14:textId="39312FC0" w:rsidR="00C6439F" w:rsidRPr="00C6439F" w:rsidRDefault="00C6439F" w:rsidP="00C6439F">
            <w:pPr>
              <w:jc w:val="both"/>
              <w:rPr>
                <w:rFonts w:cs="Arial"/>
                <w:b/>
                <w:lang w:val="en-US"/>
              </w:rPr>
            </w:pPr>
            <w:r w:rsidRPr="00C6439F">
              <w:rPr>
                <w:rFonts w:cs="Arial"/>
                <w:b/>
                <w:lang w:val="en-US"/>
              </w:rPr>
              <w:t>Identification and assessment of risks and opportunities</w:t>
            </w:r>
          </w:p>
          <w:p w14:paraId="2F01A7CD" w14:textId="77777777" w:rsidR="00C6439F" w:rsidRPr="00C6439F" w:rsidRDefault="00C6439F" w:rsidP="00C6439F">
            <w:pPr>
              <w:jc w:val="both"/>
              <w:rPr>
                <w:rFonts w:cs="Arial"/>
                <w:lang w:val="en-US"/>
              </w:rPr>
            </w:pPr>
          </w:p>
          <w:p w14:paraId="32444180" w14:textId="3A86A9B8" w:rsidR="00C6439F" w:rsidRPr="00C6439F" w:rsidRDefault="00C6439F" w:rsidP="00C6439F">
            <w:pPr>
              <w:jc w:val="both"/>
              <w:rPr>
                <w:rFonts w:cs="Arial"/>
                <w:lang w:val="en-US"/>
              </w:rPr>
            </w:pPr>
            <w:r w:rsidRPr="00C6439F">
              <w:rPr>
                <w:rFonts w:cs="Arial"/>
                <w:lang w:val="en-US"/>
              </w:rPr>
              <w:t>Based on in-depth knowledge and best practices, the investment team identifies the key ESG risk and opportunity areas for each investment. If ESG issues are identified, the investment team initializes internal discussions to determine on a case-by-case basis whether further risks can be mitigated, or further assessment is required. The</w:t>
            </w:r>
            <w:r>
              <w:rPr>
                <w:rFonts w:cs="Arial"/>
                <w:lang w:val="en-US"/>
              </w:rPr>
              <w:t xml:space="preserve"> Partnership</w:t>
            </w:r>
            <w:r w:rsidRPr="00C6439F">
              <w:rPr>
                <w:rFonts w:cs="Arial"/>
                <w:lang w:val="en-US"/>
              </w:rPr>
              <w:t xml:space="preserve"> has created standardized ESG questionnaires to ensure the highest level of objectivity</w:t>
            </w:r>
            <w:r w:rsidR="00364307">
              <w:rPr>
                <w:rFonts w:cs="Arial"/>
                <w:lang w:val="en-US"/>
              </w:rPr>
              <w:t xml:space="preserve"> and traceability</w:t>
            </w:r>
            <w:r w:rsidRPr="00C6439F">
              <w:rPr>
                <w:rFonts w:cs="Arial"/>
                <w:lang w:val="en-US"/>
              </w:rPr>
              <w:t>.</w:t>
            </w:r>
          </w:p>
          <w:p w14:paraId="1DD46708" w14:textId="61BF9F18" w:rsidR="00C6439F" w:rsidRDefault="00C6439F" w:rsidP="00C6439F">
            <w:pPr>
              <w:jc w:val="both"/>
              <w:rPr>
                <w:rFonts w:cs="Arial"/>
                <w:b/>
                <w:lang w:val="en-US"/>
              </w:rPr>
            </w:pPr>
            <w:r w:rsidRPr="00C6439F">
              <w:rPr>
                <w:rFonts w:cs="Arial"/>
                <w:b/>
                <w:lang w:val="en-US"/>
              </w:rPr>
              <w:lastRenderedPageBreak/>
              <w:t xml:space="preserve">Presentation of ESG risk and </w:t>
            </w:r>
            <w:r w:rsidR="00364307" w:rsidRPr="00C6439F">
              <w:rPr>
                <w:rFonts w:cs="Arial"/>
                <w:b/>
                <w:lang w:val="en-US"/>
              </w:rPr>
              <w:t>mitigates</w:t>
            </w:r>
            <w:r w:rsidRPr="00C6439F">
              <w:rPr>
                <w:rFonts w:cs="Arial"/>
                <w:b/>
                <w:lang w:val="en-US"/>
              </w:rPr>
              <w:t xml:space="preserve"> to the </w:t>
            </w:r>
            <w:r w:rsidR="00CE426B">
              <w:rPr>
                <w:rFonts w:cs="Arial"/>
                <w:b/>
                <w:lang w:val="en-US"/>
              </w:rPr>
              <w:t>AIFM</w:t>
            </w:r>
          </w:p>
          <w:p w14:paraId="1CAFB543" w14:textId="77777777" w:rsidR="003B467B" w:rsidRPr="00C6439F" w:rsidRDefault="003B467B" w:rsidP="00C6439F">
            <w:pPr>
              <w:jc w:val="both"/>
              <w:rPr>
                <w:rFonts w:cs="Arial"/>
                <w:b/>
                <w:lang w:val="en-US"/>
              </w:rPr>
            </w:pPr>
          </w:p>
          <w:p w14:paraId="308CB4E2" w14:textId="34009226" w:rsidR="00123FE6" w:rsidRPr="00C6439F" w:rsidRDefault="00C6439F" w:rsidP="00C6439F">
            <w:pPr>
              <w:jc w:val="both"/>
              <w:rPr>
                <w:rFonts w:cs="Arial"/>
                <w:lang w:val="en-US"/>
              </w:rPr>
            </w:pPr>
            <w:r w:rsidRPr="00C6439F">
              <w:rPr>
                <w:rFonts w:cs="Arial"/>
                <w:lang w:val="en-US"/>
              </w:rPr>
              <w:t>ESG considerations are included in investment papers, presented to, and considered by the</w:t>
            </w:r>
            <w:r w:rsidR="00CE426B">
              <w:rPr>
                <w:rFonts w:cs="Arial"/>
                <w:lang w:val="en-US"/>
              </w:rPr>
              <w:t xml:space="preserve"> AIFM</w:t>
            </w:r>
            <w:r w:rsidRPr="00C6439F">
              <w:rPr>
                <w:rFonts w:cs="Arial"/>
                <w:lang w:val="en-US"/>
              </w:rPr>
              <w:t xml:space="preserve">. A detailed section of ESG is required in all </w:t>
            </w:r>
            <w:r w:rsidR="00CE426B">
              <w:rPr>
                <w:rFonts w:cs="Arial"/>
                <w:lang w:val="en-US"/>
              </w:rPr>
              <w:t xml:space="preserve">investment </w:t>
            </w:r>
            <w:r w:rsidRPr="00C6439F">
              <w:rPr>
                <w:rFonts w:cs="Arial"/>
                <w:lang w:val="en-US"/>
              </w:rPr>
              <w:t xml:space="preserve">papers. The </w:t>
            </w:r>
            <w:r w:rsidR="00CE426B">
              <w:rPr>
                <w:rFonts w:cs="Arial"/>
                <w:lang w:val="en-US"/>
              </w:rPr>
              <w:t xml:space="preserve">AIFM </w:t>
            </w:r>
            <w:r w:rsidRPr="00C6439F">
              <w:rPr>
                <w:rFonts w:cs="Arial"/>
                <w:lang w:val="en-US"/>
              </w:rPr>
              <w:t xml:space="preserve">must give its approval. The </w:t>
            </w:r>
            <w:r>
              <w:rPr>
                <w:rFonts w:cs="Arial"/>
                <w:lang w:val="en-US"/>
              </w:rPr>
              <w:t>Partnership</w:t>
            </w:r>
            <w:r w:rsidRPr="00C6439F">
              <w:rPr>
                <w:rFonts w:cs="Arial"/>
                <w:lang w:val="en-US"/>
              </w:rPr>
              <w:t xml:space="preserve"> subsequently considers if there are any ESG risks which are deemed unacceptable, and thus will reject the investment or determines that any risks identified need to be addressed, managed, or improved during the holding period.</w:t>
            </w:r>
          </w:p>
          <w:p w14:paraId="3BC28320" w14:textId="27C3DB89" w:rsidR="001A51A6" w:rsidRPr="00162979" w:rsidRDefault="001A51A6" w:rsidP="001A51A6">
            <w:pPr>
              <w:jc w:val="both"/>
              <w:rPr>
                <w:rFonts w:ascii="Calibri" w:hAnsi="Calibri" w:cs="Arial"/>
                <w:lang w:val="en-US"/>
              </w:rPr>
            </w:pPr>
          </w:p>
        </w:tc>
      </w:tr>
    </w:tbl>
    <w:p w14:paraId="5407E0CC" w14:textId="3554883E" w:rsidR="00690C95" w:rsidRPr="00162979" w:rsidRDefault="00690C95" w:rsidP="00D378D4">
      <w:pPr>
        <w:spacing w:after="0" w:line="240" w:lineRule="auto"/>
        <w:jc w:val="both"/>
        <w:rPr>
          <w:rFonts w:ascii="Calibri" w:hAnsi="Calibri" w:cs="Arial"/>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206"/>
        <w:gridCol w:w="7854"/>
      </w:tblGrid>
      <w:tr w:rsidR="00123FE6" w:rsidRPr="00162979" w14:paraId="0775B9E6" w14:textId="77777777" w:rsidTr="003B3BE4">
        <w:trPr>
          <w:trHeight w:val="510"/>
        </w:trPr>
        <w:tc>
          <w:tcPr>
            <w:tcW w:w="1206" w:type="dxa"/>
            <w:shd w:val="clear" w:color="auto" w:fill="17365D" w:themeFill="text2" w:themeFillShade="BF"/>
            <w:vAlign w:val="center"/>
          </w:tcPr>
          <w:p w14:paraId="07BE9059" w14:textId="77777777" w:rsidR="00123FE6" w:rsidRPr="00162979" w:rsidRDefault="00FB17CF" w:rsidP="00FB17CF">
            <w:pPr>
              <w:jc w:val="center"/>
              <w:rPr>
                <w:rFonts w:ascii="Calibri" w:hAnsi="Calibri" w:cs="Arial"/>
                <w:b/>
                <w:color w:val="FFFFFF" w:themeColor="background1"/>
                <w:lang w:val="en-US"/>
              </w:rPr>
            </w:pPr>
            <w:r w:rsidRPr="00162979">
              <w:rPr>
                <w:noProof/>
                <w:lang w:val="en-US" w:eastAsia="en-GB"/>
              </w:rPr>
              <w:drawing>
                <wp:inline distT="0" distB="0" distL="0" distR="0" wp14:anchorId="0DAAC846" wp14:editId="6BD1CCEA">
                  <wp:extent cx="620133" cy="565200"/>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clrChange>
                              <a:clrFrom>
                                <a:srgbClr val="FFFFFF"/>
                              </a:clrFrom>
                              <a:clrTo>
                                <a:srgbClr val="FFFFFF">
                                  <a:alpha val="0"/>
                                </a:srgbClr>
                              </a:clrTo>
                            </a:clrChange>
                            <a:lum bright="70000" contrast="-70000"/>
                          </a:blip>
                          <a:stretch>
                            <a:fillRect/>
                          </a:stretch>
                        </pic:blipFill>
                        <pic:spPr>
                          <a:xfrm>
                            <a:off x="0" y="0"/>
                            <a:ext cx="620133" cy="565200"/>
                          </a:xfrm>
                          <a:prstGeom prst="rect">
                            <a:avLst/>
                          </a:prstGeom>
                        </pic:spPr>
                      </pic:pic>
                    </a:graphicData>
                  </a:graphic>
                </wp:inline>
              </w:drawing>
            </w:r>
          </w:p>
        </w:tc>
        <w:tc>
          <w:tcPr>
            <w:tcW w:w="8080" w:type="dxa"/>
            <w:shd w:val="clear" w:color="auto" w:fill="17365D" w:themeFill="text2" w:themeFillShade="BF"/>
            <w:vAlign w:val="center"/>
          </w:tcPr>
          <w:p w14:paraId="34B46439" w14:textId="77777777" w:rsidR="00CB63FA" w:rsidRPr="00162979" w:rsidRDefault="00123FE6" w:rsidP="00CB63FA">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Engagement policies</w:t>
            </w:r>
          </w:p>
        </w:tc>
      </w:tr>
      <w:tr w:rsidR="00CB000F" w:rsidRPr="00162979" w14:paraId="47E940D4" w14:textId="77777777" w:rsidTr="0055682D">
        <w:trPr>
          <w:trHeight w:val="487"/>
        </w:trPr>
        <w:tc>
          <w:tcPr>
            <w:tcW w:w="9286" w:type="dxa"/>
            <w:gridSpan w:val="2"/>
            <w:tcBorders>
              <w:bottom w:val="single" w:sz="4" w:space="0" w:color="A6A6A6" w:themeColor="background1" w:themeShade="A6"/>
            </w:tcBorders>
            <w:shd w:val="clear" w:color="auto" w:fill="FFFFFF" w:themeFill="background1"/>
            <w:vAlign w:val="center"/>
          </w:tcPr>
          <w:p w14:paraId="4A696234" w14:textId="77777777" w:rsidR="00CB000F" w:rsidRPr="00162979" w:rsidRDefault="00CB000F" w:rsidP="00FE10DA">
            <w:pPr>
              <w:jc w:val="center"/>
              <w:rPr>
                <w:rFonts w:cs="Arial"/>
                <w:b/>
                <w:color w:val="FFFFFF" w:themeColor="background1"/>
                <w:lang w:val="en-US"/>
              </w:rPr>
            </w:pPr>
            <w:r w:rsidRPr="00162979">
              <w:rPr>
                <w:rFonts w:cs="Arial"/>
                <w:b/>
                <w:color w:val="0F243E" w:themeColor="text2" w:themeShade="80"/>
                <w:lang w:val="en-US"/>
              </w:rPr>
              <w:t>Is engagement part of the environmental or social investment strategy?</w:t>
            </w:r>
          </w:p>
        </w:tc>
      </w:tr>
      <w:tr w:rsidR="00CB000F" w:rsidRPr="00162979" w14:paraId="037F71A4" w14:textId="77777777" w:rsidTr="0055682D">
        <w:trPr>
          <w:trHeight w:val="770"/>
        </w:trPr>
        <w:tc>
          <w:tcPr>
            <w:tcW w:w="9286" w:type="dxa"/>
            <w:gridSpan w:val="2"/>
            <w:tcBorders>
              <w:left w:val="single" w:sz="4" w:space="0" w:color="auto"/>
            </w:tcBorders>
            <w:shd w:val="clear" w:color="auto" w:fill="auto"/>
            <w:vAlign w:val="center"/>
          </w:tcPr>
          <w:p w14:paraId="666A4D22" w14:textId="725E9C27" w:rsidR="00C444F9" w:rsidRPr="00162979" w:rsidRDefault="00E145BF" w:rsidP="00C444F9">
            <w:pPr>
              <w:jc w:val="both"/>
              <w:rPr>
                <w:lang w:val="en-US"/>
              </w:rPr>
            </w:pPr>
            <w:sdt>
              <w:sdtPr>
                <w:rPr>
                  <w:rFonts w:eastAsia="MS Gothic"/>
                  <w:sz w:val="28"/>
                  <w:lang w:val="en-US"/>
                </w:rPr>
                <w:id w:val="-438526335"/>
                <w14:checkbox>
                  <w14:checked w14:val="1"/>
                  <w14:checkedState w14:val="2612" w14:font="MS Gothic"/>
                  <w14:uncheckedState w14:val="2610" w14:font="MS Gothic"/>
                </w14:checkbox>
              </w:sdtPr>
              <w:sdtEndPr/>
              <w:sdtContent>
                <w:r w:rsidR="00E00CEC">
                  <w:rPr>
                    <w:rFonts w:ascii="MS Gothic" w:eastAsia="MS Gothic" w:hAnsi="MS Gothic" w:hint="eastAsia"/>
                    <w:sz w:val="28"/>
                    <w:lang w:val="en-US"/>
                  </w:rPr>
                  <w:t>☒</w:t>
                </w:r>
              </w:sdtContent>
            </w:sdt>
            <w:r w:rsidR="00C444F9" w:rsidRPr="00162979">
              <w:rPr>
                <w:lang w:val="en-US"/>
              </w:rPr>
              <w:t xml:space="preserve"> Yes</w:t>
            </w:r>
          </w:p>
          <w:p w14:paraId="5A68D9FC" w14:textId="548FA06D" w:rsidR="001A51A6" w:rsidRPr="00162979" w:rsidRDefault="00E145BF" w:rsidP="000E71F6">
            <w:pPr>
              <w:rPr>
                <w:rFonts w:cs="Arial"/>
                <w:lang w:val="en-US"/>
              </w:rPr>
            </w:pPr>
            <w:sdt>
              <w:sdtPr>
                <w:rPr>
                  <w:rFonts w:eastAsia="MS Gothic"/>
                  <w:sz w:val="28"/>
                  <w:lang w:val="en-US"/>
                </w:rPr>
                <w:id w:val="586972390"/>
                <w14:checkbox>
                  <w14:checked w14:val="0"/>
                  <w14:checkedState w14:val="2612" w14:font="MS Gothic"/>
                  <w14:uncheckedState w14:val="2610" w14:font="MS Gothic"/>
                </w14:checkbox>
              </w:sdtPr>
              <w:sdtEndPr/>
              <w:sdtContent>
                <w:r w:rsidR="00E00CEC">
                  <w:rPr>
                    <w:rFonts w:ascii="MS Gothic" w:eastAsia="MS Gothic" w:hAnsi="MS Gothic" w:hint="eastAsia"/>
                    <w:sz w:val="28"/>
                    <w:lang w:val="en-US"/>
                  </w:rPr>
                  <w:t>☐</w:t>
                </w:r>
              </w:sdtContent>
            </w:sdt>
            <w:r w:rsidR="00C444F9" w:rsidRPr="00162979">
              <w:rPr>
                <w:lang w:val="en-US"/>
              </w:rPr>
              <w:t xml:space="preserve"> No</w:t>
            </w:r>
          </w:p>
        </w:tc>
      </w:tr>
      <w:tr w:rsidR="00D753E2" w:rsidRPr="00162979" w14:paraId="43A5AD82" w14:textId="77777777" w:rsidTr="00385E80">
        <w:trPr>
          <w:trHeight w:val="770"/>
        </w:trPr>
        <w:tc>
          <w:tcPr>
            <w:tcW w:w="9286" w:type="dxa"/>
            <w:gridSpan w:val="2"/>
            <w:shd w:val="clear" w:color="auto" w:fill="FFFFFF" w:themeFill="background1"/>
            <w:vAlign w:val="center"/>
          </w:tcPr>
          <w:p w14:paraId="247550B3" w14:textId="77777777" w:rsidR="00D753E2" w:rsidRPr="00162979" w:rsidRDefault="0055682D" w:rsidP="00385E80">
            <w:pPr>
              <w:jc w:val="center"/>
              <w:rPr>
                <w:rFonts w:cs="Arial"/>
                <w:b/>
                <w:color w:val="0F243E" w:themeColor="text2" w:themeShade="80"/>
                <w:lang w:val="en-US"/>
              </w:rPr>
            </w:pPr>
            <w:r w:rsidRPr="00162979">
              <w:rPr>
                <w:rFonts w:cs="Arial"/>
                <w:b/>
                <w:color w:val="0F243E" w:themeColor="text2" w:themeShade="80"/>
                <w:lang w:val="en-US"/>
              </w:rPr>
              <w:t>If so, w</w:t>
            </w:r>
            <w:r w:rsidR="00D378D4" w:rsidRPr="00162979">
              <w:rPr>
                <w:rFonts w:cs="Arial"/>
                <w:b/>
                <w:color w:val="0F243E" w:themeColor="text2" w:themeShade="80"/>
                <w:lang w:val="en-US"/>
              </w:rPr>
              <w:t>hat are</w:t>
            </w:r>
            <w:r w:rsidR="00D753E2" w:rsidRPr="00162979">
              <w:rPr>
                <w:rFonts w:cs="Arial"/>
                <w:b/>
                <w:color w:val="0F243E" w:themeColor="text2" w:themeShade="80"/>
                <w:lang w:val="en-US"/>
              </w:rPr>
              <w:t xml:space="preserve"> the engagement </w:t>
            </w:r>
            <w:r w:rsidR="00D378D4" w:rsidRPr="00162979">
              <w:rPr>
                <w:rFonts w:cs="Arial"/>
                <w:b/>
                <w:color w:val="0F243E" w:themeColor="text2" w:themeShade="80"/>
                <w:lang w:val="en-US"/>
              </w:rPr>
              <w:t>policies?</w:t>
            </w:r>
            <w:r w:rsidR="00CB000F" w:rsidRPr="00162979">
              <w:rPr>
                <w:rFonts w:cs="Arial"/>
                <w:b/>
                <w:color w:val="0F243E" w:themeColor="text2" w:themeShade="80"/>
                <w:lang w:val="en-US"/>
              </w:rPr>
              <w:t xml:space="preserve"> </w:t>
            </w:r>
            <w:r w:rsidR="00D378D4" w:rsidRPr="00162979">
              <w:rPr>
                <w:rFonts w:cs="Arial"/>
                <w:b/>
                <w:color w:val="0F243E" w:themeColor="text2" w:themeShade="80"/>
                <w:lang w:val="en-US"/>
              </w:rPr>
              <w:t>(I</w:t>
            </w:r>
            <w:r w:rsidR="00CB000F" w:rsidRPr="00162979">
              <w:rPr>
                <w:rFonts w:cs="Arial"/>
                <w:b/>
                <w:color w:val="0F243E" w:themeColor="text2" w:themeShade="80"/>
                <w:lang w:val="en-US"/>
              </w:rPr>
              <w:t>ncluding any management procedures applicable to sustainability-related controversies</w:t>
            </w:r>
            <w:r w:rsidRPr="00162979">
              <w:rPr>
                <w:rFonts w:cs="Arial"/>
                <w:b/>
                <w:color w:val="0F243E" w:themeColor="text2" w:themeShade="80"/>
                <w:lang w:val="en-US"/>
              </w:rPr>
              <w:t xml:space="preserve"> in investee companies</w:t>
            </w:r>
            <w:r w:rsidR="00D378D4" w:rsidRPr="00162979">
              <w:rPr>
                <w:rFonts w:cs="Arial"/>
                <w:b/>
                <w:color w:val="0F243E" w:themeColor="text2" w:themeShade="80"/>
                <w:lang w:val="en-US"/>
              </w:rPr>
              <w:t>)</w:t>
            </w:r>
          </w:p>
        </w:tc>
      </w:tr>
      <w:tr w:rsidR="00123FE6" w:rsidRPr="00162979" w14:paraId="15945B4C" w14:textId="77777777" w:rsidTr="00C40A23">
        <w:trPr>
          <w:trHeight w:val="766"/>
        </w:trPr>
        <w:tc>
          <w:tcPr>
            <w:tcW w:w="9286" w:type="dxa"/>
            <w:gridSpan w:val="2"/>
            <w:vAlign w:val="center"/>
          </w:tcPr>
          <w:p w14:paraId="45FE1CD5" w14:textId="77777777" w:rsidR="00C40A23" w:rsidRPr="00162979" w:rsidRDefault="00C40A23" w:rsidP="000E71F6">
            <w:pPr>
              <w:rPr>
                <w:rFonts w:ascii="Calibri" w:hAnsi="Calibri" w:cs="Arial"/>
                <w:lang w:val="en-US"/>
              </w:rPr>
            </w:pPr>
          </w:p>
          <w:p w14:paraId="14ADE220" w14:textId="179B44A9" w:rsidR="001A51A6" w:rsidRPr="00162979" w:rsidRDefault="00E00CEC" w:rsidP="00E00CEC">
            <w:pPr>
              <w:jc w:val="both"/>
              <w:rPr>
                <w:rFonts w:ascii="Calibri" w:hAnsi="Calibri" w:cs="Arial"/>
                <w:lang w:val="en-US"/>
              </w:rPr>
            </w:pPr>
            <w:r w:rsidRPr="00E00CEC">
              <w:rPr>
                <w:rFonts w:ascii="Calibri" w:hAnsi="Calibri" w:cs="Arial"/>
                <w:lang w:val="en-US"/>
              </w:rPr>
              <w:t xml:space="preserve">The </w:t>
            </w:r>
            <w:r>
              <w:rPr>
                <w:rFonts w:ascii="Calibri" w:hAnsi="Calibri" w:cs="Arial"/>
                <w:lang w:val="en-US"/>
              </w:rPr>
              <w:t>Partnership</w:t>
            </w:r>
            <w:r w:rsidRPr="00E00CEC">
              <w:rPr>
                <w:rFonts w:ascii="Calibri" w:hAnsi="Calibri" w:cs="Arial"/>
                <w:lang w:val="en-US"/>
              </w:rPr>
              <w:t xml:space="preserve"> actively engages with the portfolio company’s management to monitor and manage ESG matters. In cases where material ESG risks are identified and deemed inacceptable, a plan is developed and agreed with the management to improve or remedy the issue. In addition, the portfolio company is required to commit to relevant compliance undertakings.</w:t>
            </w:r>
          </w:p>
          <w:p w14:paraId="12D5225F" w14:textId="0A7E8A1D" w:rsidR="00C40A23" w:rsidRPr="00162979" w:rsidRDefault="00C40A23" w:rsidP="001A51A6">
            <w:pPr>
              <w:jc w:val="both"/>
              <w:rPr>
                <w:rFonts w:ascii="Calibri" w:hAnsi="Calibri" w:cs="Arial"/>
                <w:lang w:val="en-US"/>
              </w:rPr>
            </w:pPr>
          </w:p>
        </w:tc>
      </w:tr>
    </w:tbl>
    <w:p w14:paraId="777F42B4" w14:textId="77777777" w:rsidR="00B562ED" w:rsidRPr="00162979" w:rsidRDefault="00B562ED" w:rsidP="00A97935">
      <w:pPr>
        <w:spacing w:after="0" w:line="240" w:lineRule="auto"/>
        <w:rPr>
          <w:rFonts w:ascii="Calibri" w:hAnsi="Calibri" w:cs="Arial"/>
          <w:u w:val="single"/>
          <w:lang w:val="en-US"/>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5"/>
        <w:gridCol w:w="7965"/>
      </w:tblGrid>
      <w:tr w:rsidR="002B78CC" w:rsidRPr="00162979" w14:paraId="4A45D715" w14:textId="77777777" w:rsidTr="00610BB6">
        <w:trPr>
          <w:trHeight w:val="510"/>
        </w:trPr>
        <w:tc>
          <w:tcPr>
            <w:tcW w:w="1100" w:type="dxa"/>
            <w:shd w:val="clear" w:color="auto" w:fill="17365D" w:themeFill="text2" w:themeFillShade="BF"/>
            <w:vAlign w:val="center"/>
          </w:tcPr>
          <w:p w14:paraId="3656EF0D" w14:textId="77777777" w:rsidR="002B78CC" w:rsidRPr="00162979" w:rsidRDefault="002B78CC" w:rsidP="00610BB6">
            <w:pPr>
              <w:jc w:val="center"/>
              <w:rPr>
                <w:rFonts w:ascii="Calibri" w:hAnsi="Calibri" w:cs="Arial"/>
                <w:b/>
                <w:color w:val="FFFFFF" w:themeColor="background1"/>
                <w:lang w:val="en-US"/>
              </w:rPr>
            </w:pPr>
            <w:r w:rsidRPr="00162979">
              <w:rPr>
                <w:noProof/>
                <w:lang w:val="en-US" w:eastAsia="en-GB"/>
              </w:rPr>
              <w:drawing>
                <wp:inline distT="0" distB="0" distL="0" distR="0" wp14:anchorId="648F944F" wp14:editId="7339834C">
                  <wp:extent cx="467791" cy="56520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lum bright="70000" contrast="-70000"/>
                          </a:blip>
                          <a:stretch>
                            <a:fillRect/>
                          </a:stretch>
                        </pic:blipFill>
                        <pic:spPr>
                          <a:xfrm>
                            <a:off x="0" y="0"/>
                            <a:ext cx="467791" cy="565200"/>
                          </a:xfrm>
                          <a:prstGeom prst="rect">
                            <a:avLst/>
                          </a:prstGeom>
                        </pic:spPr>
                      </pic:pic>
                    </a:graphicData>
                  </a:graphic>
                </wp:inline>
              </w:drawing>
            </w:r>
          </w:p>
        </w:tc>
        <w:tc>
          <w:tcPr>
            <w:tcW w:w="8186" w:type="dxa"/>
            <w:shd w:val="clear" w:color="auto" w:fill="17365D" w:themeFill="text2" w:themeFillShade="BF"/>
            <w:vAlign w:val="center"/>
          </w:tcPr>
          <w:p w14:paraId="401D9765" w14:textId="530A5114" w:rsidR="002B78CC" w:rsidRPr="00162979" w:rsidRDefault="002B78CC" w:rsidP="00610BB6">
            <w:pPr>
              <w:pStyle w:val="Listenabsatz"/>
              <w:numPr>
                <w:ilvl w:val="0"/>
                <w:numId w:val="7"/>
              </w:numPr>
              <w:ind w:left="317" w:hanging="317"/>
              <w:rPr>
                <w:rFonts w:ascii="Calibri" w:hAnsi="Calibri" w:cs="Arial"/>
                <w:b/>
                <w:color w:val="FFFFFF" w:themeColor="background1"/>
                <w:sz w:val="24"/>
                <w:szCs w:val="24"/>
                <w:lang w:val="en-US"/>
              </w:rPr>
            </w:pPr>
            <w:r w:rsidRPr="00162979">
              <w:rPr>
                <w:rFonts w:ascii="Calibri" w:hAnsi="Calibri" w:cs="Arial"/>
                <w:b/>
                <w:color w:val="FFFFFF" w:themeColor="background1"/>
                <w:sz w:val="24"/>
                <w:szCs w:val="24"/>
                <w:lang w:val="en-US"/>
              </w:rPr>
              <w:t>Reference benchmark</w:t>
            </w:r>
          </w:p>
        </w:tc>
      </w:tr>
      <w:tr w:rsidR="002F41FC" w:rsidRPr="00162979" w14:paraId="179BB350" w14:textId="77777777" w:rsidTr="00610BB6">
        <w:trPr>
          <w:trHeight w:val="393"/>
        </w:trPr>
        <w:tc>
          <w:tcPr>
            <w:tcW w:w="9286" w:type="dxa"/>
            <w:gridSpan w:val="2"/>
            <w:shd w:val="clear" w:color="auto" w:fill="FFFFFF" w:themeFill="background1"/>
            <w:vAlign w:val="center"/>
          </w:tcPr>
          <w:p w14:paraId="74590EDA" w14:textId="47082722" w:rsidR="002F41FC" w:rsidRPr="00162979" w:rsidRDefault="002F41FC" w:rsidP="002F41FC">
            <w:pPr>
              <w:jc w:val="center"/>
              <w:rPr>
                <w:rFonts w:cs="Arial"/>
                <w:b/>
                <w:color w:val="0F243E" w:themeColor="text2" w:themeShade="80"/>
                <w:lang w:val="en-US"/>
              </w:rPr>
            </w:pPr>
            <w:r w:rsidRPr="00162979">
              <w:rPr>
                <w:rFonts w:cs="Arial"/>
                <w:b/>
                <w:color w:val="0F243E" w:themeColor="text2" w:themeShade="80"/>
                <w:lang w:val="en-US"/>
              </w:rPr>
              <w:t>Has a reference benchmark been designated for the purpose of attaining these characteristics promoted by the financial product?</w:t>
            </w:r>
          </w:p>
        </w:tc>
      </w:tr>
      <w:tr w:rsidR="002B78CC" w:rsidRPr="00162979" w14:paraId="263B63CE" w14:textId="77777777" w:rsidTr="00610BB6">
        <w:trPr>
          <w:trHeight w:val="846"/>
        </w:trPr>
        <w:tc>
          <w:tcPr>
            <w:tcW w:w="9286" w:type="dxa"/>
            <w:gridSpan w:val="2"/>
            <w:vAlign w:val="center"/>
          </w:tcPr>
          <w:p w14:paraId="4D02C334" w14:textId="77777777" w:rsidR="002B78CC" w:rsidRPr="00162979" w:rsidRDefault="00E145BF" w:rsidP="00610BB6">
            <w:pPr>
              <w:jc w:val="both"/>
              <w:rPr>
                <w:lang w:val="en-US"/>
              </w:rPr>
            </w:pPr>
            <w:sdt>
              <w:sdtPr>
                <w:rPr>
                  <w:rFonts w:eastAsia="MS Gothic"/>
                  <w:sz w:val="28"/>
                  <w:lang w:val="en-US"/>
                </w:rPr>
                <w:id w:val="-1957176636"/>
                <w14:checkbox>
                  <w14:checked w14:val="0"/>
                  <w14:checkedState w14:val="2612" w14:font="MS Gothic"/>
                  <w14:uncheckedState w14:val="2610" w14:font="MS Gothic"/>
                </w14:checkbox>
              </w:sdtPr>
              <w:sdtEndPr/>
              <w:sdtContent>
                <w:r w:rsidR="002B78CC" w:rsidRPr="00162979">
                  <w:rPr>
                    <w:rFonts w:ascii="MS Gothic" w:eastAsia="MS Gothic" w:hAnsi="MS Gothic"/>
                    <w:sz w:val="28"/>
                    <w:lang w:val="en-US"/>
                  </w:rPr>
                  <w:t>☐</w:t>
                </w:r>
              </w:sdtContent>
            </w:sdt>
            <w:r w:rsidR="002B78CC" w:rsidRPr="00162979">
              <w:rPr>
                <w:lang w:val="en-US"/>
              </w:rPr>
              <w:t xml:space="preserve"> Yes</w:t>
            </w:r>
          </w:p>
          <w:p w14:paraId="2C9D365D" w14:textId="1B902E3D" w:rsidR="002B78CC" w:rsidRPr="00162979" w:rsidRDefault="00E145BF" w:rsidP="00610BB6">
            <w:pPr>
              <w:jc w:val="both"/>
              <w:rPr>
                <w:rFonts w:cs="Arial"/>
                <w:lang w:val="en-US"/>
              </w:rPr>
            </w:pPr>
            <w:sdt>
              <w:sdtPr>
                <w:rPr>
                  <w:rFonts w:eastAsia="MS Gothic"/>
                  <w:sz w:val="28"/>
                  <w:lang w:val="en-US"/>
                </w:rPr>
                <w:id w:val="-352732598"/>
                <w14:checkbox>
                  <w14:checked w14:val="1"/>
                  <w14:checkedState w14:val="2612" w14:font="MS Gothic"/>
                  <w14:uncheckedState w14:val="2610" w14:font="MS Gothic"/>
                </w14:checkbox>
              </w:sdtPr>
              <w:sdtEndPr/>
              <w:sdtContent>
                <w:r w:rsidR="00B16974" w:rsidRPr="00162979">
                  <w:rPr>
                    <w:rFonts w:ascii="MS Gothic" w:eastAsia="MS Gothic" w:hAnsi="MS Gothic"/>
                    <w:sz w:val="28"/>
                    <w:lang w:val="en-US"/>
                  </w:rPr>
                  <w:t>☒</w:t>
                </w:r>
              </w:sdtContent>
            </w:sdt>
            <w:r w:rsidR="002B78CC" w:rsidRPr="00162979">
              <w:rPr>
                <w:lang w:val="en-US"/>
              </w:rPr>
              <w:t xml:space="preserve"> No</w:t>
            </w:r>
          </w:p>
        </w:tc>
      </w:tr>
      <w:tr w:rsidR="002F41FC" w:rsidRPr="00162979" w14:paraId="73C4B91A" w14:textId="77777777" w:rsidTr="00385E80">
        <w:trPr>
          <w:trHeight w:val="481"/>
        </w:trPr>
        <w:tc>
          <w:tcPr>
            <w:tcW w:w="9286" w:type="dxa"/>
            <w:gridSpan w:val="2"/>
            <w:vAlign w:val="center"/>
          </w:tcPr>
          <w:p w14:paraId="48AB6EC1" w14:textId="24187240" w:rsidR="002F41FC" w:rsidRPr="00162979" w:rsidRDefault="002F41FC" w:rsidP="002F41FC">
            <w:pPr>
              <w:jc w:val="center"/>
              <w:rPr>
                <w:rFonts w:eastAsia="MS Gothic"/>
                <w:sz w:val="28"/>
                <w:lang w:val="en-US"/>
              </w:rPr>
            </w:pPr>
            <w:r w:rsidRPr="00162979">
              <w:rPr>
                <w:rFonts w:cs="Arial"/>
                <w:b/>
                <w:lang w:val="en-US"/>
              </w:rPr>
              <w:t>How is that index designated as a reference benchmark aligned with the environmental or social characteristics promoted by the financial product? (including the input data, the methodologies used to select those data, the rebalancing methodologies and how the index is calculated)</w:t>
            </w:r>
          </w:p>
        </w:tc>
      </w:tr>
      <w:tr w:rsidR="002F41FC" w:rsidRPr="00162979" w14:paraId="1AA78B9C" w14:textId="77777777" w:rsidTr="00385E80">
        <w:trPr>
          <w:trHeight w:val="545"/>
        </w:trPr>
        <w:tc>
          <w:tcPr>
            <w:tcW w:w="9286" w:type="dxa"/>
            <w:gridSpan w:val="2"/>
            <w:vAlign w:val="center"/>
          </w:tcPr>
          <w:p w14:paraId="5CFE163A" w14:textId="5E6F2CE4" w:rsidR="002F41FC" w:rsidRPr="00162979" w:rsidRDefault="00B16974" w:rsidP="002F41FC">
            <w:pPr>
              <w:jc w:val="both"/>
              <w:rPr>
                <w:rFonts w:eastAsia="MS Gothic"/>
                <w:sz w:val="28"/>
                <w:lang w:val="en-US"/>
              </w:rPr>
            </w:pPr>
            <w:r w:rsidRPr="00162979">
              <w:rPr>
                <w:rFonts w:cs="Arial"/>
                <w:lang w:val="en-US"/>
              </w:rPr>
              <w:t>Not applicable.</w:t>
            </w:r>
          </w:p>
        </w:tc>
      </w:tr>
    </w:tbl>
    <w:p w14:paraId="3E4C46B9" w14:textId="529207EF" w:rsidR="00A900D3" w:rsidRDefault="00A900D3" w:rsidP="003D1990">
      <w:pPr>
        <w:rPr>
          <w:rFonts w:ascii="Calibri" w:hAnsi="Calibri" w:cs="Arial"/>
        </w:rPr>
      </w:pPr>
    </w:p>
    <w:p w14:paraId="474734D7" w14:textId="77777777" w:rsidR="00A900D3" w:rsidRDefault="00A900D3">
      <w:pPr>
        <w:rPr>
          <w:rFonts w:ascii="Calibri" w:hAnsi="Calibri" w:cs="Arial"/>
        </w:rPr>
      </w:pPr>
      <w:r>
        <w:rPr>
          <w:rFonts w:ascii="Calibri" w:hAnsi="Calibri" w:cs="Arial"/>
        </w:rPr>
        <w:br w:type="page"/>
      </w:r>
    </w:p>
    <w:p w14:paraId="0F435E8A" w14:textId="77777777" w:rsidR="00A900D3" w:rsidRPr="00EF1356" w:rsidRDefault="00A900D3" w:rsidP="00A900D3">
      <w:pPr>
        <w:jc w:val="center"/>
        <w:rPr>
          <w:rFonts w:ascii="Calibri" w:hAnsi="Calibri" w:cs="Arial"/>
          <w:u w:val="single"/>
          <w:lang w:val="en-US"/>
        </w:rPr>
      </w:pPr>
      <w:r w:rsidRPr="00EF1356">
        <w:rPr>
          <w:rFonts w:ascii="Calibri" w:hAnsi="Calibri" w:cs="Arial"/>
          <w:u w:val="single"/>
          <w:lang w:val="en-US"/>
        </w:rPr>
        <w:lastRenderedPageBreak/>
        <w:t>German / Deutsch</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A900D3" w:rsidRPr="00EF1356" w14:paraId="2D1CCF7E" w14:textId="77777777" w:rsidTr="002A6B53">
        <w:trPr>
          <w:trHeight w:val="510"/>
        </w:trPr>
        <w:tc>
          <w:tcPr>
            <w:tcW w:w="1098" w:type="dxa"/>
            <w:shd w:val="clear" w:color="auto" w:fill="17365D" w:themeFill="text2" w:themeFillShade="BF"/>
            <w:vAlign w:val="center"/>
          </w:tcPr>
          <w:p w14:paraId="268E7A7F" w14:textId="77777777" w:rsidR="00A900D3" w:rsidRPr="00EF1356" w:rsidRDefault="00A900D3" w:rsidP="002A6B53">
            <w:pPr>
              <w:jc w:val="center"/>
              <w:rPr>
                <w:rFonts w:ascii="Calibri" w:hAnsi="Calibri" w:cs="Arial"/>
                <w:b/>
                <w:color w:val="FFFFFF" w:themeColor="background1"/>
                <w:lang w:val="en-US"/>
              </w:rPr>
            </w:pPr>
            <w:r w:rsidRPr="00EF1356">
              <w:rPr>
                <w:noProof/>
                <w:lang w:val="en-US" w:eastAsia="en-GB"/>
              </w:rPr>
              <w:drawing>
                <wp:inline distT="0" distB="0" distL="0" distR="0" wp14:anchorId="2DF13EA6" wp14:editId="1AFD276C">
                  <wp:extent cx="522514" cy="563518"/>
                  <wp:effectExtent l="0" t="0" r="0" b="825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42FE33FA" w14:textId="77777777" w:rsidR="00A900D3" w:rsidRPr="00EF1356" w:rsidRDefault="00A900D3" w:rsidP="002A6B53">
            <w:pPr>
              <w:pStyle w:val="Listenabsatz"/>
              <w:numPr>
                <w:ilvl w:val="0"/>
                <w:numId w:val="30"/>
              </w:numPr>
              <w:rPr>
                <w:rFonts w:ascii="Calibri" w:hAnsi="Calibri" w:cs="Arial"/>
                <w:b/>
                <w:color w:val="FFFFFF" w:themeColor="background1"/>
                <w:sz w:val="24"/>
                <w:szCs w:val="24"/>
                <w:lang w:val="en-US"/>
              </w:rPr>
            </w:pPr>
            <w:proofErr w:type="spellStart"/>
            <w:r w:rsidRPr="00EF1356">
              <w:rPr>
                <w:rFonts w:ascii="Calibri" w:hAnsi="Calibri" w:cs="Arial"/>
                <w:b/>
                <w:color w:val="FFFFFF" w:themeColor="background1"/>
                <w:sz w:val="24"/>
                <w:szCs w:val="24"/>
                <w:lang w:val="en-US"/>
              </w:rPr>
              <w:t>Zusammenfassung</w:t>
            </w:r>
            <w:proofErr w:type="spellEnd"/>
          </w:p>
        </w:tc>
      </w:tr>
      <w:tr w:rsidR="00A900D3" w:rsidRPr="00A900D3" w14:paraId="1A581A32" w14:textId="77777777" w:rsidTr="002A6B53">
        <w:trPr>
          <w:trHeight w:val="6592"/>
        </w:trPr>
        <w:tc>
          <w:tcPr>
            <w:tcW w:w="9060" w:type="dxa"/>
            <w:gridSpan w:val="2"/>
          </w:tcPr>
          <w:p w14:paraId="4550EE2A" w14:textId="06B0734A" w:rsidR="00A900D3" w:rsidRPr="00D04AB5" w:rsidRDefault="00A900D3" w:rsidP="002A6B53">
            <w:pPr>
              <w:jc w:val="both"/>
              <w:rPr>
                <w:rFonts w:ascii="Calibri" w:hAnsi="Calibri" w:cs="Arial"/>
                <w:lang w:val="de-DE"/>
              </w:rPr>
            </w:pPr>
            <w:r w:rsidRPr="00D04AB5">
              <w:rPr>
                <w:rFonts w:ascii="Calibri" w:hAnsi="Calibri" w:cs="Arial"/>
                <w:lang w:val="de-DE"/>
              </w:rPr>
              <w:t xml:space="preserve">BRIGHT CAPITAL </w:t>
            </w:r>
            <w:r w:rsidR="00EF1356" w:rsidRPr="00D04AB5">
              <w:t xml:space="preserve">European </w:t>
            </w:r>
            <w:r w:rsidRPr="00D04AB5">
              <w:rPr>
                <w:rFonts w:ascii="Calibri" w:hAnsi="Calibri" w:cs="Arial"/>
                <w:lang w:val="de-DE"/>
              </w:rPr>
              <w:t>Credit Fund III SCSp (die „</w:t>
            </w:r>
            <w:r w:rsidRPr="00D04AB5">
              <w:rPr>
                <w:rFonts w:ascii="Calibri" w:hAnsi="Calibri" w:cs="Arial"/>
                <w:b/>
                <w:lang w:val="de-DE"/>
              </w:rPr>
              <w:t>Fondsgesellschaft</w:t>
            </w:r>
            <w:r w:rsidRPr="00D04AB5">
              <w:rPr>
                <w:rFonts w:ascii="Calibri" w:hAnsi="Calibri" w:cs="Arial"/>
                <w:lang w:val="de-DE"/>
              </w:rPr>
              <w:t xml:space="preserve">“) investiert in </w:t>
            </w:r>
            <w:r w:rsidR="00EF1356" w:rsidRPr="00D04AB5">
              <w:rPr>
                <w:rFonts w:ascii="Calibri" w:hAnsi="Calibri" w:cs="Arial"/>
                <w:lang w:val="de-DE"/>
              </w:rPr>
              <w:t xml:space="preserve">Fremdkapitalinstrumente </w:t>
            </w:r>
            <w:r w:rsidRPr="00D04AB5">
              <w:rPr>
                <w:rFonts w:ascii="Calibri" w:hAnsi="Calibri" w:cs="Arial"/>
                <w:lang w:val="de-DE"/>
              </w:rPr>
              <w:t xml:space="preserve">(mit oder ohne Eigenkapitalkomponente und mit oder ohne Sicherheiten) für Portfoliounternehmen und fördert </w:t>
            </w:r>
            <w:r w:rsidR="00EF1356" w:rsidRPr="00D04AB5">
              <w:rPr>
                <w:rFonts w:ascii="Calibri" w:hAnsi="Calibri" w:cs="Arial"/>
                <w:lang w:val="de-DE"/>
              </w:rPr>
              <w:t xml:space="preserve">die Reduzierung von Kohlenstoffemissionen als Umweltmerkmale und die durch das Finanzprodukt geförderten sozialen Merkmale sind Gesundheit und Sicherheit am Arbeitsplatz, Inklusion und Geschlechtervielfalt im Vorstand </w:t>
            </w:r>
            <w:r w:rsidRPr="00D04AB5">
              <w:rPr>
                <w:rFonts w:ascii="Calibri" w:hAnsi="Calibri" w:cs="Arial"/>
                <w:lang w:val="de-DE"/>
              </w:rPr>
              <w:t>(zusammen „</w:t>
            </w:r>
            <w:r w:rsidRPr="00D04AB5">
              <w:rPr>
                <w:rFonts w:ascii="Calibri" w:hAnsi="Calibri" w:cs="Arial"/>
                <w:b/>
                <w:lang w:val="de-DE"/>
              </w:rPr>
              <w:t>E/S-Merkmale</w:t>
            </w:r>
            <w:r w:rsidRPr="00D04AB5">
              <w:rPr>
                <w:rFonts w:ascii="Calibri" w:hAnsi="Calibri" w:cs="Arial"/>
                <w:lang w:val="de-DE"/>
              </w:rPr>
              <w:t xml:space="preserve">“). </w:t>
            </w:r>
          </w:p>
          <w:p w14:paraId="4CCD8F7C" w14:textId="77777777" w:rsidR="00A900D3" w:rsidRPr="00D04AB5" w:rsidRDefault="00A900D3" w:rsidP="002A6B53">
            <w:pPr>
              <w:jc w:val="both"/>
              <w:rPr>
                <w:rFonts w:ascii="Calibri" w:hAnsi="Calibri" w:cs="Arial"/>
                <w:lang w:val="de-DE"/>
              </w:rPr>
            </w:pPr>
          </w:p>
          <w:p w14:paraId="050653CE" w14:textId="77777777" w:rsidR="00A900D3" w:rsidRPr="00D04AB5" w:rsidRDefault="00A900D3" w:rsidP="002A6B53">
            <w:pPr>
              <w:jc w:val="both"/>
              <w:rPr>
                <w:rFonts w:ascii="Calibri" w:hAnsi="Calibri" w:cs="Arial"/>
                <w:lang w:val="de-DE"/>
              </w:rPr>
            </w:pPr>
            <w:r w:rsidRPr="00D04AB5">
              <w:rPr>
                <w:rFonts w:ascii="Calibri" w:hAnsi="Calibri" w:cs="Arial"/>
                <w:lang w:val="de-DE"/>
              </w:rPr>
              <w:t>Die Anlagestrategie der Fondsgesellschaft zielt nicht auf nachhaltige Investitionen im Sinne der Verordnung (EU) 2019/2088 („</w:t>
            </w:r>
            <w:r w:rsidRPr="00D04AB5">
              <w:rPr>
                <w:rFonts w:ascii="Calibri" w:hAnsi="Calibri" w:cs="Arial"/>
                <w:b/>
                <w:lang w:val="de-DE"/>
              </w:rPr>
              <w:t>SFDR</w:t>
            </w:r>
            <w:r w:rsidRPr="00D04AB5">
              <w:rPr>
                <w:rFonts w:ascii="Calibri" w:hAnsi="Calibri" w:cs="Arial"/>
                <w:lang w:val="de-DE"/>
              </w:rPr>
              <w:t>“) ab.</w:t>
            </w:r>
          </w:p>
          <w:p w14:paraId="5EC9AB73" w14:textId="77777777" w:rsidR="00A900D3" w:rsidRPr="00D04AB5" w:rsidRDefault="00A900D3" w:rsidP="002A6B53">
            <w:pPr>
              <w:jc w:val="both"/>
              <w:rPr>
                <w:rFonts w:ascii="Calibri" w:hAnsi="Calibri" w:cs="Arial"/>
                <w:lang w:val="de-DE"/>
              </w:rPr>
            </w:pPr>
          </w:p>
          <w:p w14:paraId="202D6462" w14:textId="79E1F7EB" w:rsidR="00EF1356" w:rsidRPr="00D04AB5" w:rsidRDefault="00EF1356" w:rsidP="002A6B53">
            <w:pPr>
              <w:jc w:val="both"/>
              <w:rPr>
                <w:rFonts w:ascii="Calibri" w:hAnsi="Calibri" w:cs="Arial"/>
                <w:lang w:val="de-DE"/>
              </w:rPr>
            </w:pPr>
            <w:r w:rsidRPr="00D04AB5">
              <w:rPr>
                <w:rFonts w:ascii="Calibri" w:hAnsi="Calibri" w:cs="Arial"/>
                <w:lang w:val="de-DE"/>
              </w:rPr>
              <w:t xml:space="preserve">Die Rahmenbedingungen der </w:t>
            </w:r>
            <w:r w:rsidRPr="00D04AB5">
              <w:rPr>
                <w:rFonts w:ascii="Calibri" w:hAnsi="Calibri" w:cs="Arial"/>
                <w:lang w:val="de-DE"/>
              </w:rPr>
              <w:t xml:space="preserve">Fondsgesellschaft </w:t>
            </w:r>
            <w:r w:rsidRPr="00D04AB5">
              <w:rPr>
                <w:rFonts w:ascii="Calibri" w:hAnsi="Calibri" w:cs="Arial"/>
                <w:lang w:val="de-DE"/>
              </w:rPr>
              <w:t>für die Integration von ESG-Aspekten während des Investitionsprozesses sind im Wesentlichen auf drei Säulen aufgebaut: ESG-Due-Diligence, laufende Portfolioüberwachung und Stakeholder-Engagement:</w:t>
            </w:r>
          </w:p>
          <w:p w14:paraId="0D448E44" w14:textId="77777777" w:rsidR="00EF1356" w:rsidRPr="00D04AB5" w:rsidRDefault="00EF1356" w:rsidP="00EF1356">
            <w:pPr>
              <w:pStyle w:val="Listenabsatz"/>
              <w:numPr>
                <w:ilvl w:val="0"/>
                <w:numId w:val="34"/>
              </w:numPr>
              <w:jc w:val="both"/>
              <w:rPr>
                <w:rFonts w:ascii="Calibri" w:hAnsi="Calibri" w:cs="Arial"/>
                <w:lang w:val="de-DE"/>
              </w:rPr>
            </w:pPr>
            <w:r w:rsidRPr="00D04AB5">
              <w:rPr>
                <w:rFonts w:ascii="Calibri" w:hAnsi="Calibri" w:cs="Arial"/>
                <w:lang w:val="de-DE"/>
              </w:rPr>
              <w:t>ESG-Due-Diligence: ESG-Faktoren sind von Anfang an in den Investitionsprozess eingebettet. Dies umfasst ein Negativ-Screening (Ausschlusskriterien) und einen umfassenden ESG-Fragebogen, der Risiken in den Bereichen Umwelt, Soziales und Unternehmensführung abdeckt. Die Ausschlusskriterien umfassen beispielsweise Waffen und Munition, Kinderarbeit, Pornografie oder den Verkauf von alkoholischen Getränken, Tabak, Cannabis und radioaktivem Material, Glücksspiel oder illegale Software, Energieerzeugung auf Basis fossiler Brennstoffe sowie energieintensive und/oder CO2-intensive Industrien. Die ESG-Ergebnisse werden in Investitionsmemoranden zusammengefasst, die Investitionsentscheidungen beeinflussen und eine Grundlage für die laufende Überwachung bilden.</w:t>
            </w:r>
          </w:p>
          <w:p w14:paraId="79C33BA8" w14:textId="73883848" w:rsidR="00A900D3" w:rsidRPr="00D04AB5" w:rsidRDefault="00EF1356" w:rsidP="00EF1356">
            <w:pPr>
              <w:pStyle w:val="Listenabsatz"/>
              <w:numPr>
                <w:ilvl w:val="0"/>
                <w:numId w:val="34"/>
              </w:numPr>
              <w:jc w:val="both"/>
              <w:rPr>
                <w:rFonts w:ascii="Calibri" w:hAnsi="Calibri" w:cs="Arial"/>
                <w:lang w:val="de-DE"/>
              </w:rPr>
            </w:pPr>
            <w:r w:rsidRPr="00D04AB5">
              <w:rPr>
                <w:rFonts w:ascii="Calibri" w:hAnsi="Calibri" w:cs="Arial"/>
                <w:lang w:val="de-DE"/>
              </w:rPr>
              <w:t xml:space="preserve">Laufende Portfolioüberwachung: ESG-Risiken und -Chancen werden im gesamten Portfolio kontinuierlich überwacht, wobei die Kreditnehmer regelmäßig über die ESG-Leistung berichten. Die </w:t>
            </w:r>
            <w:r w:rsidRPr="00D04AB5">
              <w:rPr>
                <w:rFonts w:ascii="Calibri" w:hAnsi="Calibri" w:cs="Arial"/>
                <w:lang w:val="de-DE"/>
              </w:rPr>
              <w:t xml:space="preserve">Fondsgesellschaft </w:t>
            </w:r>
            <w:r w:rsidRPr="00D04AB5">
              <w:rPr>
                <w:rFonts w:ascii="Calibri" w:hAnsi="Calibri" w:cs="Arial"/>
                <w:lang w:val="de-DE"/>
              </w:rPr>
              <w:t>integriert auch Ad-hoc-Berichtspflichten für wesentliche nachteilige Auswirkungen, um zeitnah auf aufkommende Risiken reagieren zu können.</w:t>
            </w:r>
          </w:p>
          <w:p w14:paraId="0DBE8638" w14:textId="7988390C" w:rsidR="00EF1356" w:rsidRPr="00D04AB5" w:rsidRDefault="00EF1356" w:rsidP="00EF1356">
            <w:pPr>
              <w:pStyle w:val="Listenabsatz"/>
              <w:numPr>
                <w:ilvl w:val="0"/>
                <w:numId w:val="34"/>
              </w:numPr>
              <w:jc w:val="both"/>
              <w:rPr>
                <w:rFonts w:ascii="Calibri" w:hAnsi="Calibri" w:cs="Arial"/>
                <w:lang w:val="de-DE"/>
              </w:rPr>
            </w:pPr>
            <w:r w:rsidRPr="00D04AB5">
              <w:rPr>
                <w:rFonts w:ascii="Calibri" w:hAnsi="Calibri" w:cs="Arial"/>
                <w:lang w:val="de-DE"/>
              </w:rPr>
              <w:t xml:space="preserve">Einbindung von Interessengruppen und Unternehmensführung: Die ESG-Kontrolle wird von einem Team für nachhaltige Investitionen und einem speziellen ESG-Ausschuss gewährleistet, die die Einhaltung internationaler Standards wie der UN-Grundsätze für verantwortungsbewusstes Investment (PRI) sicherstellen. Die </w:t>
            </w:r>
            <w:r w:rsidRPr="00D04AB5">
              <w:rPr>
                <w:rFonts w:ascii="Calibri" w:hAnsi="Calibri" w:cs="Arial"/>
                <w:lang w:val="de-DE"/>
              </w:rPr>
              <w:t xml:space="preserve">Fondsgesellschaft </w:t>
            </w:r>
            <w:r w:rsidRPr="00D04AB5">
              <w:rPr>
                <w:rFonts w:ascii="Calibri" w:hAnsi="Calibri" w:cs="Arial"/>
                <w:lang w:val="de-DE"/>
              </w:rPr>
              <w:t>ermutigt Portfoliounternehmen, ESG-Praktiken zu übernehmen, und trägt so dazu bei, die ESG-Leistung im Laufe der Zeit zu verbessern.</w:t>
            </w:r>
          </w:p>
          <w:p w14:paraId="51D496EA" w14:textId="77777777" w:rsidR="00A900D3" w:rsidRPr="00D04AB5" w:rsidRDefault="00A900D3" w:rsidP="002A6B53">
            <w:pPr>
              <w:jc w:val="both"/>
              <w:rPr>
                <w:rFonts w:ascii="Calibri" w:hAnsi="Calibri" w:cs="Arial"/>
                <w:lang w:val="de-DE"/>
              </w:rPr>
            </w:pPr>
          </w:p>
          <w:p w14:paraId="70E8B6D1" w14:textId="0328E624" w:rsidR="00A900D3" w:rsidRPr="00D04AB5" w:rsidRDefault="002E3B5F" w:rsidP="002A6B53">
            <w:pPr>
              <w:jc w:val="both"/>
              <w:rPr>
                <w:rFonts w:ascii="Calibri" w:hAnsi="Calibri" w:cs="Arial"/>
                <w:lang w:val="de-DE"/>
              </w:rPr>
            </w:pPr>
            <w:r w:rsidRPr="00D04AB5">
              <w:rPr>
                <w:rFonts w:ascii="Calibri" w:hAnsi="Calibri" w:cs="Arial"/>
                <w:lang w:val="de-DE"/>
              </w:rPr>
              <w:t xml:space="preserve">Dieser Rahmen bringt die Investitionen der </w:t>
            </w:r>
            <w:r w:rsidR="00D04AB5" w:rsidRPr="00D04AB5">
              <w:rPr>
                <w:rFonts w:ascii="Calibri" w:hAnsi="Calibri" w:cs="Arial"/>
                <w:lang w:val="de-DE"/>
              </w:rPr>
              <w:t xml:space="preserve">Fondsgesellschaft </w:t>
            </w:r>
            <w:r w:rsidRPr="00D04AB5">
              <w:rPr>
                <w:rFonts w:ascii="Calibri" w:hAnsi="Calibri" w:cs="Arial"/>
                <w:lang w:val="de-DE"/>
              </w:rPr>
              <w:t xml:space="preserve">mit langfristigen Wertschöpfungszielen in Einklang und geht gleichzeitig proaktiv auf ökologische, soziale und </w:t>
            </w:r>
            <w:proofErr w:type="spellStart"/>
            <w:r w:rsidRPr="00D04AB5">
              <w:rPr>
                <w:rFonts w:ascii="Calibri" w:hAnsi="Calibri" w:cs="Arial"/>
                <w:lang w:val="de-DE"/>
              </w:rPr>
              <w:t>Governance</w:t>
            </w:r>
            <w:proofErr w:type="spellEnd"/>
            <w:r w:rsidRPr="00D04AB5">
              <w:rPr>
                <w:rFonts w:ascii="Calibri" w:hAnsi="Calibri" w:cs="Arial"/>
                <w:lang w:val="de-DE"/>
              </w:rPr>
              <w:t xml:space="preserve">-Risiken ein. </w:t>
            </w:r>
          </w:p>
          <w:p w14:paraId="68A8447B" w14:textId="5EA16691" w:rsidR="002E3B5F" w:rsidRPr="00D04AB5" w:rsidRDefault="002E3B5F" w:rsidP="002A6B53">
            <w:pPr>
              <w:jc w:val="both"/>
              <w:rPr>
                <w:rFonts w:ascii="Calibri" w:hAnsi="Calibri" w:cs="Arial"/>
                <w:lang w:val="de-DE"/>
              </w:rPr>
            </w:pPr>
          </w:p>
        </w:tc>
      </w:tr>
    </w:tbl>
    <w:p w14:paraId="40F1BF24" w14:textId="77777777" w:rsidR="00A900D3" w:rsidRPr="00A900D3" w:rsidRDefault="00A900D3" w:rsidP="00A900D3">
      <w:pPr>
        <w:spacing w:after="0" w:line="240" w:lineRule="auto"/>
        <w:rPr>
          <w:rFonts w:ascii="Calibri" w:hAnsi="Calibri" w:cs="Arial"/>
          <w:highlight w:val="yellow"/>
        </w:rPr>
      </w:pPr>
    </w:p>
    <w:p w14:paraId="153E8CCA" w14:textId="77777777" w:rsidR="00A900D3" w:rsidRPr="00A900D3" w:rsidRDefault="00A900D3" w:rsidP="00A900D3">
      <w:pPr>
        <w:rPr>
          <w:rFonts w:ascii="Calibri" w:hAnsi="Calibri" w:cs="Arial"/>
          <w:highlight w:val="yellow"/>
        </w:rPr>
      </w:pPr>
      <w:r w:rsidRPr="00A900D3">
        <w:rPr>
          <w:rFonts w:ascii="Calibri" w:hAnsi="Calibri" w:cs="Arial"/>
          <w:highlight w:val="yellow"/>
        </w:rPr>
        <w:br w:type="page"/>
      </w:r>
    </w:p>
    <w:p w14:paraId="1BABEA84" w14:textId="77777777" w:rsidR="00A900D3" w:rsidRPr="00D04AB5" w:rsidRDefault="00A900D3" w:rsidP="00A900D3">
      <w:pPr>
        <w:jc w:val="center"/>
        <w:rPr>
          <w:rFonts w:ascii="Calibri" w:hAnsi="Calibri" w:cs="Arial"/>
          <w:u w:val="single"/>
          <w:lang w:val="es-ES"/>
        </w:rPr>
      </w:pPr>
      <w:proofErr w:type="spellStart"/>
      <w:r w:rsidRPr="00D04AB5">
        <w:rPr>
          <w:rFonts w:ascii="Calibri" w:hAnsi="Calibri" w:cs="Arial"/>
          <w:u w:val="single"/>
          <w:lang w:val="es-ES"/>
        </w:rPr>
        <w:lastRenderedPageBreak/>
        <w:t>Spanish</w:t>
      </w:r>
      <w:proofErr w:type="spellEnd"/>
      <w:r w:rsidRPr="00D04AB5">
        <w:rPr>
          <w:rFonts w:ascii="Calibri" w:hAnsi="Calibri" w:cs="Arial"/>
          <w:u w:val="single"/>
          <w:lang w:val="es-ES"/>
        </w:rPr>
        <w:t xml:space="preserve"> / </w:t>
      </w:r>
      <w:proofErr w:type="gramStart"/>
      <w:r w:rsidRPr="00D04AB5">
        <w:rPr>
          <w:rFonts w:ascii="Calibri" w:hAnsi="Calibri" w:cs="Arial"/>
          <w:u w:val="single"/>
          <w:lang w:val="es-ES"/>
        </w:rPr>
        <w:t>Español</w:t>
      </w:r>
      <w:proofErr w:type="gramEnd"/>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A900D3" w:rsidRPr="00D04AB5" w14:paraId="194ECE80" w14:textId="77777777" w:rsidTr="002A6B53">
        <w:trPr>
          <w:trHeight w:val="510"/>
        </w:trPr>
        <w:tc>
          <w:tcPr>
            <w:tcW w:w="1098" w:type="dxa"/>
            <w:shd w:val="clear" w:color="auto" w:fill="17365D" w:themeFill="text2" w:themeFillShade="BF"/>
            <w:vAlign w:val="center"/>
          </w:tcPr>
          <w:p w14:paraId="2D508838" w14:textId="77777777" w:rsidR="00A900D3" w:rsidRPr="00D04AB5" w:rsidRDefault="00A900D3" w:rsidP="002A6B53">
            <w:pPr>
              <w:jc w:val="center"/>
              <w:rPr>
                <w:rFonts w:ascii="Calibri" w:hAnsi="Calibri" w:cs="Arial"/>
                <w:b/>
                <w:color w:val="FFFFFF" w:themeColor="background1"/>
                <w:lang w:val="es-ES"/>
              </w:rPr>
            </w:pPr>
            <w:r w:rsidRPr="00D04AB5">
              <w:rPr>
                <w:noProof/>
                <w:lang w:val="es-ES" w:eastAsia="en-GB"/>
              </w:rPr>
              <w:drawing>
                <wp:inline distT="0" distB="0" distL="0" distR="0" wp14:anchorId="7CDE07CA" wp14:editId="6CDDBB01">
                  <wp:extent cx="522514" cy="563518"/>
                  <wp:effectExtent l="0" t="0" r="0" b="825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586A404" w14:textId="77777777" w:rsidR="00A900D3" w:rsidRPr="00D04AB5" w:rsidRDefault="00A900D3" w:rsidP="002A6B53">
            <w:pPr>
              <w:pStyle w:val="Listenabsatz"/>
              <w:numPr>
                <w:ilvl w:val="0"/>
                <w:numId w:val="32"/>
              </w:numPr>
              <w:rPr>
                <w:rFonts w:ascii="Calibri" w:hAnsi="Calibri" w:cs="Arial"/>
                <w:b/>
                <w:color w:val="FFFFFF" w:themeColor="background1"/>
                <w:sz w:val="24"/>
                <w:szCs w:val="24"/>
                <w:lang w:val="es-ES"/>
              </w:rPr>
            </w:pPr>
            <w:r w:rsidRPr="00D04AB5">
              <w:rPr>
                <w:rFonts w:ascii="Calibri" w:hAnsi="Calibri" w:cs="Arial"/>
                <w:b/>
                <w:color w:val="FFFFFF" w:themeColor="background1"/>
                <w:sz w:val="24"/>
                <w:szCs w:val="24"/>
                <w:lang w:val="es-ES"/>
              </w:rPr>
              <w:t>Resumen</w:t>
            </w:r>
          </w:p>
        </w:tc>
      </w:tr>
      <w:tr w:rsidR="00A900D3" w:rsidRPr="00D04AB5" w14:paraId="74830E6B" w14:textId="77777777" w:rsidTr="002A6B53">
        <w:trPr>
          <w:trHeight w:val="6592"/>
        </w:trPr>
        <w:tc>
          <w:tcPr>
            <w:tcW w:w="9060" w:type="dxa"/>
            <w:gridSpan w:val="2"/>
          </w:tcPr>
          <w:p w14:paraId="7BD356B7" w14:textId="19C686CD" w:rsidR="00D04AB5" w:rsidRDefault="00D04AB5" w:rsidP="00D04AB5">
            <w:pPr>
              <w:jc w:val="both"/>
              <w:rPr>
                <w:rFonts w:ascii="Calibri" w:hAnsi="Calibri" w:cs="Arial"/>
                <w:lang w:val="es-ES"/>
              </w:rPr>
            </w:pPr>
            <w:r w:rsidRPr="00D04AB5">
              <w:rPr>
                <w:rFonts w:ascii="Calibri" w:hAnsi="Calibri" w:cs="Arial"/>
                <w:lang w:val="es-ES"/>
              </w:rPr>
              <w:t>BRIGHT CAPITAL European Credit Fund III, SCSp (la «</w:t>
            </w:r>
            <w:r w:rsidRPr="00D04AB5">
              <w:rPr>
                <w:rFonts w:ascii="Calibri" w:hAnsi="Calibri" w:cs="Arial"/>
                <w:b/>
                <w:bCs/>
                <w:lang w:val="es-ES"/>
              </w:rPr>
              <w:t>Asociación</w:t>
            </w:r>
            <w:r w:rsidRPr="00D04AB5">
              <w:rPr>
                <w:rFonts w:ascii="Calibri" w:hAnsi="Calibri" w:cs="Arial"/>
                <w:lang w:val="es-ES"/>
              </w:rPr>
              <w:t>») invierte en instrumentos de deuda (con o sin un componente de capital y con o sin garantía) a empresas de cartera y promueve la reducción de las emisiones de carbono como características ambientales y las características sociales promovidas por el producto financiero son la salud y la seguridad en el trabajo, la inclusión y la diversidad de género en el consejo (en conjunto, «</w:t>
            </w:r>
            <w:r w:rsidRPr="00D04AB5">
              <w:rPr>
                <w:rFonts w:ascii="Calibri" w:hAnsi="Calibri" w:cs="Arial"/>
                <w:b/>
                <w:bCs/>
                <w:lang w:val="es-ES"/>
              </w:rPr>
              <w:t>Características E/S</w:t>
            </w:r>
            <w:r w:rsidRPr="00D04AB5">
              <w:rPr>
                <w:rFonts w:ascii="Calibri" w:hAnsi="Calibri" w:cs="Arial"/>
                <w:lang w:val="es-ES"/>
              </w:rPr>
              <w:t>»).</w:t>
            </w:r>
          </w:p>
          <w:p w14:paraId="702E1932" w14:textId="77777777" w:rsidR="00D04AB5" w:rsidRPr="00D04AB5" w:rsidRDefault="00D04AB5" w:rsidP="00D04AB5">
            <w:pPr>
              <w:jc w:val="both"/>
              <w:rPr>
                <w:rFonts w:ascii="Calibri" w:hAnsi="Calibri" w:cs="Arial"/>
                <w:lang w:val="es-ES"/>
              </w:rPr>
            </w:pPr>
          </w:p>
          <w:p w14:paraId="75B29B8B" w14:textId="3389923E" w:rsidR="00D04AB5" w:rsidRDefault="00D04AB5" w:rsidP="00D04AB5">
            <w:pPr>
              <w:jc w:val="both"/>
              <w:rPr>
                <w:rFonts w:ascii="Calibri" w:hAnsi="Calibri" w:cs="Arial"/>
                <w:lang w:val="es-ES"/>
              </w:rPr>
            </w:pPr>
            <w:r w:rsidRPr="00D04AB5">
              <w:rPr>
                <w:rFonts w:ascii="Calibri" w:hAnsi="Calibri" w:cs="Arial"/>
                <w:lang w:val="es-ES"/>
              </w:rPr>
              <w:t>La estrategia de inversión de la Asociación no tiene como objetivo las inversiones sostenibles en el sentido del Reglamento (UE) 2019/2088 («</w:t>
            </w:r>
            <w:r w:rsidRPr="00D04AB5">
              <w:rPr>
                <w:rFonts w:ascii="Calibri" w:hAnsi="Calibri" w:cs="Arial"/>
                <w:b/>
                <w:bCs/>
                <w:lang w:val="es-ES"/>
              </w:rPr>
              <w:t>SFDR</w:t>
            </w:r>
            <w:r w:rsidRPr="00D04AB5">
              <w:rPr>
                <w:rFonts w:ascii="Calibri" w:hAnsi="Calibri" w:cs="Arial"/>
                <w:lang w:val="es-ES"/>
              </w:rPr>
              <w:t>»).</w:t>
            </w:r>
          </w:p>
          <w:p w14:paraId="3FBC30C3" w14:textId="77777777" w:rsidR="00D04AB5" w:rsidRPr="00D04AB5" w:rsidRDefault="00D04AB5" w:rsidP="00D04AB5">
            <w:pPr>
              <w:jc w:val="both"/>
              <w:rPr>
                <w:rFonts w:ascii="Calibri" w:hAnsi="Calibri" w:cs="Arial"/>
                <w:lang w:val="es-ES"/>
              </w:rPr>
            </w:pPr>
          </w:p>
          <w:p w14:paraId="60062771" w14:textId="77777777" w:rsidR="00D04AB5" w:rsidRPr="00D04AB5" w:rsidRDefault="00D04AB5" w:rsidP="00D04AB5">
            <w:pPr>
              <w:jc w:val="both"/>
              <w:rPr>
                <w:rFonts w:ascii="Calibri" w:hAnsi="Calibri" w:cs="Arial"/>
                <w:lang w:val="es-ES"/>
              </w:rPr>
            </w:pPr>
            <w:r w:rsidRPr="00D04AB5">
              <w:rPr>
                <w:rFonts w:ascii="Calibri" w:hAnsi="Calibri" w:cs="Arial"/>
                <w:lang w:val="es-ES"/>
              </w:rPr>
              <w:t>El marco de la Asociación para integrar las cuestiones ESG durante el proceso de inversión se estructura esencialmente en torno a tres pilares: Diligencia debida ESG, Supervisión continua de la cartera y Participación de las partes interesadas:</w:t>
            </w:r>
          </w:p>
          <w:p w14:paraId="6724154E" w14:textId="579A2668" w:rsidR="00D04AB5" w:rsidRPr="00D04AB5" w:rsidRDefault="00D04AB5" w:rsidP="00D04AB5">
            <w:pPr>
              <w:pStyle w:val="Listenabsatz"/>
              <w:numPr>
                <w:ilvl w:val="0"/>
                <w:numId w:val="34"/>
              </w:numPr>
              <w:jc w:val="both"/>
              <w:rPr>
                <w:rFonts w:ascii="Calibri" w:hAnsi="Calibri" w:cs="Arial"/>
                <w:lang w:val="de-DE"/>
              </w:rPr>
            </w:pPr>
            <w:proofErr w:type="spellStart"/>
            <w:r w:rsidRPr="00D04AB5">
              <w:rPr>
                <w:rFonts w:ascii="Calibri" w:hAnsi="Calibri" w:cs="Arial"/>
                <w:lang w:val="de-DE"/>
              </w:rPr>
              <w:t>Diligencia</w:t>
            </w:r>
            <w:proofErr w:type="spellEnd"/>
            <w:r w:rsidRPr="00D04AB5">
              <w:rPr>
                <w:rFonts w:ascii="Calibri" w:hAnsi="Calibri" w:cs="Arial"/>
                <w:lang w:val="de-DE"/>
              </w:rPr>
              <w:t xml:space="preserve"> </w:t>
            </w:r>
            <w:proofErr w:type="spellStart"/>
            <w:r w:rsidRPr="00D04AB5">
              <w:rPr>
                <w:rFonts w:ascii="Calibri" w:hAnsi="Calibri" w:cs="Arial"/>
                <w:lang w:val="de-DE"/>
              </w:rPr>
              <w:t>debida</w:t>
            </w:r>
            <w:proofErr w:type="spellEnd"/>
            <w:r w:rsidRPr="00D04AB5">
              <w:rPr>
                <w:rFonts w:ascii="Calibri" w:hAnsi="Calibri" w:cs="Arial"/>
                <w:lang w:val="de-DE"/>
              </w:rPr>
              <w:t xml:space="preserve"> ASG: Los factores ASG se integran en el proceso de inversión desde el principio. Esto incluye una selección negativa (criterios de exclusión) y un cuestionario ESG exhaustivo que cubre los riesgos medioambientales, sociales y de gobernanza. Los criterios de exclusión abarcan, por ejemplo, armas y municiones, trabajo infantil, pornografía o venta de bebidas alcohólicas, tabaco, cannabis y material radiactivo, juegos de azar o software ilegal, producción de energía basada en combustibles fósiles e industrias de alto consumo energético y/o altas emisiones de CO2. Las conclusiones en materia de ASG se resumen en los memorandos de inversión, lo que influye en las decisiones de inversión y sienta las bases para una supervisión continua.</w:t>
            </w:r>
          </w:p>
          <w:p w14:paraId="6E5249D1" w14:textId="4FC04809" w:rsidR="00D04AB5" w:rsidRPr="00D04AB5" w:rsidRDefault="00D04AB5" w:rsidP="00D04AB5">
            <w:pPr>
              <w:pStyle w:val="Listenabsatz"/>
              <w:numPr>
                <w:ilvl w:val="0"/>
                <w:numId w:val="34"/>
              </w:numPr>
              <w:jc w:val="both"/>
              <w:rPr>
                <w:rFonts w:ascii="Calibri" w:hAnsi="Calibri" w:cs="Arial"/>
                <w:lang w:val="de-DE"/>
              </w:rPr>
            </w:pPr>
            <w:proofErr w:type="spellStart"/>
            <w:r w:rsidRPr="00D04AB5">
              <w:rPr>
                <w:rFonts w:ascii="Calibri" w:hAnsi="Calibri" w:cs="Arial"/>
                <w:lang w:val="de-DE"/>
              </w:rPr>
              <w:t>Seguimiento</w:t>
            </w:r>
            <w:proofErr w:type="spellEnd"/>
            <w:r w:rsidRPr="00D04AB5">
              <w:rPr>
                <w:rFonts w:ascii="Calibri" w:hAnsi="Calibri" w:cs="Arial"/>
                <w:lang w:val="de-DE"/>
              </w:rPr>
              <w:t xml:space="preserve"> continuo de la cartera: Los riesgos y oportunidades ASG se supervisan continuamente en toda la cartera, con actualizaciones periódicas de los prestatarios sobre el desempeño ASG. La Asociación también integra requisitos de información ad hoc para impactos adversos materiales, permitiendo respuestas oportunas a los riesgos emergentes.</w:t>
            </w:r>
          </w:p>
          <w:p w14:paraId="65E6DA20" w14:textId="1E985C76" w:rsidR="00D04AB5" w:rsidRPr="00D04AB5" w:rsidRDefault="00D04AB5" w:rsidP="00D04AB5">
            <w:pPr>
              <w:pStyle w:val="Listenabsatz"/>
              <w:numPr>
                <w:ilvl w:val="0"/>
                <w:numId w:val="34"/>
              </w:numPr>
              <w:jc w:val="both"/>
              <w:rPr>
                <w:rFonts w:ascii="Calibri" w:hAnsi="Calibri" w:cs="Arial"/>
                <w:lang w:val="es-ES"/>
              </w:rPr>
            </w:pPr>
            <w:proofErr w:type="spellStart"/>
            <w:r w:rsidRPr="00D04AB5">
              <w:rPr>
                <w:rFonts w:ascii="Calibri" w:hAnsi="Calibri" w:cs="Arial"/>
                <w:lang w:val="de-DE"/>
              </w:rPr>
              <w:t>Participación</w:t>
            </w:r>
            <w:proofErr w:type="spellEnd"/>
            <w:r w:rsidRPr="00D04AB5">
              <w:rPr>
                <w:rFonts w:ascii="Calibri" w:hAnsi="Calibri" w:cs="Arial"/>
                <w:lang w:val="de-DE"/>
              </w:rPr>
              <w:t xml:space="preserve"> de las </w:t>
            </w:r>
            <w:proofErr w:type="spellStart"/>
            <w:r w:rsidRPr="00D04AB5">
              <w:rPr>
                <w:rFonts w:ascii="Calibri" w:hAnsi="Calibri" w:cs="Arial"/>
                <w:lang w:val="de-DE"/>
              </w:rPr>
              <w:t>partes</w:t>
            </w:r>
            <w:proofErr w:type="spellEnd"/>
            <w:r w:rsidRPr="00D04AB5">
              <w:rPr>
                <w:rFonts w:ascii="Calibri" w:hAnsi="Calibri" w:cs="Arial"/>
                <w:lang w:val="de-DE"/>
              </w:rPr>
              <w:t xml:space="preserve"> interesadas y gobernanza: Un equipo de inversión sostenible y un comité especializado en ASG se encargan de la supervisión de las cuestiones ASG y garantizan el cumplimiento de las normas internacionales, como los Principios de Inversión Responsable de las Naciones Unidas (PRI). La Asociación anima a las empresas en cartera a adoptar prácticas ASG, lo que ayuda a impulsar mejoras en los resultados ASG a lo largo del</w:t>
            </w:r>
            <w:r w:rsidRPr="00D04AB5">
              <w:rPr>
                <w:rFonts w:ascii="Calibri" w:hAnsi="Calibri" w:cs="Arial"/>
                <w:lang w:val="es-ES"/>
              </w:rPr>
              <w:t xml:space="preserve"> tiempo.</w:t>
            </w:r>
          </w:p>
          <w:p w14:paraId="1D8F33E4" w14:textId="77777777" w:rsidR="00D04AB5" w:rsidRDefault="00D04AB5" w:rsidP="00D04AB5">
            <w:pPr>
              <w:jc w:val="both"/>
              <w:rPr>
                <w:rFonts w:ascii="Calibri" w:hAnsi="Calibri" w:cs="Arial"/>
                <w:lang w:val="es-ES"/>
              </w:rPr>
            </w:pPr>
          </w:p>
          <w:p w14:paraId="644AD98F" w14:textId="561FD084" w:rsidR="00D04AB5" w:rsidRPr="00D04AB5" w:rsidRDefault="00D04AB5" w:rsidP="00D04AB5">
            <w:pPr>
              <w:jc w:val="both"/>
              <w:rPr>
                <w:rFonts w:ascii="Calibri" w:hAnsi="Calibri" w:cs="Arial"/>
                <w:lang w:val="es-ES"/>
              </w:rPr>
            </w:pPr>
            <w:r w:rsidRPr="00D04AB5">
              <w:rPr>
                <w:rFonts w:ascii="Calibri" w:hAnsi="Calibri" w:cs="Arial"/>
                <w:lang w:val="es-ES"/>
              </w:rPr>
              <w:t>Este marco ajusta las inversiones de la Asociación a los objetivos de creación de valor a largo plazo, abordando al mismo tiempo los riesgos medioambientales, sociales y de gobernanza de forma proactiva.</w:t>
            </w:r>
          </w:p>
          <w:p w14:paraId="679C5C05" w14:textId="31A77352" w:rsidR="00A900D3" w:rsidRPr="00D04AB5" w:rsidRDefault="00A900D3" w:rsidP="00D04AB5">
            <w:pPr>
              <w:jc w:val="both"/>
              <w:rPr>
                <w:rFonts w:ascii="Calibri" w:hAnsi="Calibri" w:cs="Arial"/>
                <w:lang w:val="es-ES"/>
              </w:rPr>
            </w:pPr>
          </w:p>
        </w:tc>
      </w:tr>
    </w:tbl>
    <w:p w14:paraId="62CD2092" w14:textId="77777777" w:rsidR="00A900D3" w:rsidRPr="00A900D3" w:rsidRDefault="00A900D3" w:rsidP="00A900D3">
      <w:pPr>
        <w:jc w:val="center"/>
        <w:rPr>
          <w:rFonts w:ascii="Calibri" w:hAnsi="Calibri" w:cs="Arial"/>
          <w:highlight w:val="yellow"/>
          <w:u w:val="single"/>
        </w:rPr>
      </w:pPr>
    </w:p>
    <w:p w14:paraId="72676B0F" w14:textId="77777777" w:rsidR="00A900D3" w:rsidRPr="00A900D3" w:rsidRDefault="00A900D3" w:rsidP="00A900D3">
      <w:pPr>
        <w:rPr>
          <w:rFonts w:ascii="Calibri" w:hAnsi="Calibri" w:cs="Arial"/>
          <w:highlight w:val="yellow"/>
          <w:u w:val="single"/>
        </w:rPr>
      </w:pPr>
      <w:r w:rsidRPr="00A900D3">
        <w:rPr>
          <w:rFonts w:ascii="Calibri" w:hAnsi="Calibri" w:cs="Arial"/>
          <w:highlight w:val="yellow"/>
          <w:u w:val="single"/>
        </w:rPr>
        <w:br w:type="page"/>
      </w:r>
    </w:p>
    <w:p w14:paraId="04831F7B" w14:textId="77777777" w:rsidR="00A900D3" w:rsidRPr="00D04AB5" w:rsidRDefault="00A900D3" w:rsidP="00A900D3">
      <w:pPr>
        <w:jc w:val="center"/>
        <w:rPr>
          <w:rFonts w:ascii="Calibri" w:hAnsi="Calibri" w:cs="Arial"/>
          <w:u w:val="single"/>
          <w:lang w:val="fi-FI"/>
        </w:rPr>
      </w:pPr>
      <w:r w:rsidRPr="00D04AB5">
        <w:rPr>
          <w:rFonts w:ascii="Calibri" w:hAnsi="Calibri" w:cs="Arial"/>
          <w:u w:val="single"/>
          <w:lang w:val="fi-FI"/>
        </w:rPr>
        <w:lastRenderedPageBreak/>
        <w:t>Finish / Suomalainen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A900D3" w:rsidRPr="00D04AB5" w14:paraId="752892DF" w14:textId="77777777" w:rsidTr="002A6B53">
        <w:trPr>
          <w:trHeight w:val="510"/>
        </w:trPr>
        <w:tc>
          <w:tcPr>
            <w:tcW w:w="1098" w:type="dxa"/>
            <w:shd w:val="clear" w:color="auto" w:fill="17365D" w:themeFill="text2" w:themeFillShade="BF"/>
            <w:vAlign w:val="center"/>
          </w:tcPr>
          <w:p w14:paraId="355B5D11" w14:textId="77777777" w:rsidR="00A900D3" w:rsidRPr="00D04AB5" w:rsidRDefault="00A900D3" w:rsidP="002A6B53">
            <w:pPr>
              <w:jc w:val="center"/>
              <w:rPr>
                <w:rFonts w:ascii="Calibri" w:hAnsi="Calibri" w:cs="Arial"/>
                <w:b/>
                <w:color w:val="FFFFFF" w:themeColor="background1"/>
                <w:lang w:val="fi-FI"/>
              </w:rPr>
            </w:pPr>
            <w:r w:rsidRPr="00D04AB5">
              <w:rPr>
                <w:noProof/>
                <w:lang w:val="fi-FI" w:eastAsia="en-GB"/>
              </w:rPr>
              <w:drawing>
                <wp:inline distT="0" distB="0" distL="0" distR="0" wp14:anchorId="115C017D" wp14:editId="11B1D016">
                  <wp:extent cx="522514" cy="563518"/>
                  <wp:effectExtent l="0" t="0" r="0" b="825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D0E3589" w14:textId="77777777" w:rsidR="00A900D3" w:rsidRPr="00D04AB5" w:rsidRDefault="00A900D3" w:rsidP="002A6B53">
            <w:pPr>
              <w:pStyle w:val="Listenabsatz"/>
              <w:numPr>
                <w:ilvl w:val="0"/>
                <w:numId w:val="33"/>
              </w:numPr>
              <w:rPr>
                <w:rFonts w:ascii="Calibri" w:hAnsi="Calibri" w:cs="Arial"/>
                <w:b/>
                <w:color w:val="FFFFFF" w:themeColor="background1"/>
                <w:sz w:val="24"/>
                <w:szCs w:val="24"/>
                <w:lang w:val="fi-FI"/>
              </w:rPr>
            </w:pPr>
            <w:r w:rsidRPr="00D04AB5">
              <w:rPr>
                <w:rFonts w:ascii="Calibri" w:hAnsi="Calibri" w:cs="Arial"/>
                <w:b/>
                <w:color w:val="FFFFFF" w:themeColor="background1"/>
                <w:sz w:val="24"/>
                <w:szCs w:val="24"/>
                <w:lang w:val="fi-FI"/>
              </w:rPr>
              <w:t>Yhteenveto</w:t>
            </w:r>
          </w:p>
        </w:tc>
      </w:tr>
      <w:tr w:rsidR="00A900D3" w:rsidRPr="00A900D3" w14:paraId="007D32DE" w14:textId="77777777" w:rsidTr="002A6B53">
        <w:trPr>
          <w:trHeight w:val="6592"/>
        </w:trPr>
        <w:tc>
          <w:tcPr>
            <w:tcW w:w="9060" w:type="dxa"/>
            <w:gridSpan w:val="2"/>
          </w:tcPr>
          <w:p w14:paraId="7E5D5396" w14:textId="6F85C261" w:rsidR="00D04AB5" w:rsidRPr="00D04AB5" w:rsidRDefault="00D04AB5" w:rsidP="00D04AB5">
            <w:pPr>
              <w:jc w:val="both"/>
              <w:rPr>
                <w:rFonts w:ascii="Calibri" w:hAnsi="Calibri" w:cs="Arial"/>
                <w:lang w:val="fi-FI"/>
              </w:rPr>
            </w:pPr>
            <w:r w:rsidRPr="00D04AB5">
              <w:rPr>
                <w:rFonts w:ascii="Calibri" w:hAnsi="Calibri" w:cs="Arial"/>
                <w:lang w:val="fi-FI"/>
              </w:rPr>
              <w:t>BRIGHT CAPITAL European Credit Fund III, SCSp (jäljempänä '</w:t>
            </w:r>
            <w:r w:rsidRPr="00D04AB5">
              <w:rPr>
                <w:rFonts w:ascii="Calibri" w:hAnsi="Calibri" w:cs="Arial"/>
                <w:b/>
                <w:bCs/>
                <w:lang w:val="fi-FI"/>
              </w:rPr>
              <w:t>kumppanuus</w:t>
            </w:r>
            <w:r w:rsidRPr="00D04AB5">
              <w:rPr>
                <w:rFonts w:ascii="Calibri" w:hAnsi="Calibri" w:cs="Arial"/>
                <w:lang w:val="fi-FI"/>
              </w:rPr>
              <w:t>') sijoittaa velkainstrumentteihin (joko oman pääoman ehtoisen osuuden kanssa tai ilman sitä ja vakuuden kanssa tai ilman sitä) salkkuyhtiöille ja edistää hiilidioksidipäästöjen vähentämistä ympäristöominaisuuksina. Rahoitustuotteella edistettävät sosiaaliset ominaispiirteet ovat työterveys ja -turvallisuus, osallisuus ja sukupuolten välinen moninaisuus hallituksessa (yhdessä '</w:t>
            </w:r>
            <w:r w:rsidRPr="00D04AB5">
              <w:rPr>
                <w:rFonts w:ascii="Calibri" w:hAnsi="Calibri" w:cs="Arial"/>
                <w:b/>
                <w:bCs/>
                <w:lang w:val="fi-FI"/>
              </w:rPr>
              <w:t>ympäristö- ja sosiaaliset ominaispiirteet</w:t>
            </w:r>
            <w:r w:rsidRPr="00D04AB5">
              <w:rPr>
                <w:rFonts w:ascii="Calibri" w:hAnsi="Calibri" w:cs="Arial"/>
                <w:lang w:val="fi-FI"/>
              </w:rPr>
              <w:t>').</w:t>
            </w:r>
          </w:p>
          <w:p w14:paraId="797EFF04" w14:textId="77777777" w:rsidR="00D04AB5" w:rsidRPr="00D04AB5" w:rsidRDefault="00D04AB5" w:rsidP="00D04AB5">
            <w:pPr>
              <w:jc w:val="both"/>
              <w:rPr>
                <w:rFonts w:ascii="Calibri" w:hAnsi="Calibri" w:cs="Arial"/>
                <w:lang w:val="fi-FI"/>
              </w:rPr>
            </w:pPr>
          </w:p>
          <w:p w14:paraId="5D5CA584" w14:textId="180A3F5B" w:rsidR="00D04AB5" w:rsidRPr="00D04AB5" w:rsidRDefault="00D04AB5" w:rsidP="00D04AB5">
            <w:pPr>
              <w:jc w:val="both"/>
              <w:rPr>
                <w:rFonts w:ascii="Calibri" w:hAnsi="Calibri" w:cs="Arial"/>
                <w:lang w:val="fi-FI"/>
              </w:rPr>
            </w:pPr>
            <w:r w:rsidRPr="00D04AB5">
              <w:rPr>
                <w:rFonts w:ascii="Calibri" w:hAnsi="Calibri" w:cs="Arial"/>
                <w:lang w:val="fi-FI"/>
              </w:rPr>
              <w:t>Kumppanuuden sijoitusstrategian tavoitteena ei ole (EU) asetuksessa 2019/2088 (”</w:t>
            </w:r>
            <w:r w:rsidRPr="00D04AB5">
              <w:rPr>
                <w:rFonts w:ascii="Calibri" w:hAnsi="Calibri" w:cs="Arial"/>
                <w:b/>
                <w:bCs/>
                <w:lang w:val="fi-FI"/>
              </w:rPr>
              <w:t>SFDR</w:t>
            </w:r>
            <w:r w:rsidRPr="00D04AB5">
              <w:rPr>
                <w:rFonts w:ascii="Calibri" w:hAnsi="Calibri" w:cs="Arial"/>
                <w:lang w:val="fi-FI"/>
              </w:rPr>
              <w:t>”) tarkoitettu kestävä sijoittaminen.</w:t>
            </w:r>
          </w:p>
          <w:p w14:paraId="5C2D461F" w14:textId="77777777" w:rsidR="00D04AB5" w:rsidRPr="00D04AB5" w:rsidRDefault="00D04AB5" w:rsidP="00D04AB5">
            <w:pPr>
              <w:jc w:val="both"/>
              <w:rPr>
                <w:rFonts w:ascii="Calibri" w:hAnsi="Calibri" w:cs="Arial"/>
                <w:lang w:val="fi-FI"/>
              </w:rPr>
            </w:pPr>
          </w:p>
          <w:p w14:paraId="464694E4" w14:textId="77777777" w:rsidR="00D04AB5" w:rsidRPr="00D04AB5" w:rsidRDefault="00D04AB5" w:rsidP="00D04AB5">
            <w:pPr>
              <w:jc w:val="both"/>
              <w:rPr>
                <w:rFonts w:ascii="Calibri" w:hAnsi="Calibri" w:cs="Arial"/>
                <w:lang w:val="fi-FI"/>
              </w:rPr>
            </w:pPr>
            <w:r w:rsidRPr="00D04AB5">
              <w:rPr>
                <w:rFonts w:ascii="Calibri" w:hAnsi="Calibri" w:cs="Arial"/>
                <w:lang w:val="fi-FI"/>
              </w:rPr>
              <w:t>Kumppanuuden kehys ESG-asioiden sisällyttämiseksi sijoitusprosessiin rakentuu pääasiassa kolmen pilarin ympärille: ESG Due Diligence, salkun jatkuva seuranta ja sidosryhmien osallistuminen:</w:t>
            </w:r>
          </w:p>
          <w:p w14:paraId="1CCAC3CD" w14:textId="333D9AF8" w:rsidR="00D04AB5" w:rsidRPr="00D04AB5" w:rsidRDefault="00D04AB5" w:rsidP="00D04AB5">
            <w:pPr>
              <w:pStyle w:val="Listenabsatz"/>
              <w:numPr>
                <w:ilvl w:val="0"/>
                <w:numId w:val="34"/>
              </w:numPr>
              <w:jc w:val="both"/>
              <w:rPr>
                <w:rFonts w:ascii="Calibri" w:hAnsi="Calibri" w:cs="Arial"/>
                <w:lang w:val="fi-FI"/>
              </w:rPr>
            </w:pPr>
            <w:r w:rsidRPr="00D04AB5">
              <w:rPr>
                <w:rFonts w:ascii="Calibri" w:hAnsi="Calibri" w:cs="Arial"/>
                <w:lang w:val="fi-FI"/>
              </w:rPr>
              <w:t>ESG Due Diligence: ESG-tekijät sisällytetään sijoitusprosessiin alusta alkaen. Tähän sisältyy negatiivinen seulonta (poissulkukriteerit) ja kattava ESG-kyselylomake, joka kattaa ympäristöön, yhteiskuntaan ja hallintoon liittyvät riskit. Poissulkukriteerit kattavat esimerkiksi aseet ja ampumatarvikkeet, lapsityövoiman käytön, pornografian tai alkoholijuomien, tupakan, kannabiksen ja radioaktiivisten aineiden myynnin, uhkapelit tai laittomat ohjelmistot, fossiilisiin polttoaineisiin perustuvan energiantuotannon sekä energiaintensiiviset ja/tai runsaasti hiilidioksidipäästöjä aiheuttavat teollisuudenalat. ESG-havainnot tiivistetään sijoitusmuistioissa, jotka vaikuttavat sijoituspäätöksiin ja luovat pohjan jatkuvalle seurannalle.</w:t>
            </w:r>
          </w:p>
          <w:p w14:paraId="29C64233" w14:textId="5D6EDC9B" w:rsidR="00D04AB5" w:rsidRPr="00D04AB5" w:rsidRDefault="00D04AB5" w:rsidP="00D04AB5">
            <w:pPr>
              <w:pStyle w:val="Listenabsatz"/>
              <w:numPr>
                <w:ilvl w:val="0"/>
                <w:numId w:val="34"/>
              </w:numPr>
              <w:jc w:val="both"/>
              <w:rPr>
                <w:rFonts w:ascii="Calibri" w:hAnsi="Calibri" w:cs="Arial"/>
                <w:lang w:val="fi-FI"/>
              </w:rPr>
            </w:pPr>
            <w:r w:rsidRPr="00D04AB5">
              <w:rPr>
                <w:rFonts w:ascii="Calibri" w:hAnsi="Calibri" w:cs="Arial"/>
                <w:lang w:val="fi-FI"/>
              </w:rPr>
              <w:t>Jatkuva salkun seuranta: ESG-riskejä ja -mahdollisuuksia seurataan jatkuvasti koko salkussa, ja lainanottajat päivittävät säännöllisesti tietoja ESG-toiminnasta. Kumppanuuteen on myös sisällytetty olennaisia haitallisia vaikutuksia koskevat tapauskohtaiset raportointivaatimukset, mikä mahdollistaa oikea-aikaisen reagoinnin esiin nouseviin riskeihin.</w:t>
            </w:r>
          </w:p>
          <w:p w14:paraId="35E6773E" w14:textId="2CDE497C" w:rsidR="00D04AB5" w:rsidRPr="00D04AB5" w:rsidRDefault="00D04AB5" w:rsidP="00D04AB5">
            <w:pPr>
              <w:pStyle w:val="Listenabsatz"/>
              <w:numPr>
                <w:ilvl w:val="0"/>
                <w:numId w:val="34"/>
              </w:numPr>
              <w:jc w:val="both"/>
              <w:rPr>
                <w:rFonts w:ascii="Calibri" w:hAnsi="Calibri" w:cs="Arial"/>
                <w:lang w:val="fi-FI"/>
              </w:rPr>
            </w:pPr>
            <w:r w:rsidRPr="00D04AB5">
              <w:rPr>
                <w:rFonts w:ascii="Calibri" w:hAnsi="Calibri" w:cs="Arial"/>
                <w:lang w:val="fi-FI"/>
              </w:rPr>
              <w:t>Sidosryhmien sitoutuminen ja hallinto: ESG-valvonnasta vastaavat kestävän sijoittamisen tiimi ja ESG-komitea, jotka varmistavat, että kumppanuus noudattaa kansainvälisiä standardeja, kuten YK:n vastuullisen sijoittamisen periaatteita (PRI). Kumppanuus kannustaa salkkuyhtiöitä ottamaan käyttöön ESG-käytäntöjä, mikä auttaa parantamaan ESG-tulosta ajan mittaan.</w:t>
            </w:r>
          </w:p>
          <w:p w14:paraId="113D5C13" w14:textId="77777777" w:rsidR="00D04AB5" w:rsidRPr="00D04AB5" w:rsidRDefault="00D04AB5" w:rsidP="00D04AB5">
            <w:pPr>
              <w:jc w:val="both"/>
              <w:rPr>
                <w:rFonts w:ascii="Calibri" w:hAnsi="Calibri" w:cs="Arial"/>
                <w:lang w:val="fi-FI"/>
              </w:rPr>
            </w:pPr>
          </w:p>
          <w:p w14:paraId="657961C2" w14:textId="77777777" w:rsidR="00D04AB5" w:rsidRPr="00D04AB5" w:rsidRDefault="00D04AB5" w:rsidP="00D04AB5">
            <w:pPr>
              <w:jc w:val="both"/>
              <w:rPr>
                <w:rFonts w:ascii="Calibri" w:hAnsi="Calibri" w:cs="Arial"/>
                <w:lang w:val="fi-FI"/>
              </w:rPr>
            </w:pPr>
            <w:r w:rsidRPr="00D04AB5">
              <w:rPr>
                <w:rFonts w:ascii="Calibri" w:hAnsi="Calibri" w:cs="Arial"/>
                <w:lang w:val="fi-FI"/>
              </w:rPr>
              <w:t>Tämä kehys yhdenmukaistaa Partnershipin sijoitukset pitkän aikavälin arvontuottamistavoitteiden kanssa ja ottaa samalla ennakoivasti huomioon ympäristöön, yhteiskuntaan ja hallintotapaan liittyvät riskit.</w:t>
            </w:r>
          </w:p>
          <w:p w14:paraId="61EA9C5B" w14:textId="7CA84051" w:rsidR="00A900D3" w:rsidRPr="00D04AB5" w:rsidRDefault="00D04AB5" w:rsidP="00D04AB5">
            <w:pPr>
              <w:jc w:val="both"/>
              <w:rPr>
                <w:rFonts w:ascii="Calibri" w:hAnsi="Calibri" w:cs="Arial"/>
                <w:lang w:val="fi-FI"/>
              </w:rPr>
            </w:pPr>
            <w:r w:rsidRPr="00D04AB5">
              <w:rPr>
                <w:rFonts w:ascii="Calibri" w:hAnsi="Calibri" w:cs="Arial"/>
                <w:lang w:val="fi-FI"/>
              </w:rPr>
              <w:t xml:space="preserve"> </w:t>
            </w:r>
          </w:p>
        </w:tc>
      </w:tr>
    </w:tbl>
    <w:p w14:paraId="5E152006" w14:textId="77777777" w:rsidR="00A900D3" w:rsidRPr="00A900D3" w:rsidRDefault="00A900D3" w:rsidP="00A900D3">
      <w:pPr>
        <w:rPr>
          <w:rFonts w:ascii="Calibri" w:hAnsi="Calibri" w:cs="Arial"/>
          <w:highlight w:val="yellow"/>
          <w:u w:val="single"/>
          <w:lang w:val="fi-FI"/>
        </w:rPr>
      </w:pPr>
    </w:p>
    <w:p w14:paraId="6B7A7AEB" w14:textId="77777777" w:rsidR="00A900D3" w:rsidRPr="00A900D3" w:rsidRDefault="00A900D3" w:rsidP="00A900D3">
      <w:pPr>
        <w:rPr>
          <w:rFonts w:ascii="Calibri" w:hAnsi="Calibri" w:cs="Arial"/>
          <w:highlight w:val="yellow"/>
          <w:u w:val="single"/>
        </w:rPr>
      </w:pPr>
      <w:r w:rsidRPr="00A900D3">
        <w:rPr>
          <w:rFonts w:ascii="Calibri" w:hAnsi="Calibri" w:cs="Arial"/>
          <w:highlight w:val="yellow"/>
          <w:u w:val="single"/>
        </w:rPr>
        <w:br w:type="page"/>
      </w:r>
    </w:p>
    <w:p w14:paraId="54CA6E86" w14:textId="77777777" w:rsidR="00A900D3" w:rsidRPr="00D04AB5" w:rsidRDefault="00A900D3" w:rsidP="00A900D3">
      <w:pPr>
        <w:jc w:val="center"/>
        <w:rPr>
          <w:rFonts w:ascii="Calibri" w:hAnsi="Calibri" w:cs="Arial"/>
          <w:u w:val="single"/>
          <w:lang w:val="nb-NO"/>
        </w:rPr>
      </w:pPr>
      <w:r w:rsidRPr="00D04AB5">
        <w:rPr>
          <w:rFonts w:ascii="Calibri" w:hAnsi="Calibri" w:cs="Arial"/>
          <w:u w:val="single"/>
          <w:lang w:val="nb-NO"/>
        </w:rPr>
        <w:lastRenderedPageBreak/>
        <w:t>Norwegian / Norsk (Bokmal)</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A900D3" w:rsidRPr="00D04AB5" w14:paraId="37B57E34" w14:textId="77777777" w:rsidTr="002A6B53">
        <w:trPr>
          <w:trHeight w:val="510"/>
        </w:trPr>
        <w:tc>
          <w:tcPr>
            <w:tcW w:w="1098" w:type="dxa"/>
            <w:shd w:val="clear" w:color="auto" w:fill="17365D" w:themeFill="text2" w:themeFillShade="BF"/>
            <w:vAlign w:val="center"/>
          </w:tcPr>
          <w:p w14:paraId="74FEECE8" w14:textId="77777777" w:rsidR="00A900D3" w:rsidRPr="00D04AB5" w:rsidRDefault="00A900D3"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6D888DE4" wp14:editId="2AB862FC">
                  <wp:extent cx="522514" cy="563518"/>
                  <wp:effectExtent l="0" t="0" r="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72D38580" w14:textId="77777777" w:rsidR="00A900D3" w:rsidRPr="00D04AB5" w:rsidRDefault="00A900D3" w:rsidP="002A6B53">
            <w:pPr>
              <w:pStyle w:val="Listenabsatz"/>
              <w:numPr>
                <w:ilvl w:val="0"/>
                <w:numId w:val="31"/>
              </w:numPr>
              <w:rPr>
                <w:rFonts w:ascii="Calibri" w:hAnsi="Calibri" w:cs="Arial"/>
                <w:b/>
                <w:color w:val="FFFFFF" w:themeColor="background1"/>
                <w:sz w:val="24"/>
                <w:szCs w:val="24"/>
                <w:lang w:val="nb-NO"/>
              </w:rPr>
            </w:pPr>
            <w:r w:rsidRPr="00D04AB5">
              <w:rPr>
                <w:rFonts w:ascii="Calibri" w:hAnsi="Calibri" w:cs="Arial"/>
                <w:b/>
                <w:color w:val="FFFFFF" w:themeColor="background1"/>
                <w:sz w:val="24"/>
                <w:szCs w:val="24"/>
                <w:lang w:val="nb-NO"/>
              </w:rPr>
              <w:t>Sammendrag</w:t>
            </w:r>
          </w:p>
        </w:tc>
      </w:tr>
      <w:tr w:rsidR="00A900D3" w:rsidRPr="009A6567" w14:paraId="16416308" w14:textId="77777777" w:rsidTr="002A6B53">
        <w:trPr>
          <w:trHeight w:val="6592"/>
        </w:trPr>
        <w:tc>
          <w:tcPr>
            <w:tcW w:w="9060" w:type="dxa"/>
            <w:gridSpan w:val="2"/>
          </w:tcPr>
          <w:p w14:paraId="0BAE51CE" w14:textId="785AC143" w:rsidR="00D04AB5" w:rsidRPr="00D04AB5" w:rsidRDefault="00D04AB5" w:rsidP="00D04AB5">
            <w:pPr>
              <w:jc w:val="both"/>
              <w:rPr>
                <w:rFonts w:ascii="Calibri" w:hAnsi="Calibri" w:cs="Arial"/>
                <w:lang w:val="nb-NO"/>
              </w:rPr>
            </w:pPr>
            <w:r w:rsidRPr="00D04AB5">
              <w:rPr>
                <w:rFonts w:ascii="Calibri" w:hAnsi="Calibri" w:cs="Arial"/>
                <w:lang w:val="nb-NO"/>
              </w:rPr>
              <w:t>BRIGHT CAPITAL European Credit Fund III, SCSp («</w:t>
            </w:r>
            <w:r w:rsidRPr="00D04AB5">
              <w:rPr>
                <w:rFonts w:ascii="Calibri" w:hAnsi="Calibri" w:cs="Arial"/>
                <w:b/>
                <w:bCs/>
                <w:lang w:val="nb-NO"/>
              </w:rPr>
              <w:t>Partnerskapet</w:t>
            </w:r>
            <w:r w:rsidRPr="00D04AB5">
              <w:rPr>
                <w:rFonts w:ascii="Calibri" w:hAnsi="Calibri" w:cs="Arial"/>
                <w:lang w:val="nb-NO"/>
              </w:rPr>
              <w:t>») investerer i gjeldsinstrumenter (med eller uten en egenkapitalkomponent og med eller uten sikkerhet) til porteføljeselskaper og fremmer reduksjon av karbonutslipp som miljøegenskaper, og de sosiale egenskapene som fremmes av det finansielle produktet er helse og sikkerhet på arbeidsplassen, inkludering og kjønnsdiversitet i styret (sammen «</w:t>
            </w:r>
            <w:r w:rsidRPr="00D04AB5">
              <w:rPr>
                <w:rFonts w:ascii="Calibri" w:hAnsi="Calibri" w:cs="Arial"/>
                <w:b/>
                <w:bCs/>
                <w:lang w:val="nb-NO"/>
              </w:rPr>
              <w:t>E/S-egenskaper</w:t>
            </w:r>
            <w:r w:rsidRPr="00D04AB5">
              <w:rPr>
                <w:rFonts w:ascii="Calibri" w:hAnsi="Calibri" w:cs="Arial"/>
                <w:lang w:val="nb-NO"/>
              </w:rPr>
              <w:t>»).</w:t>
            </w:r>
          </w:p>
          <w:p w14:paraId="4CB52BF6" w14:textId="77777777" w:rsidR="00D04AB5" w:rsidRPr="00D04AB5" w:rsidRDefault="00D04AB5" w:rsidP="00D04AB5">
            <w:pPr>
              <w:jc w:val="both"/>
              <w:rPr>
                <w:rFonts w:ascii="Calibri" w:hAnsi="Calibri" w:cs="Arial"/>
                <w:lang w:val="nb-NO"/>
              </w:rPr>
            </w:pPr>
          </w:p>
          <w:p w14:paraId="398508D4" w14:textId="5D6469B0" w:rsidR="00D04AB5" w:rsidRPr="00D04AB5" w:rsidRDefault="00D04AB5" w:rsidP="00D04AB5">
            <w:pPr>
              <w:jc w:val="both"/>
              <w:rPr>
                <w:rFonts w:ascii="Calibri" w:hAnsi="Calibri" w:cs="Arial"/>
                <w:lang w:val="nb-NO"/>
              </w:rPr>
            </w:pPr>
            <w:r w:rsidRPr="00D04AB5">
              <w:rPr>
                <w:rFonts w:ascii="Calibri" w:hAnsi="Calibri" w:cs="Arial"/>
                <w:lang w:val="nb-NO"/>
              </w:rPr>
              <w:t>Partnerskapets investeringsstrategi har ikke bærekraftige investeringer i henhold til (EU) forordning 2019/2088 («</w:t>
            </w:r>
            <w:r w:rsidRPr="00D04AB5">
              <w:rPr>
                <w:rFonts w:ascii="Calibri" w:hAnsi="Calibri" w:cs="Arial"/>
                <w:b/>
                <w:bCs/>
                <w:lang w:val="nb-NO"/>
              </w:rPr>
              <w:t>SFDR</w:t>
            </w:r>
            <w:r w:rsidRPr="00D04AB5">
              <w:rPr>
                <w:rFonts w:ascii="Calibri" w:hAnsi="Calibri" w:cs="Arial"/>
                <w:lang w:val="nb-NO"/>
              </w:rPr>
              <w:t>») som mål.</w:t>
            </w:r>
          </w:p>
          <w:p w14:paraId="70375F4C" w14:textId="77777777" w:rsidR="00D04AB5" w:rsidRPr="00D04AB5" w:rsidRDefault="00D04AB5" w:rsidP="00D04AB5">
            <w:pPr>
              <w:jc w:val="both"/>
              <w:rPr>
                <w:rFonts w:ascii="Calibri" w:hAnsi="Calibri" w:cs="Arial"/>
                <w:lang w:val="nb-NO"/>
              </w:rPr>
            </w:pPr>
          </w:p>
          <w:p w14:paraId="3FB0814F" w14:textId="77777777" w:rsidR="00D04AB5" w:rsidRPr="00D04AB5" w:rsidRDefault="00D04AB5" w:rsidP="00D04AB5">
            <w:pPr>
              <w:jc w:val="both"/>
              <w:rPr>
                <w:rFonts w:ascii="Calibri" w:hAnsi="Calibri" w:cs="Arial"/>
                <w:lang w:val="nb-NO"/>
              </w:rPr>
            </w:pPr>
            <w:r w:rsidRPr="00D04AB5">
              <w:rPr>
                <w:rFonts w:ascii="Calibri" w:hAnsi="Calibri" w:cs="Arial"/>
                <w:lang w:val="nb-NO"/>
              </w:rPr>
              <w:t>Partnerskapets rammeverk for integrering av ESG-forhold i investeringsprosessen er i hovedsak strukturert rundt tre pilarer: ESG Due Diligence, løpende porteføljeovervåking og interessentengasjement:</w:t>
            </w:r>
          </w:p>
          <w:p w14:paraId="715D9ACC" w14:textId="3385FFF0" w:rsidR="00D04AB5" w:rsidRPr="00D04AB5" w:rsidRDefault="00D04AB5" w:rsidP="00D04AB5">
            <w:pPr>
              <w:pStyle w:val="Listenabsatz"/>
              <w:numPr>
                <w:ilvl w:val="0"/>
                <w:numId w:val="34"/>
              </w:numPr>
              <w:jc w:val="both"/>
              <w:rPr>
                <w:rFonts w:ascii="Calibri" w:hAnsi="Calibri" w:cs="Arial"/>
                <w:lang w:val="nb-NO"/>
              </w:rPr>
            </w:pPr>
            <w:r w:rsidRPr="00D04AB5">
              <w:rPr>
                <w:rFonts w:ascii="Calibri" w:hAnsi="Calibri" w:cs="Arial"/>
                <w:lang w:val="nb-NO"/>
              </w:rPr>
              <w:t>ESG Due Diligence: ESG-faktorer integreres i investeringsprosessen fra begynnelsen av. Dette omfatter negativ screening (eksklusjonskriterier) og et omfattende ESG-spørreskjema som dekker risiko knyttet til miljø, sosiale forhold og selskapsstyring. Eksklusjonskriteriene omfatter blant annet våpen og ammunisjon, barnearbeid, pornografi eller salg av alkoholholdige drikkevarer, tobakk, cannabis og radioaktivt materiale, pengespill eller ulovlig programvare, energiproduksjon basert på fossilt brensel og energiintensive industrier og/eller industrier med høye CO2-utslipp. ESG-funn oppsummeres i investeringsnotater som påvirker investeringsbeslutningene og danner grunnlaget for løpende overvåking.</w:t>
            </w:r>
          </w:p>
          <w:p w14:paraId="2F0881EA" w14:textId="5D172469" w:rsidR="00D04AB5" w:rsidRPr="00D04AB5" w:rsidRDefault="00D04AB5" w:rsidP="00D04AB5">
            <w:pPr>
              <w:pStyle w:val="Listenabsatz"/>
              <w:numPr>
                <w:ilvl w:val="0"/>
                <w:numId w:val="34"/>
              </w:numPr>
              <w:jc w:val="both"/>
              <w:rPr>
                <w:rFonts w:ascii="Calibri" w:hAnsi="Calibri" w:cs="Arial"/>
                <w:lang w:val="nb-NO"/>
              </w:rPr>
            </w:pPr>
            <w:r w:rsidRPr="00D04AB5">
              <w:rPr>
                <w:rFonts w:ascii="Calibri" w:hAnsi="Calibri" w:cs="Arial"/>
                <w:lang w:val="nb-NO"/>
              </w:rPr>
              <w:t>Løpende porteføljeovervåking: ESG-risikoer og -muligheter overvåkes kontinuerlig i hele porteføljen, med periodiske oppdateringer fra låntakerne om ESG-resultater. Partnerskapet integrerer også ad hoc-rapporteringskrav for vesentlige negative konsekvenser, noe som gjør det mulig å reagere på nye risikoer i tide.</w:t>
            </w:r>
          </w:p>
          <w:p w14:paraId="746CC6F2" w14:textId="4020A44A" w:rsidR="00D04AB5" w:rsidRPr="00D04AB5" w:rsidRDefault="00D04AB5" w:rsidP="00D04AB5">
            <w:pPr>
              <w:pStyle w:val="Listenabsatz"/>
              <w:numPr>
                <w:ilvl w:val="0"/>
                <w:numId w:val="34"/>
              </w:numPr>
              <w:jc w:val="both"/>
              <w:rPr>
                <w:rFonts w:ascii="Calibri" w:hAnsi="Calibri" w:cs="Arial"/>
                <w:lang w:val="nb-NO"/>
              </w:rPr>
            </w:pPr>
            <w:r w:rsidRPr="00D04AB5">
              <w:rPr>
                <w:rFonts w:ascii="Calibri" w:hAnsi="Calibri" w:cs="Arial"/>
                <w:lang w:val="nb-NO"/>
              </w:rPr>
              <w:t>Engasjement og styring av interessenter: ESG-overvåking ivaretas av et team for bærekraftige investeringer og en dedikert ESG-komité, som sørger for at investeringene er i tråd med internasjonale standarder, for eksempel FNs prinsipper for ansvarlige investeringer (PRI). Partnerskapet oppmuntrer porteføljeselskapene til å innføre ESG-praksis, noe som bidrar til å forbedre ESG-resultatene over tid.</w:t>
            </w:r>
          </w:p>
          <w:p w14:paraId="6FACC76D" w14:textId="77777777" w:rsidR="00D04AB5" w:rsidRPr="00D04AB5" w:rsidRDefault="00D04AB5" w:rsidP="00D04AB5">
            <w:pPr>
              <w:ind w:left="360"/>
              <w:jc w:val="both"/>
              <w:rPr>
                <w:rFonts w:ascii="Calibri" w:hAnsi="Calibri" w:cs="Arial"/>
                <w:lang w:val="nb-NO"/>
              </w:rPr>
            </w:pPr>
          </w:p>
          <w:p w14:paraId="0C19230F" w14:textId="77777777" w:rsidR="00D04AB5" w:rsidRPr="00D04AB5" w:rsidRDefault="00D04AB5" w:rsidP="00D04AB5">
            <w:pPr>
              <w:jc w:val="both"/>
              <w:rPr>
                <w:rFonts w:ascii="Calibri" w:hAnsi="Calibri" w:cs="Arial"/>
                <w:lang w:val="nb-NO"/>
              </w:rPr>
            </w:pPr>
            <w:r w:rsidRPr="00D04AB5">
              <w:rPr>
                <w:rFonts w:ascii="Calibri" w:hAnsi="Calibri" w:cs="Arial"/>
                <w:lang w:val="nb-NO"/>
              </w:rPr>
              <w:t>Dette rammeverket bidrar til at partnerskapets investeringer er i tråd med langsiktige mål for verdiskapning, samtidig som vi håndterer risiko knyttet til miljø, sosiale forhold og selskapsstyring på en proaktiv måte.</w:t>
            </w:r>
          </w:p>
          <w:p w14:paraId="11056005" w14:textId="3B62B4B7" w:rsidR="00A900D3" w:rsidRPr="00D04AB5" w:rsidRDefault="00D04AB5" w:rsidP="00D04AB5">
            <w:pPr>
              <w:jc w:val="both"/>
              <w:rPr>
                <w:rFonts w:ascii="Calibri" w:hAnsi="Calibri" w:cs="Arial"/>
                <w:lang w:val="nb-NO"/>
              </w:rPr>
            </w:pPr>
            <w:r w:rsidRPr="00D04AB5">
              <w:rPr>
                <w:rFonts w:ascii="Calibri" w:hAnsi="Calibri" w:cs="Arial"/>
                <w:lang w:val="nb-NO"/>
              </w:rPr>
              <w:t xml:space="preserve"> </w:t>
            </w:r>
          </w:p>
        </w:tc>
      </w:tr>
    </w:tbl>
    <w:p w14:paraId="5C661074" w14:textId="115E4A4E" w:rsidR="00D04AB5" w:rsidRDefault="00D04AB5" w:rsidP="003D1990">
      <w:pPr>
        <w:rPr>
          <w:rFonts w:ascii="Calibri" w:hAnsi="Calibri" w:cs="Arial"/>
        </w:rPr>
      </w:pPr>
    </w:p>
    <w:p w14:paraId="69555F49" w14:textId="77777777" w:rsidR="00D04AB5" w:rsidRDefault="00D04AB5">
      <w:pPr>
        <w:rPr>
          <w:rFonts w:ascii="Calibri" w:hAnsi="Calibri" w:cs="Arial"/>
        </w:rPr>
      </w:pPr>
      <w:r>
        <w:rPr>
          <w:rFonts w:ascii="Calibri" w:hAnsi="Calibri" w:cs="Arial"/>
        </w:rPr>
        <w:br w:type="page"/>
      </w:r>
    </w:p>
    <w:p w14:paraId="77EB065A" w14:textId="5D2A56DB" w:rsidR="00D04AB5" w:rsidRPr="00D04AB5" w:rsidRDefault="00D04AB5" w:rsidP="00D04AB5">
      <w:pPr>
        <w:jc w:val="center"/>
        <w:rPr>
          <w:rFonts w:ascii="Calibri" w:hAnsi="Calibri" w:cs="Arial"/>
          <w:u w:val="single"/>
          <w:lang w:val="nb-NO"/>
        </w:rPr>
      </w:pPr>
      <w:r>
        <w:rPr>
          <w:rFonts w:ascii="Calibri" w:hAnsi="Calibri" w:cs="Arial"/>
          <w:u w:val="single"/>
          <w:lang w:val="nb-NO"/>
        </w:rPr>
        <w:lastRenderedPageBreak/>
        <w:t>Swedish</w:t>
      </w:r>
      <w:r w:rsidRPr="00D04AB5">
        <w:rPr>
          <w:rFonts w:ascii="Calibri" w:hAnsi="Calibri" w:cs="Arial"/>
          <w:u w:val="single"/>
          <w:lang w:val="nb-NO"/>
        </w:rPr>
        <w:t xml:space="preserve"> / </w:t>
      </w:r>
      <w:r w:rsidRPr="00D04AB5">
        <w:rPr>
          <w:rFonts w:ascii="Calibri" w:hAnsi="Calibri" w:cs="Arial"/>
          <w:u w:val="single"/>
          <w:lang w:val="nb-NO"/>
        </w:rPr>
        <w:t>Svensk</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D04AB5" w:rsidRPr="00D04AB5" w14:paraId="4C1CAA92" w14:textId="77777777" w:rsidTr="002A6B53">
        <w:trPr>
          <w:trHeight w:val="510"/>
        </w:trPr>
        <w:tc>
          <w:tcPr>
            <w:tcW w:w="1098" w:type="dxa"/>
            <w:shd w:val="clear" w:color="auto" w:fill="17365D" w:themeFill="text2" w:themeFillShade="BF"/>
            <w:vAlign w:val="center"/>
          </w:tcPr>
          <w:p w14:paraId="0E5F941F" w14:textId="77777777" w:rsidR="00D04AB5" w:rsidRPr="00D04AB5" w:rsidRDefault="00D04AB5"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5C497D17" wp14:editId="0A50BE57">
                  <wp:extent cx="522514" cy="563518"/>
                  <wp:effectExtent l="0" t="0" r="0" b="825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3C2329F" w14:textId="170AF2D1" w:rsidR="00D04AB5" w:rsidRPr="00D04AB5" w:rsidRDefault="00D04AB5" w:rsidP="00D04AB5">
            <w:pPr>
              <w:pStyle w:val="Listenabsatz"/>
              <w:numPr>
                <w:ilvl w:val="0"/>
                <w:numId w:val="35"/>
              </w:numPr>
              <w:rPr>
                <w:rFonts w:ascii="Calibri" w:hAnsi="Calibri" w:cs="Arial"/>
                <w:b/>
                <w:color w:val="FFFFFF" w:themeColor="background1"/>
                <w:sz w:val="24"/>
                <w:szCs w:val="24"/>
                <w:lang w:val="nb-NO"/>
              </w:rPr>
            </w:pPr>
            <w:r w:rsidRPr="00D04AB5">
              <w:rPr>
                <w:rFonts w:ascii="Calibri" w:hAnsi="Calibri" w:cs="Arial"/>
                <w:b/>
                <w:color w:val="FFFFFF" w:themeColor="background1"/>
                <w:sz w:val="24"/>
                <w:szCs w:val="24"/>
                <w:lang w:val="nb-NO"/>
              </w:rPr>
              <w:t>Sammanfattning</w:t>
            </w:r>
          </w:p>
        </w:tc>
      </w:tr>
      <w:tr w:rsidR="00D04AB5" w:rsidRPr="009A6567" w14:paraId="11DCF742" w14:textId="77777777" w:rsidTr="002A6B53">
        <w:trPr>
          <w:trHeight w:val="6592"/>
        </w:trPr>
        <w:tc>
          <w:tcPr>
            <w:tcW w:w="9060" w:type="dxa"/>
            <w:gridSpan w:val="2"/>
          </w:tcPr>
          <w:p w14:paraId="36C1D20E" w14:textId="5CD13CA9" w:rsidR="00276A41" w:rsidRPr="00276A41" w:rsidRDefault="00276A41" w:rsidP="00276A41">
            <w:pPr>
              <w:jc w:val="both"/>
              <w:rPr>
                <w:rFonts w:ascii="Calibri" w:hAnsi="Calibri" w:cs="Arial"/>
                <w:lang w:val="sv-SE"/>
              </w:rPr>
            </w:pPr>
            <w:r w:rsidRPr="00276A41">
              <w:rPr>
                <w:rFonts w:ascii="Calibri" w:hAnsi="Calibri" w:cs="Arial"/>
                <w:lang w:val="sv-SE"/>
              </w:rPr>
              <w:t>BRIGHT CAPITAL European Credit Fund III, SCSp (”</w:t>
            </w:r>
            <w:r w:rsidRPr="00276A41">
              <w:rPr>
                <w:rFonts w:ascii="Calibri" w:hAnsi="Calibri" w:cs="Arial"/>
                <w:b/>
                <w:bCs/>
                <w:lang w:val="sv-SE"/>
              </w:rPr>
              <w:t>Partnerskapet</w:t>
            </w:r>
            <w:r w:rsidRPr="00276A41">
              <w:rPr>
                <w:rFonts w:ascii="Calibri" w:hAnsi="Calibri" w:cs="Arial"/>
                <w:lang w:val="sv-SE"/>
              </w:rPr>
              <w:t>”) investerar i skuldinstrument (med eller utan en aktiekomponent och med eller utan säkerhet) i portföljbolag och främjar koldioxidminskning som miljöegenskaper och de sociala egenskaper som främjas av den finansiella produkten är hälsa och säkerhet på arbetsplatsen, inkludering och könsbalans i styrelsen (tillsammans ”</w:t>
            </w:r>
            <w:r w:rsidRPr="00276A41">
              <w:rPr>
                <w:rFonts w:ascii="Calibri" w:hAnsi="Calibri" w:cs="Arial"/>
                <w:b/>
                <w:bCs/>
                <w:lang w:val="sv-SE"/>
              </w:rPr>
              <w:t>E/S-egenskaper</w:t>
            </w:r>
            <w:r w:rsidRPr="00276A41">
              <w:rPr>
                <w:rFonts w:ascii="Calibri" w:hAnsi="Calibri" w:cs="Arial"/>
                <w:lang w:val="sv-SE"/>
              </w:rPr>
              <w:t>”).</w:t>
            </w:r>
          </w:p>
          <w:p w14:paraId="6211043F" w14:textId="77777777" w:rsidR="00276A41" w:rsidRPr="00276A41" w:rsidRDefault="00276A41" w:rsidP="00276A41">
            <w:pPr>
              <w:jc w:val="both"/>
              <w:rPr>
                <w:rFonts w:ascii="Calibri" w:hAnsi="Calibri" w:cs="Arial"/>
                <w:lang w:val="sv-SE"/>
              </w:rPr>
            </w:pPr>
          </w:p>
          <w:p w14:paraId="44A43761" w14:textId="41DCD175" w:rsidR="00276A41" w:rsidRPr="00276A41" w:rsidRDefault="00276A41" w:rsidP="00276A41">
            <w:pPr>
              <w:jc w:val="both"/>
              <w:rPr>
                <w:rFonts w:ascii="Calibri" w:hAnsi="Calibri" w:cs="Arial"/>
                <w:lang w:val="sv-SE"/>
              </w:rPr>
            </w:pPr>
            <w:r w:rsidRPr="00276A41">
              <w:rPr>
                <w:rFonts w:ascii="Calibri" w:hAnsi="Calibri" w:cs="Arial"/>
                <w:lang w:val="sv-SE"/>
              </w:rPr>
              <w:t>Partnerskapets investeringsstrategi har inte hållbara investeringar i den mening som avses i (EU) förordning 2019/2088 (”</w:t>
            </w:r>
            <w:r w:rsidRPr="00276A41">
              <w:rPr>
                <w:rFonts w:ascii="Calibri" w:hAnsi="Calibri" w:cs="Arial"/>
                <w:b/>
                <w:bCs/>
                <w:lang w:val="sv-SE"/>
              </w:rPr>
              <w:t>SFDR</w:t>
            </w:r>
            <w:r w:rsidRPr="00276A41">
              <w:rPr>
                <w:rFonts w:ascii="Calibri" w:hAnsi="Calibri" w:cs="Arial"/>
                <w:lang w:val="sv-SE"/>
              </w:rPr>
              <w:t>”) som mål.</w:t>
            </w:r>
          </w:p>
          <w:p w14:paraId="4F5C56E9" w14:textId="77777777" w:rsidR="00276A41" w:rsidRPr="00276A41" w:rsidRDefault="00276A41" w:rsidP="00276A41">
            <w:pPr>
              <w:jc w:val="both"/>
              <w:rPr>
                <w:rFonts w:ascii="Calibri" w:hAnsi="Calibri" w:cs="Arial"/>
                <w:lang w:val="sv-SE"/>
              </w:rPr>
            </w:pPr>
          </w:p>
          <w:p w14:paraId="6AED6B56" w14:textId="77777777" w:rsidR="00276A41" w:rsidRPr="00276A41" w:rsidRDefault="00276A41" w:rsidP="00276A41">
            <w:pPr>
              <w:jc w:val="both"/>
              <w:rPr>
                <w:rFonts w:ascii="Calibri" w:hAnsi="Calibri" w:cs="Arial"/>
                <w:lang w:val="sv-SE"/>
              </w:rPr>
            </w:pPr>
            <w:r w:rsidRPr="00276A41">
              <w:rPr>
                <w:rFonts w:ascii="Calibri" w:hAnsi="Calibri" w:cs="Arial"/>
                <w:lang w:val="sv-SE"/>
              </w:rPr>
              <w:t>Partnerskapets ramverk för att integrera ESG-frågor under investeringsprocessen är i huvudsak uppbyggt kring tre pelare: ESG Due Diligence, löpande portföljövervakning och engagemang från intressenter:</w:t>
            </w:r>
          </w:p>
          <w:p w14:paraId="313BC00C" w14:textId="54361771" w:rsidR="00276A41" w:rsidRPr="00276A41" w:rsidRDefault="00276A41" w:rsidP="00276A41">
            <w:pPr>
              <w:pStyle w:val="Listenabsatz"/>
              <w:numPr>
                <w:ilvl w:val="0"/>
                <w:numId w:val="34"/>
              </w:numPr>
              <w:jc w:val="both"/>
              <w:rPr>
                <w:rFonts w:ascii="Calibri" w:hAnsi="Calibri" w:cs="Arial"/>
                <w:lang w:val="sv-SE"/>
              </w:rPr>
            </w:pPr>
            <w:r w:rsidRPr="00276A41">
              <w:rPr>
                <w:rFonts w:ascii="Calibri" w:hAnsi="Calibri" w:cs="Arial"/>
                <w:lang w:val="sv-SE"/>
              </w:rPr>
              <w:t>ESG Due Diligence: ESG-faktorer integreras i investeringsprocessen från allra första början. Detta inkluderar negativ screening (exkluderingskriterier) och ett omfattande ESG-frågeformulär som täcker miljömässiga, sociala och styrningsrelaterade risker. Exkluderingskriterierna omfattar vapen och ammunition, barnarbete, pornografi eller försäljning av alkoholhaltiga drycker, tobak, cannabis och radioaktivt material, hasardspel eller olaglig programvara, energiproduktion baserad på fossila bränslen samt energiintensiva industrier och/eller industrier med höga CO2-utsläpp. ESG-resultaten sammanfattas i investeringsmemorandum, som påverkar investeringsbesluten och ligger till grund för den löpande uppföljningen.</w:t>
            </w:r>
          </w:p>
          <w:p w14:paraId="5C43654C" w14:textId="17BEEC85" w:rsidR="00276A41" w:rsidRPr="00276A41" w:rsidRDefault="00276A41" w:rsidP="00276A41">
            <w:pPr>
              <w:pStyle w:val="Listenabsatz"/>
              <w:numPr>
                <w:ilvl w:val="0"/>
                <w:numId w:val="34"/>
              </w:numPr>
              <w:jc w:val="both"/>
              <w:rPr>
                <w:rFonts w:ascii="Calibri" w:hAnsi="Calibri" w:cs="Arial"/>
                <w:lang w:val="sv-SE"/>
              </w:rPr>
            </w:pPr>
            <w:r w:rsidRPr="00276A41">
              <w:rPr>
                <w:rFonts w:ascii="Calibri" w:hAnsi="Calibri" w:cs="Arial"/>
                <w:lang w:val="sv-SE"/>
              </w:rPr>
              <w:t>Löpande övervakning av portföljen: ESG-risker och -möjligheter övervakas kontinuerligt i hela portföljen, med regelbundna uppdateringar från låntagarna om ESG-resultat. Partnerskapet integrerar också ad hoc-rapporteringskrav för väsentlig negativ påverkan, vilket möjliggör snabba reaktioner på framväxande risker.</w:t>
            </w:r>
          </w:p>
          <w:p w14:paraId="209205C1" w14:textId="7C22FA00" w:rsidR="00276A41" w:rsidRPr="00276A41" w:rsidRDefault="00276A41" w:rsidP="00276A41">
            <w:pPr>
              <w:pStyle w:val="Listenabsatz"/>
              <w:numPr>
                <w:ilvl w:val="0"/>
                <w:numId w:val="34"/>
              </w:numPr>
              <w:jc w:val="both"/>
              <w:rPr>
                <w:rFonts w:ascii="Calibri" w:hAnsi="Calibri" w:cs="Arial"/>
                <w:lang w:val="sv-SE"/>
              </w:rPr>
            </w:pPr>
            <w:r w:rsidRPr="00276A41">
              <w:rPr>
                <w:rFonts w:ascii="Calibri" w:hAnsi="Calibri" w:cs="Arial"/>
                <w:lang w:val="sv-SE"/>
              </w:rPr>
              <w:t>Engagemang och styrning av intressenter: ESG-övervakningen sköts av ett team för hållbara investeringar och en särskild ESG-kommitté, som ser till att internationella standarder följs, till exempel FN:s principer för ansvarsfulla investeringar (PRI). Partnerskapet uppmuntrar portföljbolagen att anta ESG-metoder, vilket bidrar till att förbättra ESG-resultatet över tid.</w:t>
            </w:r>
          </w:p>
          <w:p w14:paraId="385297ED" w14:textId="77777777" w:rsidR="00276A41" w:rsidRPr="00276A41" w:rsidRDefault="00276A41" w:rsidP="00276A41">
            <w:pPr>
              <w:jc w:val="both"/>
              <w:rPr>
                <w:rFonts w:ascii="Calibri" w:hAnsi="Calibri" w:cs="Arial"/>
                <w:lang w:val="sv-SE"/>
              </w:rPr>
            </w:pPr>
          </w:p>
          <w:p w14:paraId="1CF37B3B" w14:textId="77777777" w:rsidR="00276A41" w:rsidRPr="00276A41" w:rsidRDefault="00276A41" w:rsidP="00276A41">
            <w:pPr>
              <w:jc w:val="both"/>
              <w:rPr>
                <w:rFonts w:ascii="Calibri" w:hAnsi="Calibri" w:cs="Arial"/>
                <w:lang w:val="sv-SE"/>
              </w:rPr>
            </w:pPr>
            <w:r w:rsidRPr="00276A41">
              <w:rPr>
                <w:rFonts w:ascii="Calibri" w:hAnsi="Calibri" w:cs="Arial"/>
                <w:lang w:val="sv-SE"/>
              </w:rPr>
              <w:t>Detta ramverk anpassar partnerskapets investeringar till långsiktiga mål för värdeskapande samtidigt som det proaktivt hanterar miljömässiga, sociala och styrningsrelaterade risker.</w:t>
            </w:r>
          </w:p>
          <w:p w14:paraId="1AE30253" w14:textId="11ABEFB6" w:rsidR="00D04AB5" w:rsidRPr="00276A41" w:rsidRDefault="00D04AB5" w:rsidP="002A6B53">
            <w:pPr>
              <w:jc w:val="both"/>
              <w:rPr>
                <w:rFonts w:ascii="Calibri" w:hAnsi="Calibri" w:cs="Arial"/>
                <w:lang w:val="sv-SE"/>
              </w:rPr>
            </w:pPr>
          </w:p>
        </w:tc>
      </w:tr>
    </w:tbl>
    <w:p w14:paraId="65064EEE" w14:textId="77777777" w:rsidR="00D04AB5" w:rsidRDefault="00D04AB5" w:rsidP="00D04AB5">
      <w:pPr>
        <w:rPr>
          <w:rFonts w:ascii="Calibri" w:hAnsi="Calibri" w:cs="Arial"/>
        </w:rPr>
      </w:pPr>
    </w:p>
    <w:p w14:paraId="3E0EE3E4" w14:textId="77777777" w:rsidR="00D04AB5" w:rsidRDefault="00D04AB5" w:rsidP="00D04AB5">
      <w:pPr>
        <w:rPr>
          <w:rFonts w:ascii="Calibri" w:hAnsi="Calibri" w:cs="Arial"/>
        </w:rPr>
      </w:pPr>
      <w:r>
        <w:rPr>
          <w:rFonts w:ascii="Calibri" w:hAnsi="Calibri" w:cs="Arial"/>
        </w:rPr>
        <w:br w:type="page"/>
      </w:r>
    </w:p>
    <w:p w14:paraId="05DB9B14" w14:textId="15F717E3" w:rsidR="00276A41" w:rsidRPr="00D04AB5" w:rsidRDefault="00276A41" w:rsidP="00276A41">
      <w:pPr>
        <w:jc w:val="center"/>
        <w:rPr>
          <w:rFonts w:ascii="Calibri" w:hAnsi="Calibri" w:cs="Arial"/>
          <w:u w:val="single"/>
          <w:lang w:val="nb-NO"/>
        </w:rPr>
      </w:pPr>
      <w:r w:rsidRPr="00276A41">
        <w:rPr>
          <w:rFonts w:ascii="Calibri" w:hAnsi="Calibri" w:cs="Arial"/>
          <w:u w:val="single"/>
          <w:lang w:val="nb-NO"/>
        </w:rPr>
        <w:lastRenderedPageBreak/>
        <w:t>Danish</w:t>
      </w:r>
      <w:r>
        <w:rPr>
          <w:rFonts w:ascii="Calibri" w:hAnsi="Calibri" w:cs="Arial"/>
          <w:u w:val="single"/>
          <w:lang w:val="nb-NO"/>
        </w:rPr>
        <w:t xml:space="preserve"> </w:t>
      </w:r>
      <w:r w:rsidRPr="00D04AB5">
        <w:rPr>
          <w:rFonts w:ascii="Calibri" w:hAnsi="Calibri" w:cs="Arial"/>
          <w:u w:val="single"/>
          <w:lang w:val="nb-NO"/>
        </w:rPr>
        <w:t xml:space="preserve">/ </w:t>
      </w:r>
      <w:r w:rsidRPr="00276A41">
        <w:rPr>
          <w:rFonts w:ascii="Calibri" w:hAnsi="Calibri" w:cs="Arial"/>
          <w:u w:val="single"/>
          <w:lang w:val="nb-NO"/>
        </w:rPr>
        <w:t>Dansk</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276A41" w:rsidRPr="00D04AB5" w14:paraId="377F5404" w14:textId="77777777" w:rsidTr="002A6B53">
        <w:trPr>
          <w:trHeight w:val="510"/>
        </w:trPr>
        <w:tc>
          <w:tcPr>
            <w:tcW w:w="1098" w:type="dxa"/>
            <w:shd w:val="clear" w:color="auto" w:fill="17365D" w:themeFill="text2" w:themeFillShade="BF"/>
            <w:vAlign w:val="center"/>
          </w:tcPr>
          <w:p w14:paraId="54D8F201" w14:textId="77777777" w:rsidR="00276A41" w:rsidRPr="00D04AB5" w:rsidRDefault="00276A41"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5611A3A8" wp14:editId="7DC04A9B">
                  <wp:extent cx="522514" cy="563518"/>
                  <wp:effectExtent l="0" t="0" r="0" b="825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21C902DB" w14:textId="74C80AEB" w:rsidR="00276A41" w:rsidRPr="00D04AB5" w:rsidRDefault="00276A41" w:rsidP="00276A41">
            <w:pPr>
              <w:pStyle w:val="Listenabsatz"/>
              <w:numPr>
                <w:ilvl w:val="0"/>
                <w:numId w:val="36"/>
              </w:numPr>
              <w:rPr>
                <w:rFonts w:ascii="Calibri" w:hAnsi="Calibri" w:cs="Arial"/>
                <w:b/>
                <w:color w:val="FFFFFF" w:themeColor="background1"/>
                <w:sz w:val="24"/>
                <w:szCs w:val="24"/>
                <w:lang w:val="nb-NO"/>
              </w:rPr>
            </w:pPr>
            <w:r w:rsidRPr="00276A41">
              <w:rPr>
                <w:rFonts w:ascii="Calibri" w:hAnsi="Calibri" w:cs="Arial"/>
                <w:b/>
                <w:color w:val="FFFFFF" w:themeColor="background1"/>
                <w:sz w:val="24"/>
                <w:szCs w:val="24"/>
                <w:lang w:val="nb-NO"/>
              </w:rPr>
              <w:t>Sammenfatning</w:t>
            </w:r>
          </w:p>
        </w:tc>
      </w:tr>
      <w:tr w:rsidR="00276A41" w:rsidRPr="009A6567" w14:paraId="00AFA283" w14:textId="77777777" w:rsidTr="002A6B53">
        <w:trPr>
          <w:trHeight w:val="6592"/>
        </w:trPr>
        <w:tc>
          <w:tcPr>
            <w:tcW w:w="9060" w:type="dxa"/>
            <w:gridSpan w:val="2"/>
          </w:tcPr>
          <w:p w14:paraId="0D84F3DA" w14:textId="770385E0" w:rsidR="00276A41" w:rsidRPr="00276A41" w:rsidRDefault="00276A41" w:rsidP="00276A41">
            <w:pPr>
              <w:jc w:val="both"/>
              <w:rPr>
                <w:rFonts w:ascii="Calibri" w:hAnsi="Calibri" w:cs="Arial"/>
                <w:lang w:val="da-DK"/>
              </w:rPr>
            </w:pPr>
            <w:r w:rsidRPr="00276A41">
              <w:rPr>
                <w:rFonts w:ascii="Calibri" w:hAnsi="Calibri" w:cs="Arial"/>
                <w:lang w:val="da-DK"/>
              </w:rPr>
              <w:t>BRIGHT CAPITAL European Credit Fund III, SCSp (»</w:t>
            </w:r>
            <w:r w:rsidRPr="00276A41">
              <w:rPr>
                <w:rFonts w:ascii="Calibri" w:hAnsi="Calibri" w:cs="Arial"/>
                <w:b/>
                <w:bCs/>
                <w:lang w:val="da-DK"/>
              </w:rPr>
              <w:t>Partnerskabet</w:t>
            </w:r>
            <w:r w:rsidRPr="00276A41">
              <w:rPr>
                <w:rFonts w:ascii="Calibri" w:hAnsi="Calibri" w:cs="Arial"/>
                <w:lang w:val="da-DK"/>
              </w:rPr>
              <w:t>«) investerer i gældsinstrumenter (med eller uden en aktiekomponent og med eller uden sikkerhedsstillelse) i porteføljeselskaber og fremmer kulstofreduktion som miljømæssige egenskaber, og de sociale egenskaber, der fremmes af det finansielle produkt, er sundhed og sikkerhed på arbejdspladsen, inklusion og kønsbalance i bestyrelsen (tilsammen »</w:t>
            </w:r>
            <w:r w:rsidRPr="00276A41">
              <w:rPr>
                <w:rFonts w:ascii="Calibri" w:hAnsi="Calibri" w:cs="Arial"/>
                <w:b/>
                <w:bCs/>
                <w:lang w:val="da-DK"/>
              </w:rPr>
              <w:t>E/S-egenskaber</w:t>
            </w:r>
            <w:r w:rsidRPr="00276A41">
              <w:rPr>
                <w:rFonts w:ascii="Calibri" w:hAnsi="Calibri" w:cs="Arial"/>
                <w:lang w:val="da-DK"/>
              </w:rPr>
              <w:t>«).</w:t>
            </w:r>
          </w:p>
          <w:p w14:paraId="5D33D756" w14:textId="77777777" w:rsidR="00276A41" w:rsidRPr="00276A41" w:rsidRDefault="00276A41" w:rsidP="00276A41">
            <w:pPr>
              <w:jc w:val="both"/>
              <w:rPr>
                <w:rFonts w:ascii="Calibri" w:hAnsi="Calibri" w:cs="Arial"/>
                <w:lang w:val="da-DK"/>
              </w:rPr>
            </w:pPr>
          </w:p>
          <w:p w14:paraId="408BA6B8" w14:textId="28D8ECEA" w:rsidR="00276A41" w:rsidRPr="00276A41" w:rsidRDefault="00276A41" w:rsidP="00276A41">
            <w:pPr>
              <w:jc w:val="both"/>
              <w:rPr>
                <w:rFonts w:ascii="Calibri" w:hAnsi="Calibri" w:cs="Arial"/>
                <w:lang w:val="da-DK"/>
              </w:rPr>
            </w:pPr>
            <w:r w:rsidRPr="00276A41">
              <w:rPr>
                <w:rFonts w:ascii="Calibri" w:hAnsi="Calibri" w:cs="Arial"/>
                <w:lang w:val="da-DK"/>
              </w:rPr>
              <w:t>Partnerskabets investeringsstrategi har ikke bæredygtig investering i henhold til (EU) forordning 2019/2088 (»</w:t>
            </w:r>
            <w:r w:rsidRPr="00276A41">
              <w:rPr>
                <w:rFonts w:ascii="Calibri" w:hAnsi="Calibri" w:cs="Arial"/>
                <w:b/>
                <w:bCs/>
                <w:lang w:val="da-DK"/>
              </w:rPr>
              <w:t>SFDR</w:t>
            </w:r>
            <w:r w:rsidRPr="00276A41">
              <w:rPr>
                <w:rFonts w:ascii="Calibri" w:hAnsi="Calibri" w:cs="Arial"/>
                <w:lang w:val="da-DK"/>
              </w:rPr>
              <w:t>«) som sit mål.</w:t>
            </w:r>
          </w:p>
          <w:p w14:paraId="25058B5A" w14:textId="77777777" w:rsidR="00276A41" w:rsidRPr="00276A41" w:rsidRDefault="00276A41" w:rsidP="00276A41">
            <w:pPr>
              <w:jc w:val="both"/>
              <w:rPr>
                <w:rFonts w:ascii="Calibri" w:hAnsi="Calibri" w:cs="Arial"/>
                <w:lang w:val="da-DK"/>
              </w:rPr>
            </w:pPr>
          </w:p>
          <w:p w14:paraId="4887C758" w14:textId="77777777" w:rsidR="00276A41" w:rsidRPr="00276A41" w:rsidRDefault="00276A41" w:rsidP="00276A41">
            <w:pPr>
              <w:jc w:val="both"/>
              <w:rPr>
                <w:rFonts w:ascii="Calibri" w:hAnsi="Calibri" w:cs="Arial"/>
                <w:lang w:val="da-DK"/>
              </w:rPr>
            </w:pPr>
            <w:r w:rsidRPr="00276A41">
              <w:rPr>
                <w:rFonts w:ascii="Calibri" w:hAnsi="Calibri" w:cs="Arial"/>
                <w:lang w:val="da-DK"/>
              </w:rPr>
              <w:t>Partnerskabets ramme for integration af ESG-spørgsmål under investeringsprocessen er hovedsageligt bygget op omkring tre søjler: ESG Due Diligence, løbende porteføljeovervågning og interessentengagement:</w:t>
            </w:r>
          </w:p>
          <w:p w14:paraId="1BF76764" w14:textId="0002DD3D" w:rsidR="00276A41" w:rsidRPr="00276A41" w:rsidRDefault="00276A41" w:rsidP="00276A41">
            <w:pPr>
              <w:pStyle w:val="Listenabsatz"/>
              <w:numPr>
                <w:ilvl w:val="0"/>
                <w:numId w:val="34"/>
              </w:numPr>
              <w:jc w:val="both"/>
              <w:rPr>
                <w:rFonts w:ascii="Calibri" w:hAnsi="Calibri" w:cs="Arial"/>
                <w:lang w:val="da-DK"/>
              </w:rPr>
            </w:pPr>
            <w:r w:rsidRPr="00276A41">
              <w:rPr>
                <w:rFonts w:ascii="Calibri" w:hAnsi="Calibri" w:cs="Arial"/>
                <w:lang w:val="da-DK"/>
              </w:rPr>
              <w:t>ESG-due diligence: ESG-faktorer integreres i investeringsprocessen helt fra begyndelsen. Det omfatter negativ screening (udelukkelseskriterier) og et omfattende ESG-spørgeskema, der dækker miljømæssige, sociale og ledelsesmæssige risici. Eksklusionskriterierne omfatter våben og ammunition, børnearbejde, pornografi eller salg af alkoholiske drikkevarer, tobak, cannabis og radioaktive materialer, spil eller ulovlig software, energiproduktion baseret på fossile brændstoffer og energiintensive industrier og/eller industrier med høj CO2-udledning. ESG-resultaterne sammenfattes i investeringsmemoranda, som påvirker investeringsbeslutningerne og danner grundlag for den løbende overvågning.</w:t>
            </w:r>
          </w:p>
          <w:p w14:paraId="7D463ACB" w14:textId="33EAED6E" w:rsidR="00276A41" w:rsidRPr="00276A41" w:rsidRDefault="00276A41" w:rsidP="00276A41">
            <w:pPr>
              <w:pStyle w:val="Listenabsatz"/>
              <w:numPr>
                <w:ilvl w:val="0"/>
                <w:numId w:val="34"/>
              </w:numPr>
              <w:jc w:val="both"/>
              <w:rPr>
                <w:rFonts w:ascii="Calibri" w:hAnsi="Calibri" w:cs="Arial"/>
                <w:lang w:val="da-DK"/>
              </w:rPr>
            </w:pPr>
            <w:r w:rsidRPr="00276A41">
              <w:rPr>
                <w:rFonts w:ascii="Calibri" w:hAnsi="Calibri" w:cs="Arial"/>
                <w:lang w:val="da-DK"/>
              </w:rPr>
              <w:t>Løbende overvågning af porteføljen: ESG-risici og -muligheder overvåges løbende på tværs af porteføljen med regelmæssige opdateringer fra låntagerne om ESG-præstationer. Partnerskabet integrerer også ad hoc-rapporteringskrav for væsentlige negative indvirkninger, hvilket muliggør hurtig reaktion på nye risici.</w:t>
            </w:r>
          </w:p>
          <w:p w14:paraId="0A4A8B4A" w14:textId="56A368ED" w:rsidR="00276A41" w:rsidRPr="00276A41" w:rsidRDefault="00276A41" w:rsidP="00276A41">
            <w:pPr>
              <w:pStyle w:val="Listenabsatz"/>
              <w:numPr>
                <w:ilvl w:val="0"/>
                <w:numId w:val="34"/>
              </w:numPr>
              <w:jc w:val="both"/>
              <w:rPr>
                <w:rFonts w:ascii="Calibri" w:hAnsi="Calibri" w:cs="Arial"/>
                <w:lang w:val="da-DK"/>
              </w:rPr>
            </w:pPr>
            <w:r w:rsidRPr="00276A41">
              <w:rPr>
                <w:rFonts w:ascii="Calibri" w:hAnsi="Calibri" w:cs="Arial"/>
                <w:lang w:val="da-DK"/>
              </w:rPr>
              <w:t>Engagement og styring af interessenter: ESG-overvågning varetages af et team for bæredygtige investeringer og en dedikeret ESG-komité, som sikrer overensstemmelse med internationale standarder, såsom FN's principper for ansvarlige investeringer (PRI). Partnerskabet opfordrer porteføljevirksomheder til at indføre ESG-praksis, hvilket hjælper med at forbedre ESG-resultaterne over tid.</w:t>
            </w:r>
          </w:p>
          <w:p w14:paraId="3567F461" w14:textId="77777777" w:rsidR="00276A41" w:rsidRPr="00276A41" w:rsidRDefault="00276A41" w:rsidP="00276A41">
            <w:pPr>
              <w:jc w:val="both"/>
              <w:rPr>
                <w:rFonts w:ascii="Calibri" w:hAnsi="Calibri" w:cs="Arial"/>
                <w:lang w:val="da-DK"/>
              </w:rPr>
            </w:pPr>
          </w:p>
          <w:p w14:paraId="68CE4E00" w14:textId="77777777" w:rsidR="00276A41" w:rsidRPr="00276A41" w:rsidRDefault="00276A41" w:rsidP="00276A41">
            <w:pPr>
              <w:jc w:val="both"/>
              <w:rPr>
                <w:rFonts w:ascii="Calibri" w:hAnsi="Calibri" w:cs="Arial"/>
                <w:lang w:val="da-DK"/>
              </w:rPr>
            </w:pPr>
            <w:r w:rsidRPr="00276A41">
              <w:rPr>
                <w:rFonts w:ascii="Calibri" w:hAnsi="Calibri" w:cs="Arial"/>
                <w:lang w:val="da-DK"/>
              </w:rPr>
              <w:t>Denne ramme tilpasser partnerskabets investeringer til langsigtede mål for værdiskabelse, samtidig med at den proaktivt styrer miljømæssige, sociale og ledelsesmæssige risici.</w:t>
            </w:r>
          </w:p>
          <w:p w14:paraId="73B84EB0" w14:textId="77777777" w:rsidR="00276A41" w:rsidRPr="00276A41" w:rsidRDefault="00276A41" w:rsidP="00276A41">
            <w:pPr>
              <w:jc w:val="both"/>
              <w:rPr>
                <w:rFonts w:ascii="Calibri" w:hAnsi="Calibri" w:cs="Arial"/>
                <w:lang w:val="da-DK"/>
              </w:rPr>
            </w:pPr>
          </w:p>
        </w:tc>
      </w:tr>
    </w:tbl>
    <w:p w14:paraId="6CFA36B5" w14:textId="77777777" w:rsidR="00276A41" w:rsidRDefault="00276A41" w:rsidP="00276A41">
      <w:pPr>
        <w:rPr>
          <w:rFonts w:ascii="Calibri" w:hAnsi="Calibri" w:cs="Arial"/>
        </w:rPr>
      </w:pPr>
    </w:p>
    <w:p w14:paraId="504C1213" w14:textId="65064A48" w:rsidR="00276A41" w:rsidRDefault="00276A41">
      <w:pPr>
        <w:rPr>
          <w:rFonts w:ascii="Calibri" w:hAnsi="Calibri" w:cs="Arial"/>
        </w:rPr>
      </w:pPr>
      <w:r>
        <w:rPr>
          <w:rFonts w:ascii="Calibri" w:hAnsi="Calibri" w:cs="Arial"/>
        </w:rPr>
        <w:br w:type="page"/>
      </w:r>
    </w:p>
    <w:p w14:paraId="246D3834" w14:textId="76FE48E0" w:rsidR="00276A41" w:rsidRPr="00D04AB5" w:rsidRDefault="00276A41" w:rsidP="00276A41">
      <w:pPr>
        <w:jc w:val="center"/>
        <w:rPr>
          <w:rFonts w:ascii="Calibri" w:hAnsi="Calibri" w:cs="Arial"/>
          <w:u w:val="single"/>
          <w:lang w:val="nb-NO"/>
        </w:rPr>
      </w:pPr>
      <w:r>
        <w:rPr>
          <w:rFonts w:ascii="Calibri" w:hAnsi="Calibri" w:cs="Arial"/>
          <w:u w:val="single"/>
          <w:lang w:val="nb-NO"/>
        </w:rPr>
        <w:lastRenderedPageBreak/>
        <w:t>Dutch</w:t>
      </w:r>
      <w:r w:rsidRPr="00276A41">
        <w:rPr>
          <w:rFonts w:ascii="Calibri" w:hAnsi="Calibri" w:cs="Arial"/>
          <w:u w:val="single"/>
          <w:lang w:val="nb-NO"/>
        </w:rPr>
        <w:t xml:space="preserve"> </w:t>
      </w:r>
      <w:r w:rsidRPr="00D04AB5">
        <w:rPr>
          <w:rFonts w:ascii="Calibri" w:hAnsi="Calibri" w:cs="Arial"/>
          <w:u w:val="single"/>
          <w:lang w:val="nb-NO"/>
        </w:rPr>
        <w:t xml:space="preserve">/ </w:t>
      </w:r>
      <w:r w:rsidRPr="00276A41">
        <w:rPr>
          <w:rFonts w:ascii="Calibri" w:hAnsi="Calibri" w:cs="Arial"/>
          <w:u w:val="single"/>
          <w:lang w:val="nb-NO"/>
        </w:rPr>
        <w:t>Nederlands</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276A41" w:rsidRPr="00D04AB5" w14:paraId="3AFEAB58" w14:textId="77777777" w:rsidTr="002A6B53">
        <w:trPr>
          <w:trHeight w:val="510"/>
        </w:trPr>
        <w:tc>
          <w:tcPr>
            <w:tcW w:w="1098" w:type="dxa"/>
            <w:shd w:val="clear" w:color="auto" w:fill="17365D" w:themeFill="text2" w:themeFillShade="BF"/>
            <w:vAlign w:val="center"/>
          </w:tcPr>
          <w:p w14:paraId="0D11E91A" w14:textId="77777777" w:rsidR="00276A41" w:rsidRPr="00D04AB5" w:rsidRDefault="00276A41"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44A8731C" wp14:editId="0D54C826">
                  <wp:extent cx="522514" cy="563518"/>
                  <wp:effectExtent l="0" t="0" r="0" b="825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328457E" w14:textId="53E95904" w:rsidR="00276A41" w:rsidRPr="00276A41" w:rsidRDefault="00064FDF" w:rsidP="00276A41">
            <w:pPr>
              <w:pStyle w:val="Listenabsatz"/>
              <w:numPr>
                <w:ilvl w:val="0"/>
                <w:numId w:val="37"/>
              </w:numPr>
              <w:rPr>
                <w:rFonts w:ascii="Calibri" w:hAnsi="Calibri" w:cs="Arial"/>
                <w:b/>
                <w:color w:val="FFFFFF" w:themeColor="background1"/>
                <w:sz w:val="24"/>
                <w:szCs w:val="24"/>
                <w:lang w:val="nb-NO"/>
              </w:rPr>
            </w:pPr>
            <w:r w:rsidRPr="00064FDF">
              <w:rPr>
                <w:rFonts w:ascii="Calibri" w:hAnsi="Calibri" w:cs="Arial"/>
                <w:b/>
                <w:color w:val="FFFFFF" w:themeColor="background1"/>
                <w:sz w:val="24"/>
                <w:szCs w:val="24"/>
                <w:lang w:val="nb-NO"/>
              </w:rPr>
              <w:t>Samenvatting</w:t>
            </w:r>
          </w:p>
        </w:tc>
      </w:tr>
      <w:tr w:rsidR="00276A41" w:rsidRPr="009A6567" w14:paraId="3462A8FA" w14:textId="77777777" w:rsidTr="002A6B53">
        <w:trPr>
          <w:trHeight w:val="6592"/>
        </w:trPr>
        <w:tc>
          <w:tcPr>
            <w:tcW w:w="9060" w:type="dxa"/>
            <w:gridSpan w:val="2"/>
          </w:tcPr>
          <w:p w14:paraId="35B78A2E" w14:textId="1A5D95E2" w:rsidR="00064FDF" w:rsidRPr="00064FDF" w:rsidRDefault="00276A41" w:rsidP="00064FDF">
            <w:pPr>
              <w:jc w:val="both"/>
              <w:rPr>
                <w:rFonts w:ascii="Calibri" w:hAnsi="Calibri" w:cs="Arial"/>
                <w:lang w:val="nl-NL"/>
              </w:rPr>
            </w:pPr>
            <w:r w:rsidRPr="00064FDF">
              <w:rPr>
                <w:rFonts w:ascii="Calibri" w:hAnsi="Calibri" w:cs="Arial"/>
                <w:lang w:val="nl-NL"/>
              </w:rPr>
              <w:t xml:space="preserve">BRIGHT CAPITAL European Credit Fund III, SCSp </w:t>
            </w:r>
            <w:r w:rsidR="00064FDF" w:rsidRPr="00064FDF">
              <w:rPr>
                <w:rFonts w:ascii="Calibri" w:hAnsi="Calibri" w:cs="Arial"/>
                <w:lang w:val="nl-NL"/>
              </w:rPr>
              <w:t>(de '</w:t>
            </w:r>
            <w:r w:rsidR="00064FDF" w:rsidRPr="00064FDF">
              <w:rPr>
                <w:rFonts w:ascii="Calibri" w:hAnsi="Calibri" w:cs="Arial"/>
                <w:b/>
                <w:bCs/>
                <w:lang w:val="nl-NL"/>
              </w:rPr>
              <w:t>Maatschap</w:t>
            </w:r>
            <w:r w:rsidR="00064FDF" w:rsidRPr="00064FDF">
              <w:rPr>
                <w:rFonts w:ascii="Calibri" w:hAnsi="Calibri" w:cs="Arial"/>
                <w:lang w:val="nl-NL"/>
              </w:rPr>
              <w:t>') investeert in schuldinstrumenten (met of zonder aandelencomponent en met of zonder onderpand) van portefeuillebedrijven en bevordert koolstofreductie als milieukenmerken en de sociale kenmerken die door het financiële product worden bevorderd zijn gezondheid en veiligheid op het werk, inclusie en genderevenwicht in de raad van bestuur (samen '</w:t>
            </w:r>
            <w:r w:rsidR="00064FDF" w:rsidRPr="00064FDF">
              <w:rPr>
                <w:rFonts w:ascii="Calibri" w:hAnsi="Calibri" w:cs="Arial"/>
                <w:b/>
                <w:bCs/>
                <w:lang w:val="nl-NL"/>
              </w:rPr>
              <w:t>E/S-kenmerken</w:t>
            </w:r>
            <w:r w:rsidR="00064FDF" w:rsidRPr="00064FDF">
              <w:rPr>
                <w:rFonts w:ascii="Calibri" w:hAnsi="Calibri" w:cs="Arial"/>
                <w:lang w:val="nl-NL"/>
              </w:rPr>
              <w:t>').</w:t>
            </w:r>
          </w:p>
          <w:p w14:paraId="134BC756" w14:textId="77777777" w:rsidR="00064FDF" w:rsidRPr="00064FDF" w:rsidRDefault="00064FDF" w:rsidP="00064FDF">
            <w:pPr>
              <w:jc w:val="both"/>
              <w:rPr>
                <w:rFonts w:ascii="Calibri" w:hAnsi="Calibri" w:cs="Arial"/>
                <w:lang w:val="nl-NL"/>
              </w:rPr>
            </w:pPr>
          </w:p>
          <w:p w14:paraId="5D3CC846" w14:textId="5D2AE59D" w:rsidR="00064FDF" w:rsidRPr="00064FDF" w:rsidRDefault="00064FDF" w:rsidP="00064FDF">
            <w:pPr>
              <w:jc w:val="both"/>
              <w:rPr>
                <w:rFonts w:ascii="Calibri" w:hAnsi="Calibri" w:cs="Arial"/>
                <w:lang w:val="nl-NL"/>
              </w:rPr>
            </w:pPr>
            <w:r w:rsidRPr="00064FDF">
              <w:rPr>
                <w:rFonts w:ascii="Calibri" w:hAnsi="Calibri" w:cs="Arial"/>
                <w:lang w:val="nl-NL"/>
              </w:rPr>
              <w:t>De beleggingsstrategie van het Partnerschap heeft duurzaam beleggen in de zin van (EU) Verordening 2019/2088 ('</w:t>
            </w:r>
            <w:r w:rsidRPr="00064FDF">
              <w:rPr>
                <w:rFonts w:ascii="Calibri" w:hAnsi="Calibri" w:cs="Arial"/>
                <w:b/>
                <w:bCs/>
                <w:lang w:val="nl-NL"/>
              </w:rPr>
              <w:t>SFDR</w:t>
            </w:r>
            <w:r w:rsidRPr="00064FDF">
              <w:rPr>
                <w:rFonts w:ascii="Calibri" w:hAnsi="Calibri" w:cs="Arial"/>
                <w:lang w:val="nl-NL"/>
              </w:rPr>
              <w:t>') niet als doelstelling.</w:t>
            </w:r>
          </w:p>
          <w:p w14:paraId="51B79ACA" w14:textId="77777777" w:rsidR="00064FDF" w:rsidRPr="00064FDF" w:rsidRDefault="00064FDF" w:rsidP="00064FDF">
            <w:pPr>
              <w:jc w:val="both"/>
              <w:rPr>
                <w:rFonts w:ascii="Calibri" w:hAnsi="Calibri" w:cs="Arial"/>
                <w:lang w:val="nl-NL"/>
              </w:rPr>
            </w:pPr>
          </w:p>
          <w:p w14:paraId="7FDBFCCB" w14:textId="77777777" w:rsidR="00064FDF" w:rsidRPr="00064FDF" w:rsidRDefault="00064FDF" w:rsidP="00064FDF">
            <w:pPr>
              <w:jc w:val="both"/>
              <w:rPr>
                <w:rFonts w:ascii="Calibri" w:hAnsi="Calibri" w:cs="Arial"/>
                <w:lang w:val="nl-NL"/>
              </w:rPr>
            </w:pPr>
            <w:r w:rsidRPr="00064FDF">
              <w:rPr>
                <w:rFonts w:ascii="Calibri" w:hAnsi="Calibri" w:cs="Arial"/>
                <w:lang w:val="nl-NL"/>
              </w:rPr>
              <w:t>Het kader van de Maatschap voor het integreren van ESG-kwesties tijdens het beleggingsproces is in essentie opgebouwd rond drie pijlers: ESG Due Diligence, voortdurende monitoring van de portefeuille en betrokkenheid van belanghebbenden:</w:t>
            </w:r>
          </w:p>
          <w:p w14:paraId="357DF002" w14:textId="3B92038B" w:rsidR="00064FDF" w:rsidRPr="00064FDF" w:rsidRDefault="00064FDF" w:rsidP="00064FDF">
            <w:pPr>
              <w:pStyle w:val="Listenabsatz"/>
              <w:numPr>
                <w:ilvl w:val="0"/>
                <w:numId w:val="34"/>
              </w:numPr>
              <w:jc w:val="both"/>
              <w:rPr>
                <w:rFonts w:ascii="Calibri" w:hAnsi="Calibri" w:cs="Arial"/>
                <w:lang w:val="nl-NL"/>
              </w:rPr>
            </w:pPr>
            <w:r w:rsidRPr="00064FDF">
              <w:rPr>
                <w:rFonts w:ascii="Calibri" w:hAnsi="Calibri" w:cs="Arial"/>
                <w:lang w:val="nl-NL"/>
              </w:rPr>
              <w:t>ESG Due Diligence: ESG-factoren worden vanaf het begin geïntegreerd in het beleggingsproces. Dit omvat een negatieve screening (uitsluitingscriteria) en een uitgebreide ESG-vragenlijst over risico's op het gebied van milieu, maatschappij en goed bestuur. Uitsluitingscriteria zijn onder andere wapens en munitie, kinderarbeid, pornografie of verkoop van alcoholische dranken, tabak, cannabis en radioactief materiaal, gokken of illegale software, energieproductie op basis van fossiele brandstoffen en energie-intensieve industrieën en/of industrieën met een hoge CO2-uitstoot. De ESG-resultaten worden samengevat in beleggingsmemoranda, die van invloed zijn op beleggingsbeslissingen en de basis vormen voor voortdurende controle.</w:t>
            </w:r>
          </w:p>
          <w:p w14:paraId="3B6D44BC" w14:textId="6B9EB693" w:rsidR="00064FDF" w:rsidRPr="00064FDF" w:rsidRDefault="00064FDF" w:rsidP="00064FDF">
            <w:pPr>
              <w:pStyle w:val="Listenabsatz"/>
              <w:numPr>
                <w:ilvl w:val="0"/>
                <w:numId w:val="34"/>
              </w:numPr>
              <w:jc w:val="both"/>
              <w:rPr>
                <w:rFonts w:ascii="Calibri" w:hAnsi="Calibri" w:cs="Arial"/>
                <w:lang w:val="nl-NL"/>
              </w:rPr>
            </w:pPr>
            <w:r w:rsidRPr="00064FDF">
              <w:rPr>
                <w:rFonts w:ascii="Calibri" w:hAnsi="Calibri" w:cs="Arial"/>
                <w:lang w:val="nl-NL"/>
              </w:rPr>
              <w:t>Voortdurende bewaking van de portefeuille: ESG-risico's en -kansen worden voortdurend gecontroleerd in de hele portefeuille, met regelmatige updates van leners over ESG-prestaties. Het partnerschap integreert ook ad-hoc rapportagevereisten voor materiële negatieve gevolgen, zodat er snel kan worden gereageerd op opkomende risico's.</w:t>
            </w:r>
          </w:p>
          <w:p w14:paraId="69F2A920" w14:textId="42CF0ADB" w:rsidR="00064FDF" w:rsidRPr="00064FDF" w:rsidRDefault="00064FDF" w:rsidP="00064FDF">
            <w:pPr>
              <w:pStyle w:val="Listenabsatz"/>
              <w:numPr>
                <w:ilvl w:val="0"/>
                <w:numId w:val="34"/>
              </w:numPr>
              <w:jc w:val="both"/>
              <w:rPr>
                <w:rFonts w:ascii="Calibri" w:hAnsi="Calibri" w:cs="Arial"/>
                <w:lang w:val="nl-NL"/>
              </w:rPr>
            </w:pPr>
            <w:r w:rsidRPr="00064FDF">
              <w:rPr>
                <w:rFonts w:ascii="Calibri" w:hAnsi="Calibri" w:cs="Arial"/>
                <w:lang w:val="nl-NL"/>
              </w:rPr>
              <w:t>Betrokkenheid bij belanghebbenden en bestuur: ESG-monitoring wordt uitgevoerd door een Sustainable Investment Team en een speciale ESG-commissie, die zorgt voor afstemming op internationale normen, zoals de Principles for Responsible Investment (PRI) van de VN. Het partnerschap moedigt portefeuillebedrijven aan om ESG-praktijken toe te passen, wat helpt om de ESG-prestaties in de loop van de tijd te verbeteren.</w:t>
            </w:r>
          </w:p>
          <w:p w14:paraId="7E83AEBC" w14:textId="77777777" w:rsidR="00064FDF" w:rsidRPr="00064FDF" w:rsidRDefault="00064FDF" w:rsidP="00064FDF">
            <w:pPr>
              <w:jc w:val="both"/>
              <w:rPr>
                <w:rFonts w:ascii="Calibri" w:hAnsi="Calibri" w:cs="Arial"/>
                <w:lang w:val="nl-NL"/>
              </w:rPr>
            </w:pPr>
          </w:p>
          <w:p w14:paraId="1D4F1FBF" w14:textId="77777777" w:rsidR="00064FDF" w:rsidRPr="00064FDF" w:rsidRDefault="00064FDF" w:rsidP="00064FDF">
            <w:pPr>
              <w:jc w:val="both"/>
              <w:rPr>
                <w:rFonts w:ascii="Calibri" w:hAnsi="Calibri" w:cs="Arial"/>
                <w:lang w:val="nl-NL"/>
              </w:rPr>
            </w:pPr>
            <w:r w:rsidRPr="00064FDF">
              <w:rPr>
                <w:rFonts w:ascii="Calibri" w:hAnsi="Calibri" w:cs="Arial"/>
                <w:lang w:val="nl-NL"/>
              </w:rPr>
              <w:t>Dit kader stemt de beleggingen van het partnerschap af op langetermijndoelstellingen voor waardecreatie, terwijl de risico's op het gebied van milieu, maatschappij en goed bestuur proactief worden beheerd.</w:t>
            </w:r>
          </w:p>
          <w:p w14:paraId="462C8121" w14:textId="7F7C0B05" w:rsidR="00276A41" w:rsidRPr="00064FDF" w:rsidRDefault="00276A41" w:rsidP="00064FDF">
            <w:pPr>
              <w:jc w:val="both"/>
              <w:rPr>
                <w:rFonts w:ascii="Calibri" w:hAnsi="Calibri" w:cs="Arial"/>
                <w:lang w:val="nl-NL"/>
              </w:rPr>
            </w:pPr>
          </w:p>
        </w:tc>
      </w:tr>
    </w:tbl>
    <w:p w14:paraId="47F95E6E" w14:textId="77777777" w:rsidR="00276A41" w:rsidRDefault="00276A41" w:rsidP="00276A41">
      <w:pPr>
        <w:rPr>
          <w:rFonts w:ascii="Calibri" w:hAnsi="Calibri" w:cs="Arial"/>
        </w:rPr>
      </w:pPr>
    </w:p>
    <w:p w14:paraId="3D5C992D" w14:textId="77777777" w:rsidR="002B78CC" w:rsidRDefault="002B78CC" w:rsidP="003D1990">
      <w:pPr>
        <w:rPr>
          <w:rFonts w:ascii="Calibri" w:hAnsi="Calibri" w:cs="Arial"/>
        </w:rPr>
      </w:pPr>
    </w:p>
    <w:p w14:paraId="6184913E" w14:textId="4FB93F1B" w:rsidR="00064FDF" w:rsidRDefault="00064FDF">
      <w:pPr>
        <w:rPr>
          <w:rFonts w:ascii="Calibri" w:hAnsi="Calibri" w:cs="Arial"/>
        </w:rPr>
      </w:pPr>
      <w:r>
        <w:rPr>
          <w:rFonts w:ascii="Calibri" w:hAnsi="Calibri" w:cs="Arial"/>
        </w:rPr>
        <w:br w:type="page"/>
      </w:r>
    </w:p>
    <w:p w14:paraId="4963ECBC" w14:textId="4AFB15AA" w:rsidR="00064FDF" w:rsidRPr="00D04AB5" w:rsidRDefault="00064FDF" w:rsidP="00064FDF">
      <w:pPr>
        <w:jc w:val="center"/>
        <w:rPr>
          <w:rFonts w:ascii="Calibri" w:hAnsi="Calibri" w:cs="Arial"/>
          <w:u w:val="single"/>
          <w:lang w:val="nb-NO"/>
        </w:rPr>
      </w:pPr>
      <w:r>
        <w:rPr>
          <w:rFonts w:ascii="Calibri" w:hAnsi="Calibri" w:cs="Arial"/>
          <w:u w:val="single"/>
          <w:lang w:val="nb-NO"/>
        </w:rPr>
        <w:lastRenderedPageBreak/>
        <w:t>French</w:t>
      </w:r>
      <w:r w:rsidRPr="00276A41">
        <w:rPr>
          <w:rFonts w:ascii="Calibri" w:hAnsi="Calibri" w:cs="Arial"/>
          <w:u w:val="single"/>
          <w:lang w:val="nb-NO"/>
        </w:rPr>
        <w:t xml:space="preserve"> </w:t>
      </w:r>
      <w:r w:rsidRPr="00D04AB5">
        <w:rPr>
          <w:rFonts w:ascii="Calibri" w:hAnsi="Calibri" w:cs="Arial"/>
          <w:u w:val="single"/>
          <w:lang w:val="nb-NO"/>
        </w:rPr>
        <w:t xml:space="preserve">/ </w:t>
      </w:r>
      <w:r w:rsidRPr="00064FDF">
        <w:rPr>
          <w:rFonts w:ascii="Calibri" w:hAnsi="Calibri" w:cs="Arial"/>
          <w:u w:val="single"/>
          <w:lang w:val="de-DE"/>
        </w:rPr>
        <w:t>Français</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064FDF" w:rsidRPr="00D04AB5" w14:paraId="5FE66E61" w14:textId="77777777" w:rsidTr="002A6B53">
        <w:trPr>
          <w:trHeight w:val="510"/>
        </w:trPr>
        <w:tc>
          <w:tcPr>
            <w:tcW w:w="1098" w:type="dxa"/>
            <w:shd w:val="clear" w:color="auto" w:fill="17365D" w:themeFill="text2" w:themeFillShade="BF"/>
            <w:vAlign w:val="center"/>
          </w:tcPr>
          <w:p w14:paraId="197DD5FF" w14:textId="77777777" w:rsidR="00064FDF" w:rsidRPr="00D04AB5" w:rsidRDefault="00064FDF"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2E105E01" wp14:editId="44F3126C">
                  <wp:extent cx="522514" cy="563518"/>
                  <wp:effectExtent l="0" t="0" r="0" b="825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B87481E" w14:textId="04924CE2" w:rsidR="00064FDF" w:rsidRPr="00064FDF" w:rsidRDefault="00064FDF" w:rsidP="00064FDF">
            <w:pPr>
              <w:pStyle w:val="Listenabsatz"/>
              <w:numPr>
                <w:ilvl w:val="0"/>
                <w:numId w:val="38"/>
              </w:numPr>
              <w:rPr>
                <w:rFonts w:ascii="Calibri" w:hAnsi="Calibri" w:cs="Arial"/>
                <w:b/>
                <w:color w:val="FFFFFF" w:themeColor="background1"/>
                <w:sz w:val="24"/>
                <w:szCs w:val="24"/>
                <w:lang w:val="nb-NO"/>
              </w:rPr>
            </w:pPr>
            <w:r w:rsidRPr="00064FDF">
              <w:rPr>
                <w:rFonts w:ascii="Calibri" w:hAnsi="Calibri" w:cs="Arial"/>
                <w:b/>
                <w:color w:val="FFFFFF" w:themeColor="background1"/>
                <w:sz w:val="24"/>
                <w:szCs w:val="24"/>
                <w:lang w:val="nb-NO"/>
              </w:rPr>
              <w:t>Résumé</w:t>
            </w:r>
          </w:p>
        </w:tc>
      </w:tr>
      <w:tr w:rsidR="00064FDF" w:rsidRPr="009A6567" w14:paraId="28D26380" w14:textId="77777777" w:rsidTr="002A6B53">
        <w:trPr>
          <w:trHeight w:val="6592"/>
        </w:trPr>
        <w:tc>
          <w:tcPr>
            <w:tcW w:w="9060" w:type="dxa"/>
            <w:gridSpan w:val="2"/>
          </w:tcPr>
          <w:p w14:paraId="40EBAD3A" w14:textId="60EBEDFD" w:rsidR="00064FDF" w:rsidRPr="00064FDF" w:rsidRDefault="00064FDF" w:rsidP="00064FDF">
            <w:pPr>
              <w:jc w:val="both"/>
              <w:rPr>
                <w:rFonts w:ascii="Calibri" w:hAnsi="Calibri" w:cs="Arial"/>
                <w:lang w:val="fr-FR"/>
              </w:rPr>
            </w:pPr>
            <w:r w:rsidRPr="00064FDF">
              <w:rPr>
                <w:rFonts w:ascii="Calibri" w:hAnsi="Calibri" w:cs="Arial"/>
                <w:lang w:val="fr-FR"/>
              </w:rPr>
              <w:t xml:space="preserve">BRIGHT CAPITAL European Credit Fund III, SCSp </w:t>
            </w:r>
            <w:r w:rsidRPr="00064FDF">
              <w:rPr>
                <w:rFonts w:ascii="Calibri" w:hAnsi="Calibri" w:cs="Arial"/>
                <w:lang w:val="fr-FR"/>
              </w:rPr>
              <w:t xml:space="preserve">(le « </w:t>
            </w:r>
            <w:r w:rsidRPr="00064FDF">
              <w:rPr>
                <w:rFonts w:ascii="Calibri" w:hAnsi="Calibri" w:cs="Arial"/>
                <w:b/>
                <w:bCs/>
                <w:lang w:val="fr-FR"/>
              </w:rPr>
              <w:t>Partenariat</w:t>
            </w:r>
            <w:r w:rsidRPr="00064FDF">
              <w:rPr>
                <w:rFonts w:ascii="Calibri" w:hAnsi="Calibri" w:cs="Arial"/>
                <w:lang w:val="fr-FR"/>
              </w:rPr>
              <w:t xml:space="preserve"> ») investit dans des titres de créance (avec ou sans composante en actions et avec ou sans garantie) de sociétés du portefeuille et promeut la réduction du carbone en tant que caractéristiques environnementales et les caractéristiques sociales promues par le produit financier sont la santé et la sécurité au travail, l'inclusion et l'équilibre entre les sexes au sein du conseil d'administration (ensemble, les « </w:t>
            </w:r>
            <w:r w:rsidRPr="00064FDF">
              <w:rPr>
                <w:rFonts w:ascii="Calibri" w:hAnsi="Calibri" w:cs="Arial"/>
                <w:b/>
                <w:bCs/>
                <w:lang w:val="fr-FR"/>
              </w:rPr>
              <w:t>caractéristiques E/S</w:t>
            </w:r>
            <w:r w:rsidRPr="00064FDF">
              <w:rPr>
                <w:rFonts w:ascii="Calibri" w:hAnsi="Calibri" w:cs="Arial"/>
                <w:lang w:val="fr-FR"/>
              </w:rPr>
              <w:t xml:space="preserve"> »).</w:t>
            </w:r>
          </w:p>
          <w:p w14:paraId="5615E896" w14:textId="77777777" w:rsidR="00064FDF" w:rsidRPr="00064FDF" w:rsidRDefault="00064FDF" w:rsidP="00064FDF">
            <w:pPr>
              <w:jc w:val="both"/>
              <w:rPr>
                <w:rFonts w:ascii="Calibri" w:hAnsi="Calibri" w:cs="Arial"/>
                <w:lang w:val="fr-FR"/>
              </w:rPr>
            </w:pPr>
          </w:p>
          <w:p w14:paraId="2C615FF1" w14:textId="2188AEFE" w:rsidR="00064FDF" w:rsidRPr="00064FDF" w:rsidRDefault="00064FDF" w:rsidP="00064FDF">
            <w:pPr>
              <w:jc w:val="both"/>
              <w:rPr>
                <w:rFonts w:ascii="Calibri" w:hAnsi="Calibri" w:cs="Arial"/>
                <w:lang w:val="fr-FR"/>
              </w:rPr>
            </w:pPr>
            <w:r w:rsidRPr="00064FDF">
              <w:rPr>
                <w:rFonts w:ascii="Calibri" w:hAnsi="Calibri" w:cs="Arial"/>
                <w:lang w:val="fr-FR"/>
              </w:rPr>
              <w:t xml:space="preserve">La stratégie d'investissement du Partenariat n'a pas pour objectif l'investissement durable au sens du règlement (UE) 2019/2088 (« </w:t>
            </w:r>
            <w:r w:rsidRPr="00064FDF">
              <w:rPr>
                <w:rFonts w:ascii="Calibri" w:hAnsi="Calibri" w:cs="Arial"/>
                <w:b/>
                <w:bCs/>
                <w:lang w:val="fr-FR"/>
              </w:rPr>
              <w:t>SFDR</w:t>
            </w:r>
            <w:r w:rsidRPr="00064FDF">
              <w:rPr>
                <w:rFonts w:ascii="Calibri" w:hAnsi="Calibri" w:cs="Arial"/>
                <w:lang w:val="fr-FR"/>
              </w:rPr>
              <w:t xml:space="preserve"> »).</w:t>
            </w:r>
          </w:p>
          <w:p w14:paraId="13ADFA5A" w14:textId="77777777" w:rsidR="00064FDF" w:rsidRPr="00064FDF" w:rsidRDefault="00064FDF" w:rsidP="00064FDF">
            <w:pPr>
              <w:jc w:val="both"/>
              <w:rPr>
                <w:rFonts w:ascii="Calibri" w:hAnsi="Calibri" w:cs="Arial"/>
                <w:lang w:val="fr-FR"/>
              </w:rPr>
            </w:pPr>
          </w:p>
          <w:p w14:paraId="2EAA5A2C" w14:textId="77777777" w:rsidR="00064FDF" w:rsidRPr="00064FDF" w:rsidRDefault="00064FDF" w:rsidP="00064FDF">
            <w:pPr>
              <w:jc w:val="both"/>
              <w:rPr>
                <w:rFonts w:ascii="Calibri" w:hAnsi="Calibri" w:cs="Arial"/>
                <w:lang w:val="fr-FR"/>
              </w:rPr>
            </w:pPr>
            <w:r w:rsidRPr="00064FDF">
              <w:rPr>
                <w:rFonts w:ascii="Calibri" w:hAnsi="Calibri" w:cs="Arial"/>
                <w:lang w:val="fr-FR"/>
              </w:rPr>
              <w:t>Le cadre du Partenariat pour l'intégration des questions ESG au cours du processus d'investissement s'articule essentiellement autour de trois piliers : La diligence raisonnable ESG, la surveillance continue du portefeuille et l'engagement des parties prenantes :</w:t>
            </w:r>
          </w:p>
          <w:p w14:paraId="5852179C" w14:textId="0C226D62" w:rsidR="00064FDF" w:rsidRPr="00064FDF" w:rsidRDefault="00064FDF" w:rsidP="00064FDF">
            <w:pPr>
              <w:pStyle w:val="Listenabsatz"/>
              <w:numPr>
                <w:ilvl w:val="0"/>
                <w:numId w:val="34"/>
              </w:numPr>
              <w:jc w:val="both"/>
              <w:rPr>
                <w:rFonts w:ascii="Calibri" w:hAnsi="Calibri" w:cs="Arial"/>
                <w:lang w:val="fr-FR"/>
              </w:rPr>
            </w:pPr>
            <w:r w:rsidRPr="00064FDF">
              <w:rPr>
                <w:rFonts w:ascii="Calibri" w:hAnsi="Calibri" w:cs="Arial"/>
                <w:lang w:val="fr-FR"/>
              </w:rPr>
              <w:t>Diligence raisonnable en matière d'ESG : Les facteurs ESG sont intégrés dans le processus d'investissement dès le début. Cela comprend une sélection négative (critères d'exclusion) et un questionnaire ESG complet couvrant les risques environnementaux, sociaux et de gouvernance. Les critères d'exclusion comprennent les armes et les munitions, le travail des enfants, la pornographie ou la vente de boissons alcoolisées, le tabac, le cannabis et les matières radioactives, les jeux d'argent ou les logiciels illégaux, la production d'énergie basée sur les combustibles fossiles et les industries à forte intensité énergétique et/ou les industries à fortes émissions de CO2. Les résultats ESG sont résumés dans des mémorandums d'investissement, qui influencent les décisions d'investissement et constituent la base d'un suivi continu.</w:t>
            </w:r>
          </w:p>
          <w:p w14:paraId="60609C67" w14:textId="1FCB1149" w:rsidR="00064FDF" w:rsidRPr="00064FDF" w:rsidRDefault="00064FDF" w:rsidP="00064FDF">
            <w:pPr>
              <w:pStyle w:val="Listenabsatz"/>
              <w:numPr>
                <w:ilvl w:val="0"/>
                <w:numId w:val="34"/>
              </w:numPr>
              <w:jc w:val="both"/>
              <w:rPr>
                <w:rFonts w:ascii="Calibri" w:hAnsi="Calibri" w:cs="Arial"/>
                <w:lang w:val="fr-FR"/>
              </w:rPr>
            </w:pPr>
            <w:r w:rsidRPr="00064FDF">
              <w:rPr>
                <w:rFonts w:ascii="Calibri" w:hAnsi="Calibri" w:cs="Arial"/>
                <w:lang w:val="fr-FR"/>
              </w:rPr>
              <w:t xml:space="preserve">Suivi continu du portefeuille : Les risques et les opportunités ESG font l'objet d'un suivi continu dans l'ensemble du portefeuille, avec des mises à jour régulières de la part des emprunteurs sur les performances ESG. Le partenariat intègre également des exigences de </w:t>
            </w:r>
            <w:proofErr w:type="spellStart"/>
            <w:r w:rsidRPr="00064FDF">
              <w:rPr>
                <w:rFonts w:ascii="Calibri" w:hAnsi="Calibri" w:cs="Arial"/>
                <w:lang w:val="fr-FR"/>
              </w:rPr>
              <w:t>reporting</w:t>
            </w:r>
            <w:proofErr w:type="spellEnd"/>
            <w:r w:rsidRPr="00064FDF">
              <w:rPr>
                <w:rFonts w:ascii="Calibri" w:hAnsi="Calibri" w:cs="Arial"/>
                <w:lang w:val="fr-FR"/>
              </w:rPr>
              <w:t xml:space="preserve"> ad hoc pour les impacts négatifs importants, ce qui permet de réagir rapidement aux risques émergents.</w:t>
            </w:r>
          </w:p>
          <w:p w14:paraId="755D085C" w14:textId="4C62D856" w:rsidR="00064FDF" w:rsidRPr="00064FDF" w:rsidRDefault="00064FDF" w:rsidP="00064FDF">
            <w:pPr>
              <w:pStyle w:val="Listenabsatz"/>
              <w:numPr>
                <w:ilvl w:val="0"/>
                <w:numId w:val="34"/>
              </w:numPr>
              <w:jc w:val="both"/>
              <w:rPr>
                <w:rFonts w:ascii="Calibri" w:hAnsi="Calibri" w:cs="Arial"/>
                <w:lang w:val="fr-FR"/>
              </w:rPr>
            </w:pPr>
            <w:r w:rsidRPr="00064FDF">
              <w:rPr>
                <w:rFonts w:ascii="Calibri" w:hAnsi="Calibri" w:cs="Arial"/>
                <w:lang w:val="fr-FR"/>
              </w:rPr>
              <w:t>Engagement des parties prenantes et gouvernance : Le suivi ESG est assuré par une équipe d'investissement durable et un comité ESG dédié, qui veille à l'alignement sur les normes internationales, telles que les Principes pour l'investissement responsable (PRI) des Nations unies. Le partenariat encourage les entreprises du portefeuille à adopter des pratiques ESG, ce qui contribue à améliorer les performances ESG au fil du temps.</w:t>
            </w:r>
          </w:p>
          <w:p w14:paraId="4343B3C0" w14:textId="77777777" w:rsidR="00064FDF" w:rsidRPr="00064FDF" w:rsidRDefault="00064FDF" w:rsidP="00064FDF">
            <w:pPr>
              <w:jc w:val="both"/>
              <w:rPr>
                <w:rFonts w:ascii="Calibri" w:hAnsi="Calibri" w:cs="Arial"/>
                <w:lang w:val="fr-FR"/>
              </w:rPr>
            </w:pPr>
          </w:p>
          <w:p w14:paraId="0D16B5AC" w14:textId="77777777" w:rsidR="00064FDF" w:rsidRPr="00064FDF" w:rsidRDefault="00064FDF" w:rsidP="00064FDF">
            <w:pPr>
              <w:jc w:val="both"/>
              <w:rPr>
                <w:rFonts w:ascii="Calibri" w:hAnsi="Calibri" w:cs="Arial"/>
                <w:lang w:val="fr-FR"/>
              </w:rPr>
            </w:pPr>
            <w:r w:rsidRPr="00064FDF">
              <w:rPr>
                <w:rFonts w:ascii="Calibri" w:hAnsi="Calibri" w:cs="Arial"/>
                <w:lang w:val="fr-FR"/>
              </w:rPr>
              <w:t>Ce cadre permet d'aligner les investissements du partenariat sur les objectifs de création de valeur à long terme, tout en gérant de manière proactive les risques environnementaux, sociaux et de gouvernance.</w:t>
            </w:r>
          </w:p>
          <w:p w14:paraId="49179595" w14:textId="77777777" w:rsidR="00064FDF" w:rsidRPr="00064FDF" w:rsidRDefault="00064FDF" w:rsidP="00064FDF">
            <w:pPr>
              <w:jc w:val="both"/>
              <w:rPr>
                <w:rFonts w:ascii="Calibri" w:hAnsi="Calibri" w:cs="Arial"/>
                <w:lang w:val="fr-FR"/>
              </w:rPr>
            </w:pPr>
          </w:p>
        </w:tc>
      </w:tr>
    </w:tbl>
    <w:p w14:paraId="2A3FEE55" w14:textId="42407284" w:rsidR="00064FDF" w:rsidRDefault="00064FDF" w:rsidP="00064FDF">
      <w:pPr>
        <w:rPr>
          <w:rFonts w:ascii="Calibri" w:hAnsi="Calibri" w:cs="Arial"/>
        </w:rPr>
      </w:pPr>
    </w:p>
    <w:p w14:paraId="3D760B31" w14:textId="77777777" w:rsidR="00064FDF" w:rsidRDefault="00064FDF">
      <w:pPr>
        <w:rPr>
          <w:rFonts w:ascii="Calibri" w:hAnsi="Calibri" w:cs="Arial"/>
        </w:rPr>
      </w:pPr>
      <w:r>
        <w:rPr>
          <w:rFonts w:ascii="Calibri" w:hAnsi="Calibri" w:cs="Arial"/>
        </w:rPr>
        <w:br w:type="page"/>
      </w:r>
    </w:p>
    <w:p w14:paraId="08D99AA5" w14:textId="36A3B346" w:rsidR="00064FDF" w:rsidRPr="00D04AB5" w:rsidRDefault="00064FDF" w:rsidP="00064FDF">
      <w:pPr>
        <w:jc w:val="center"/>
        <w:rPr>
          <w:rFonts w:ascii="Calibri" w:hAnsi="Calibri" w:cs="Arial"/>
          <w:u w:val="single"/>
          <w:lang w:val="nb-NO"/>
        </w:rPr>
      </w:pPr>
      <w:r>
        <w:rPr>
          <w:rFonts w:ascii="Calibri" w:hAnsi="Calibri" w:cs="Arial"/>
          <w:u w:val="single"/>
          <w:lang w:val="nb-NO"/>
        </w:rPr>
        <w:lastRenderedPageBreak/>
        <w:t>Italian</w:t>
      </w:r>
      <w:r w:rsidRPr="00276A41">
        <w:rPr>
          <w:rFonts w:ascii="Calibri" w:hAnsi="Calibri" w:cs="Arial"/>
          <w:u w:val="single"/>
          <w:lang w:val="nb-NO"/>
        </w:rPr>
        <w:t xml:space="preserve"> </w:t>
      </w:r>
      <w:r w:rsidRPr="00D04AB5">
        <w:rPr>
          <w:rFonts w:ascii="Calibri" w:hAnsi="Calibri" w:cs="Arial"/>
          <w:u w:val="single"/>
          <w:lang w:val="nb-NO"/>
        </w:rPr>
        <w:t xml:space="preserve">/ </w:t>
      </w:r>
      <w:proofErr w:type="spellStart"/>
      <w:r w:rsidRPr="00064FDF">
        <w:rPr>
          <w:rFonts w:ascii="Calibri" w:hAnsi="Calibri" w:cs="Arial"/>
          <w:u w:val="single"/>
          <w:lang w:val="de-DE"/>
        </w:rPr>
        <w:t>Italiano</w:t>
      </w:r>
      <w:proofErr w:type="spellEnd"/>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1098"/>
        <w:gridCol w:w="7962"/>
      </w:tblGrid>
      <w:tr w:rsidR="00064FDF" w:rsidRPr="00D04AB5" w14:paraId="51721C1B" w14:textId="77777777" w:rsidTr="002A6B53">
        <w:trPr>
          <w:trHeight w:val="510"/>
        </w:trPr>
        <w:tc>
          <w:tcPr>
            <w:tcW w:w="1098" w:type="dxa"/>
            <w:shd w:val="clear" w:color="auto" w:fill="17365D" w:themeFill="text2" w:themeFillShade="BF"/>
            <w:vAlign w:val="center"/>
          </w:tcPr>
          <w:p w14:paraId="1F0E6411" w14:textId="77777777" w:rsidR="00064FDF" w:rsidRPr="00D04AB5" w:rsidRDefault="00064FDF" w:rsidP="002A6B53">
            <w:pPr>
              <w:jc w:val="center"/>
              <w:rPr>
                <w:rFonts w:ascii="Calibri" w:hAnsi="Calibri" w:cs="Arial"/>
                <w:b/>
                <w:color w:val="FFFFFF" w:themeColor="background1"/>
                <w:lang w:val="nb-NO"/>
              </w:rPr>
            </w:pPr>
            <w:r w:rsidRPr="00D04AB5">
              <w:rPr>
                <w:noProof/>
                <w:lang w:val="nb-NO" w:eastAsia="en-GB"/>
              </w:rPr>
              <w:drawing>
                <wp:inline distT="0" distB="0" distL="0" distR="0" wp14:anchorId="6C5AD75D" wp14:editId="74050943">
                  <wp:extent cx="522514" cy="563518"/>
                  <wp:effectExtent l="0" t="0" r="0" b="825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lum bright="70000" contrast="-70000"/>
                          </a:blip>
                          <a:stretch>
                            <a:fillRect/>
                          </a:stretch>
                        </pic:blipFill>
                        <pic:spPr>
                          <a:xfrm>
                            <a:off x="0" y="0"/>
                            <a:ext cx="525490" cy="566728"/>
                          </a:xfrm>
                          <a:prstGeom prst="rect">
                            <a:avLst/>
                          </a:prstGeom>
                        </pic:spPr>
                      </pic:pic>
                    </a:graphicData>
                  </a:graphic>
                </wp:inline>
              </w:drawing>
            </w:r>
          </w:p>
        </w:tc>
        <w:tc>
          <w:tcPr>
            <w:tcW w:w="7962" w:type="dxa"/>
            <w:shd w:val="clear" w:color="auto" w:fill="17365D" w:themeFill="text2" w:themeFillShade="BF"/>
            <w:vAlign w:val="center"/>
          </w:tcPr>
          <w:p w14:paraId="06219587" w14:textId="77777777" w:rsidR="00064FDF" w:rsidRPr="00064FDF" w:rsidRDefault="00064FDF" w:rsidP="002A6B53">
            <w:pPr>
              <w:pStyle w:val="Listenabsatz"/>
              <w:numPr>
                <w:ilvl w:val="0"/>
                <w:numId w:val="38"/>
              </w:numPr>
              <w:rPr>
                <w:rFonts w:ascii="Calibri" w:hAnsi="Calibri" w:cs="Arial"/>
                <w:b/>
                <w:color w:val="FFFFFF" w:themeColor="background1"/>
                <w:sz w:val="24"/>
                <w:szCs w:val="24"/>
                <w:lang w:val="nb-NO"/>
              </w:rPr>
            </w:pPr>
            <w:r w:rsidRPr="00064FDF">
              <w:rPr>
                <w:rFonts w:ascii="Calibri" w:hAnsi="Calibri" w:cs="Arial"/>
                <w:b/>
                <w:color w:val="FFFFFF" w:themeColor="background1"/>
                <w:sz w:val="24"/>
                <w:szCs w:val="24"/>
                <w:lang w:val="nb-NO"/>
              </w:rPr>
              <w:t>Résumé</w:t>
            </w:r>
          </w:p>
        </w:tc>
      </w:tr>
      <w:tr w:rsidR="00064FDF" w:rsidRPr="009A6567" w14:paraId="08464E86" w14:textId="77777777" w:rsidTr="002A6B53">
        <w:trPr>
          <w:trHeight w:val="6592"/>
        </w:trPr>
        <w:tc>
          <w:tcPr>
            <w:tcW w:w="9060" w:type="dxa"/>
            <w:gridSpan w:val="2"/>
          </w:tcPr>
          <w:p w14:paraId="7ED0AC93" w14:textId="5F274782" w:rsidR="00064FDF" w:rsidRPr="00064FDF" w:rsidRDefault="00064FDF" w:rsidP="00064FDF">
            <w:pPr>
              <w:jc w:val="both"/>
              <w:rPr>
                <w:rFonts w:ascii="Calibri" w:hAnsi="Calibri" w:cs="Arial"/>
                <w:lang w:val="it-IT"/>
              </w:rPr>
            </w:pPr>
            <w:r w:rsidRPr="00064FDF">
              <w:rPr>
                <w:rFonts w:ascii="Calibri" w:hAnsi="Calibri" w:cs="Arial"/>
                <w:lang w:val="it-IT"/>
              </w:rPr>
              <w:t xml:space="preserve">BRIGHT CAPITAL European Credit Fund III, SCSp </w:t>
            </w:r>
            <w:r w:rsidRPr="00064FDF">
              <w:rPr>
                <w:rFonts w:ascii="Calibri" w:hAnsi="Calibri" w:cs="Arial"/>
                <w:lang w:val="it-IT"/>
              </w:rPr>
              <w:t>(il “</w:t>
            </w:r>
            <w:r w:rsidRPr="00064FDF">
              <w:rPr>
                <w:rFonts w:ascii="Calibri" w:hAnsi="Calibri" w:cs="Arial"/>
                <w:b/>
                <w:bCs/>
                <w:lang w:val="it-IT"/>
              </w:rPr>
              <w:t>Partenariato</w:t>
            </w:r>
            <w:r w:rsidRPr="00064FDF">
              <w:rPr>
                <w:rFonts w:ascii="Calibri" w:hAnsi="Calibri" w:cs="Arial"/>
                <w:lang w:val="it-IT"/>
              </w:rPr>
              <w:t>”) investe in strumenti di debito (con o senza componente azionaria e con o senza garanzie) di società in portafoglio e promuove la riduzione delle emissioni di carbonio come caratteristiche ambientali; le caratteristiche sociali promosse dal prodotto finanziario sono la salute e la sicurezza sul lavoro, l'inclusione e l'equilibrio di genere nel consiglio di amministrazione (insieme “</w:t>
            </w:r>
            <w:r w:rsidRPr="00064FDF">
              <w:rPr>
                <w:rFonts w:ascii="Calibri" w:hAnsi="Calibri" w:cs="Arial"/>
                <w:b/>
                <w:bCs/>
                <w:lang w:val="it-IT"/>
              </w:rPr>
              <w:t>caratteristiche E/S</w:t>
            </w:r>
            <w:r w:rsidRPr="00064FDF">
              <w:rPr>
                <w:rFonts w:ascii="Calibri" w:hAnsi="Calibri" w:cs="Arial"/>
                <w:lang w:val="it-IT"/>
              </w:rPr>
              <w:t>”).</w:t>
            </w:r>
          </w:p>
          <w:p w14:paraId="00EF36B3" w14:textId="77777777" w:rsidR="00064FDF" w:rsidRPr="00064FDF" w:rsidRDefault="00064FDF" w:rsidP="00064FDF">
            <w:pPr>
              <w:jc w:val="both"/>
              <w:rPr>
                <w:rFonts w:ascii="Calibri" w:hAnsi="Calibri" w:cs="Arial"/>
                <w:lang w:val="it-IT"/>
              </w:rPr>
            </w:pPr>
          </w:p>
          <w:p w14:paraId="2679863B" w14:textId="741216CA" w:rsidR="00064FDF" w:rsidRPr="00064FDF" w:rsidRDefault="00064FDF" w:rsidP="00064FDF">
            <w:pPr>
              <w:jc w:val="both"/>
              <w:rPr>
                <w:rFonts w:ascii="Calibri" w:hAnsi="Calibri" w:cs="Arial"/>
                <w:lang w:val="it-IT"/>
              </w:rPr>
            </w:pPr>
            <w:r w:rsidRPr="00064FDF">
              <w:rPr>
                <w:rFonts w:ascii="Calibri" w:hAnsi="Calibri" w:cs="Arial"/>
                <w:lang w:val="it-IT"/>
              </w:rPr>
              <w:t>La strategia d'investimento della Partnership non ha come obiettivo l'investimento sostenibile ai sensi del Regolamento (UE) 2019/2088 (“</w:t>
            </w:r>
            <w:r w:rsidRPr="00064FDF">
              <w:rPr>
                <w:rFonts w:ascii="Calibri" w:hAnsi="Calibri" w:cs="Arial"/>
                <w:b/>
                <w:bCs/>
                <w:lang w:val="it-IT"/>
              </w:rPr>
              <w:t>SFDR</w:t>
            </w:r>
            <w:r w:rsidRPr="00064FDF">
              <w:rPr>
                <w:rFonts w:ascii="Calibri" w:hAnsi="Calibri" w:cs="Arial"/>
                <w:lang w:val="it-IT"/>
              </w:rPr>
              <w:t>”).</w:t>
            </w:r>
          </w:p>
          <w:p w14:paraId="75013233" w14:textId="77777777" w:rsidR="00064FDF" w:rsidRPr="00064FDF" w:rsidRDefault="00064FDF" w:rsidP="00064FDF">
            <w:pPr>
              <w:jc w:val="both"/>
              <w:rPr>
                <w:rFonts w:ascii="Calibri" w:hAnsi="Calibri" w:cs="Arial"/>
                <w:lang w:val="it-IT"/>
              </w:rPr>
            </w:pPr>
          </w:p>
          <w:p w14:paraId="1F1F3E9B" w14:textId="77777777" w:rsidR="00064FDF" w:rsidRPr="00064FDF" w:rsidRDefault="00064FDF" w:rsidP="00064FDF">
            <w:pPr>
              <w:jc w:val="both"/>
              <w:rPr>
                <w:rFonts w:ascii="Calibri" w:hAnsi="Calibri" w:cs="Arial"/>
                <w:lang w:val="it-IT"/>
              </w:rPr>
            </w:pPr>
            <w:r w:rsidRPr="00064FDF">
              <w:rPr>
                <w:rFonts w:ascii="Calibri" w:hAnsi="Calibri" w:cs="Arial"/>
                <w:lang w:val="it-IT"/>
              </w:rPr>
              <w:t>Il quadro di riferimento del partenariato per l'integrazione delle questioni ESG nel processo di investimento si basa essenzialmente su tre pilastri: Due Diligence ESG, monitoraggio continuo del portafoglio e coinvolgimento degli stakeholder:</w:t>
            </w:r>
          </w:p>
          <w:p w14:paraId="0CB18A7E" w14:textId="1687B7EE" w:rsidR="00064FDF" w:rsidRPr="00064FDF" w:rsidRDefault="00064FDF" w:rsidP="00064FDF">
            <w:pPr>
              <w:pStyle w:val="Listenabsatz"/>
              <w:numPr>
                <w:ilvl w:val="0"/>
                <w:numId w:val="34"/>
              </w:numPr>
              <w:jc w:val="both"/>
              <w:rPr>
                <w:rFonts w:ascii="Calibri" w:hAnsi="Calibri" w:cs="Arial"/>
                <w:lang w:val="it-IT"/>
              </w:rPr>
            </w:pPr>
            <w:r w:rsidRPr="00064FDF">
              <w:rPr>
                <w:rFonts w:ascii="Calibri" w:hAnsi="Calibri" w:cs="Arial"/>
                <w:lang w:val="it-IT"/>
              </w:rPr>
              <w:t xml:space="preserve">Due Diligence ESG: I fattori ESG sono integrati nel processo di investimento fin dall'inizio. Ciò include uno screening negativo (criteri di esclusione) e un questionario ESG completo che copre i rischi ambientali, sociali e di </w:t>
            </w:r>
            <w:proofErr w:type="spellStart"/>
            <w:r w:rsidRPr="00064FDF">
              <w:rPr>
                <w:rFonts w:ascii="Calibri" w:hAnsi="Calibri" w:cs="Arial"/>
                <w:lang w:val="it-IT"/>
              </w:rPr>
              <w:t>governance</w:t>
            </w:r>
            <w:proofErr w:type="spellEnd"/>
            <w:r w:rsidRPr="00064FDF">
              <w:rPr>
                <w:rFonts w:ascii="Calibri" w:hAnsi="Calibri" w:cs="Arial"/>
                <w:lang w:val="it-IT"/>
              </w:rPr>
              <w:t>. I criteri di esclusione includono armi e munizioni, lavoro minorile, pornografia o vendita di bevande alcoliche, tabacco, cannabis e materiali radioattivi, gioco d'azzardo o software illegale, produzione di energia basata su combustibili fossili e industrie ad alta intensità energetica e/o con elevate emissioni di CO2. I risultati ESG sono riassunti nei memorandum d'investimento, che influenzano le decisioni d'investimento e costituiscono la base per il monitoraggio continuo.</w:t>
            </w:r>
          </w:p>
          <w:p w14:paraId="121AB082" w14:textId="6FA7E765" w:rsidR="00064FDF" w:rsidRPr="00064FDF" w:rsidRDefault="00064FDF" w:rsidP="00064FDF">
            <w:pPr>
              <w:pStyle w:val="Listenabsatz"/>
              <w:numPr>
                <w:ilvl w:val="0"/>
                <w:numId w:val="34"/>
              </w:numPr>
              <w:jc w:val="both"/>
              <w:rPr>
                <w:rFonts w:ascii="Calibri" w:hAnsi="Calibri" w:cs="Arial"/>
                <w:lang w:val="it-IT"/>
              </w:rPr>
            </w:pPr>
            <w:r w:rsidRPr="00064FDF">
              <w:rPr>
                <w:rFonts w:ascii="Calibri" w:hAnsi="Calibri" w:cs="Arial"/>
                <w:lang w:val="it-IT"/>
              </w:rPr>
              <w:t>Monitoraggio continuo del portafoglio: I rischi e le opportunità ESG sono costantemente monitorati in tutto il portafoglio, con aggiornamenti regolari da parte dei mutuatari sulla performance ESG. La partnership integra anche requisiti di reporting ad hoc per gli impatti negativi rilevanti, consentendo risposte rapide ai rischi emergenti.</w:t>
            </w:r>
          </w:p>
          <w:p w14:paraId="24F22F90" w14:textId="176507E7" w:rsidR="00064FDF" w:rsidRPr="00064FDF" w:rsidRDefault="00064FDF" w:rsidP="00064FDF">
            <w:pPr>
              <w:pStyle w:val="Listenabsatz"/>
              <w:numPr>
                <w:ilvl w:val="0"/>
                <w:numId w:val="34"/>
              </w:numPr>
              <w:jc w:val="both"/>
              <w:rPr>
                <w:rFonts w:ascii="Calibri" w:hAnsi="Calibri" w:cs="Arial"/>
                <w:lang w:val="it-IT"/>
              </w:rPr>
            </w:pPr>
            <w:r w:rsidRPr="00064FDF">
              <w:rPr>
                <w:rFonts w:ascii="Calibri" w:hAnsi="Calibri" w:cs="Arial"/>
                <w:lang w:val="it-IT"/>
              </w:rPr>
              <w:t xml:space="preserve">Coinvolgimento degli stakeholder e </w:t>
            </w:r>
            <w:proofErr w:type="spellStart"/>
            <w:r w:rsidRPr="00064FDF">
              <w:rPr>
                <w:rFonts w:ascii="Calibri" w:hAnsi="Calibri" w:cs="Arial"/>
                <w:lang w:val="it-IT"/>
              </w:rPr>
              <w:t>governance</w:t>
            </w:r>
            <w:proofErr w:type="spellEnd"/>
            <w:r w:rsidRPr="00064FDF">
              <w:rPr>
                <w:rFonts w:ascii="Calibri" w:hAnsi="Calibri" w:cs="Arial"/>
                <w:lang w:val="it-IT"/>
              </w:rPr>
              <w:t>: Il monitoraggio ESG è gestito da un team per gli investimenti sostenibili e da un comitato ESG dedicato, che garantisce l'allineamento con gli standard internazionali, come i Principi per gli investimenti responsabili (PRI) delle Nazioni Unite. La partnership incoraggia le società in portafoglio ad adottare pratiche ESG, contribuendo così a migliorare la performance ESG nel tempo.</w:t>
            </w:r>
          </w:p>
          <w:p w14:paraId="0F8FF10C" w14:textId="77777777" w:rsidR="00064FDF" w:rsidRPr="00064FDF" w:rsidRDefault="00064FDF" w:rsidP="00064FDF">
            <w:pPr>
              <w:jc w:val="both"/>
              <w:rPr>
                <w:rFonts w:ascii="Calibri" w:hAnsi="Calibri" w:cs="Arial"/>
                <w:lang w:val="it-IT"/>
              </w:rPr>
            </w:pPr>
          </w:p>
          <w:p w14:paraId="7A1773F6" w14:textId="77777777" w:rsidR="00064FDF" w:rsidRPr="00064FDF" w:rsidRDefault="00064FDF" w:rsidP="00064FDF">
            <w:pPr>
              <w:jc w:val="both"/>
              <w:rPr>
                <w:rFonts w:ascii="Calibri" w:hAnsi="Calibri" w:cs="Arial"/>
                <w:lang w:val="it-IT"/>
              </w:rPr>
            </w:pPr>
            <w:r w:rsidRPr="00064FDF">
              <w:rPr>
                <w:rFonts w:ascii="Calibri" w:hAnsi="Calibri" w:cs="Arial"/>
                <w:lang w:val="it-IT"/>
              </w:rPr>
              <w:t xml:space="preserve">Questo quadro di riferimento allinea gli investimenti della partnership agli obiettivi di creazione di valore a lungo termine, gestendo al contempo in modo proattivo i rischi ambientali, sociali e di </w:t>
            </w:r>
            <w:proofErr w:type="spellStart"/>
            <w:r w:rsidRPr="00064FDF">
              <w:rPr>
                <w:rFonts w:ascii="Calibri" w:hAnsi="Calibri" w:cs="Arial"/>
                <w:lang w:val="it-IT"/>
              </w:rPr>
              <w:t>governance</w:t>
            </w:r>
            <w:proofErr w:type="spellEnd"/>
            <w:r w:rsidRPr="00064FDF">
              <w:rPr>
                <w:rFonts w:ascii="Calibri" w:hAnsi="Calibri" w:cs="Arial"/>
                <w:lang w:val="it-IT"/>
              </w:rPr>
              <w:t>.</w:t>
            </w:r>
          </w:p>
          <w:p w14:paraId="5506FDE0" w14:textId="70C89D99" w:rsidR="00064FDF" w:rsidRPr="00064FDF" w:rsidRDefault="00064FDF" w:rsidP="00064FDF">
            <w:pPr>
              <w:jc w:val="both"/>
              <w:rPr>
                <w:rFonts w:ascii="Calibri" w:hAnsi="Calibri" w:cs="Arial"/>
                <w:lang w:val="it-IT"/>
              </w:rPr>
            </w:pPr>
            <w:r w:rsidRPr="00064FDF">
              <w:rPr>
                <w:rFonts w:ascii="Calibri" w:hAnsi="Calibri" w:cs="Arial"/>
                <w:lang w:val="it-IT"/>
              </w:rPr>
              <w:t xml:space="preserve"> </w:t>
            </w:r>
          </w:p>
        </w:tc>
      </w:tr>
    </w:tbl>
    <w:p w14:paraId="5BBA61C8" w14:textId="77777777" w:rsidR="00EF1356" w:rsidRPr="0030714C" w:rsidRDefault="00EF1356" w:rsidP="003D1990">
      <w:pPr>
        <w:rPr>
          <w:rFonts w:ascii="Calibri" w:hAnsi="Calibri" w:cs="Arial"/>
        </w:rPr>
      </w:pPr>
      <w:bookmarkStart w:id="1" w:name="_GoBack"/>
      <w:bookmarkEnd w:id="1"/>
    </w:p>
    <w:sectPr w:rsidR="00EF1356" w:rsidRPr="0030714C" w:rsidSect="00B104BF">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3C943" w14:textId="77777777" w:rsidR="00A71CF4" w:rsidRDefault="00A71CF4" w:rsidP="00F4617A">
      <w:pPr>
        <w:spacing w:after="0" w:line="240" w:lineRule="auto"/>
      </w:pPr>
      <w:r>
        <w:separator/>
      </w:r>
    </w:p>
  </w:endnote>
  <w:endnote w:type="continuationSeparator" w:id="0">
    <w:p w14:paraId="5A22EEB1" w14:textId="77777777" w:rsidR="00A71CF4" w:rsidRDefault="00A71CF4" w:rsidP="00F4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AA3D" w14:textId="77777777" w:rsidR="00064FDF" w:rsidRDefault="00064F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129586"/>
      <w:docPartObj>
        <w:docPartGallery w:val="Page Numbers (Bottom of Page)"/>
        <w:docPartUnique/>
      </w:docPartObj>
    </w:sdtPr>
    <w:sdtEndPr/>
    <w:sdtContent>
      <w:sdt>
        <w:sdtPr>
          <w:id w:val="800735639"/>
          <w:docPartObj>
            <w:docPartGallery w:val="Page Numbers (Top of Page)"/>
            <w:docPartUnique/>
          </w:docPartObj>
        </w:sdtPr>
        <w:sdtEndPr/>
        <w:sdtContent>
          <w:p w14:paraId="0F45D6C1" w14:textId="4EC81934" w:rsidR="007B46E3" w:rsidRDefault="007B46E3" w:rsidP="007B46E3">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37F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7FA">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301E" w14:textId="77777777" w:rsidR="00064FDF" w:rsidRDefault="00064F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2E11" w14:textId="77777777" w:rsidR="00A71CF4" w:rsidRDefault="00A71CF4" w:rsidP="00F4617A">
      <w:pPr>
        <w:spacing w:after="0" w:line="240" w:lineRule="auto"/>
      </w:pPr>
      <w:r>
        <w:separator/>
      </w:r>
    </w:p>
  </w:footnote>
  <w:footnote w:type="continuationSeparator" w:id="0">
    <w:p w14:paraId="05CE2445" w14:textId="77777777" w:rsidR="00A71CF4" w:rsidRDefault="00A71CF4" w:rsidP="00F4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4F4B" w14:textId="77777777" w:rsidR="00064FDF" w:rsidRDefault="00064F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C56" w14:textId="77777777" w:rsidR="00064FDF" w:rsidRDefault="00064F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006F" w14:textId="77777777" w:rsidR="00064FDF" w:rsidRDefault="00064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7D1"/>
    <w:multiLevelType w:val="hybridMultilevel"/>
    <w:tmpl w:val="003A1ACA"/>
    <w:lvl w:ilvl="0" w:tplc="11E6041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D75D75"/>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06DC"/>
    <w:multiLevelType w:val="hybridMultilevel"/>
    <w:tmpl w:val="6518BBC8"/>
    <w:lvl w:ilvl="0" w:tplc="A204E4B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F245D5"/>
    <w:multiLevelType w:val="multilevel"/>
    <w:tmpl w:val="A938479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A57B6"/>
    <w:multiLevelType w:val="hybridMultilevel"/>
    <w:tmpl w:val="664A9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17D0"/>
    <w:multiLevelType w:val="hybridMultilevel"/>
    <w:tmpl w:val="3A623F24"/>
    <w:lvl w:ilvl="0" w:tplc="BB7038FA">
      <w:numFmt w:val="bullet"/>
      <w:lvlText w:val="-"/>
      <w:lvlJc w:val="left"/>
      <w:pPr>
        <w:ind w:left="1065" w:hanging="705"/>
      </w:pPr>
      <w:rPr>
        <w:rFonts w:ascii="Calibri" w:eastAsiaTheme="minorHAnsi" w:hAnsi="Calibri"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7542E65"/>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54076"/>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84290"/>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52C9E"/>
    <w:multiLevelType w:val="hybridMultilevel"/>
    <w:tmpl w:val="2054ADE6"/>
    <w:lvl w:ilvl="0" w:tplc="009E02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A81DFB"/>
    <w:multiLevelType w:val="hybridMultilevel"/>
    <w:tmpl w:val="3E269B3C"/>
    <w:lvl w:ilvl="0" w:tplc="04070005">
      <w:start w:val="1"/>
      <w:numFmt w:val="bullet"/>
      <w:lvlText w:val=""/>
      <w:lvlJc w:val="left"/>
      <w:pPr>
        <w:ind w:left="1770" w:hanging="360"/>
      </w:pPr>
      <w:rPr>
        <w:rFonts w:ascii="Wingdings" w:hAnsi="Wingdings"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1" w15:restartNumberingAfterBreak="0">
    <w:nsid w:val="262768A2"/>
    <w:multiLevelType w:val="hybridMultilevel"/>
    <w:tmpl w:val="3B00C5FE"/>
    <w:lvl w:ilvl="0" w:tplc="73BA47FE">
      <w:start w:val="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7897D36"/>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981"/>
    <w:multiLevelType w:val="hybridMultilevel"/>
    <w:tmpl w:val="25E65CB8"/>
    <w:lvl w:ilvl="0" w:tplc="D5FE24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F508F"/>
    <w:multiLevelType w:val="hybridMultilevel"/>
    <w:tmpl w:val="810E9C16"/>
    <w:lvl w:ilvl="0" w:tplc="1F767B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7781F"/>
    <w:multiLevelType w:val="hybridMultilevel"/>
    <w:tmpl w:val="85188876"/>
    <w:lvl w:ilvl="0" w:tplc="4AC6EE38">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B4341AC"/>
    <w:multiLevelType w:val="hybridMultilevel"/>
    <w:tmpl w:val="915847A6"/>
    <w:lvl w:ilvl="0" w:tplc="0F0C7D12">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3E573FCB"/>
    <w:multiLevelType w:val="hybridMultilevel"/>
    <w:tmpl w:val="38161C9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EE63F78"/>
    <w:multiLevelType w:val="hybridMultilevel"/>
    <w:tmpl w:val="23FE0DD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432A6F"/>
    <w:multiLevelType w:val="hybridMultilevel"/>
    <w:tmpl w:val="DE0E5FD6"/>
    <w:lvl w:ilvl="0" w:tplc="77CE93F0">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57859FF"/>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41CFA"/>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559BB"/>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A7780"/>
    <w:multiLevelType w:val="hybridMultilevel"/>
    <w:tmpl w:val="0DA8319A"/>
    <w:lvl w:ilvl="0" w:tplc="16E25BBE">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673354C"/>
    <w:multiLevelType w:val="hybridMultilevel"/>
    <w:tmpl w:val="49EEC0FC"/>
    <w:lvl w:ilvl="0" w:tplc="A1B2BF8E">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A524117"/>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D1988"/>
    <w:multiLevelType w:val="hybridMultilevel"/>
    <w:tmpl w:val="663224BE"/>
    <w:lvl w:ilvl="0" w:tplc="C7CEBE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ED39EC"/>
    <w:multiLevelType w:val="hybridMultilevel"/>
    <w:tmpl w:val="A71450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1C17CD6"/>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67EB0"/>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A6E1D"/>
    <w:multiLevelType w:val="hybridMultilevel"/>
    <w:tmpl w:val="48B4A1FA"/>
    <w:lvl w:ilvl="0" w:tplc="B26A4206">
      <w:start w:val="1"/>
      <w:numFmt w:val="bullet"/>
      <w:lvlText w:val=""/>
      <w:lvlJc w:val="left"/>
      <w:pPr>
        <w:ind w:left="1065" w:hanging="705"/>
      </w:pPr>
      <w:rPr>
        <w:rFonts w:ascii="Symbol" w:eastAsiaTheme="minorHAnsi"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B9B5DD5"/>
    <w:multiLevelType w:val="hybridMultilevel"/>
    <w:tmpl w:val="514E98F8"/>
    <w:lvl w:ilvl="0" w:tplc="9A041434">
      <w:numFmt w:val="bullet"/>
      <w:lvlText w:val="-"/>
      <w:lvlJc w:val="left"/>
      <w:pPr>
        <w:ind w:left="720" w:hanging="360"/>
      </w:pPr>
      <w:rPr>
        <w:rFonts w:ascii="Calibri" w:eastAsiaTheme="minorHAnsi" w:hAnsi="Calibri"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C860EED"/>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4419B"/>
    <w:multiLevelType w:val="hybridMultilevel"/>
    <w:tmpl w:val="820A2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CD4C05"/>
    <w:multiLevelType w:val="hybridMultilevel"/>
    <w:tmpl w:val="61322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655976"/>
    <w:multiLevelType w:val="hybridMultilevel"/>
    <w:tmpl w:val="9EEEAF26"/>
    <w:lvl w:ilvl="0" w:tplc="140C0001">
      <w:start w:val="1"/>
      <w:numFmt w:val="bullet"/>
      <w:lvlText w:val=""/>
      <w:lvlJc w:val="left"/>
      <w:pPr>
        <w:ind w:left="780" w:hanging="360"/>
      </w:pPr>
      <w:rPr>
        <w:rFonts w:ascii="Symbol" w:hAnsi="Symbol" w:hint="default"/>
      </w:rPr>
    </w:lvl>
    <w:lvl w:ilvl="1" w:tplc="140C0003" w:tentative="1">
      <w:start w:val="1"/>
      <w:numFmt w:val="bullet"/>
      <w:lvlText w:val="o"/>
      <w:lvlJc w:val="left"/>
      <w:pPr>
        <w:ind w:left="1500" w:hanging="360"/>
      </w:pPr>
      <w:rPr>
        <w:rFonts w:ascii="Courier New" w:hAnsi="Courier New" w:cs="Courier New" w:hint="default"/>
      </w:rPr>
    </w:lvl>
    <w:lvl w:ilvl="2" w:tplc="140C0005" w:tentative="1">
      <w:start w:val="1"/>
      <w:numFmt w:val="bullet"/>
      <w:lvlText w:val=""/>
      <w:lvlJc w:val="left"/>
      <w:pPr>
        <w:ind w:left="2220" w:hanging="360"/>
      </w:pPr>
      <w:rPr>
        <w:rFonts w:ascii="Wingdings" w:hAnsi="Wingdings" w:hint="default"/>
      </w:rPr>
    </w:lvl>
    <w:lvl w:ilvl="3" w:tplc="140C0001" w:tentative="1">
      <w:start w:val="1"/>
      <w:numFmt w:val="bullet"/>
      <w:lvlText w:val=""/>
      <w:lvlJc w:val="left"/>
      <w:pPr>
        <w:ind w:left="2940" w:hanging="360"/>
      </w:pPr>
      <w:rPr>
        <w:rFonts w:ascii="Symbol" w:hAnsi="Symbol" w:hint="default"/>
      </w:rPr>
    </w:lvl>
    <w:lvl w:ilvl="4" w:tplc="140C0003" w:tentative="1">
      <w:start w:val="1"/>
      <w:numFmt w:val="bullet"/>
      <w:lvlText w:val="o"/>
      <w:lvlJc w:val="left"/>
      <w:pPr>
        <w:ind w:left="3660" w:hanging="360"/>
      </w:pPr>
      <w:rPr>
        <w:rFonts w:ascii="Courier New" w:hAnsi="Courier New" w:cs="Courier New" w:hint="default"/>
      </w:rPr>
    </w:lvl>
    <w:lvl w:ilvl="5" w:tplc="140C0005" w:tentative="1">
      <w:start w:val="1"/>
      <w:numFmt w:val="bullet"/>
      <w:lvlText w:val=""/>
      <w:lvlJc w:val="left"/>
      <w:pPr>
        <w:ind w:left="4380" w:hanging="360"/>
      </w:pPr>
      <w:rPr>
        <w:rFonts w:ascii="Wingdings" w:hAnsi="Wingdings" w:hint="default"/>
      </w:rPr>
    </w:lvl>
    <w:lvl w:ilvl="6" w:tplc="140C0001" w:tentative="1">
      <w:start w:val="1"/>
      <w:numFmt w:val="bullet"/>
      <w:lvlText w:val=""/>
      <w:lvlJc w:val="left"/>
      <w:pPr>
        <w:ind w:left="5100" w:hanging="360"/>
      </w:pPr>
      <w:rPr>
        <w:rFonts w:ascii="Symbol" w:hAnsi="Symbol" w:hint="default"/>
      </w:rPr>
    </w:lvl>
    <w:lvl w:ilvl="7" w:tplc="140C0003" w:tentative="1">
      <w:start w:val="1"/>
      <w:numFmt w:val="bullet"/>
      <w:lvlText w:val="o"/>
      <w:lvlJc w:val="left"/>
      <w:pPr>
        <w:ind w:left="5820" w:hanging="360"/>
      </w:pPr>
      <w:rPr>
        <w:rFonts w:ascii="Courier New" w:hAnsi="Courier New" w:cs="Courier New" w:hint="default"/>
      </w:rPr>
    </w:lvl>
    <w:lvl w:ilvl="8" w:tplc="140C0005" w:tentative="1">
      <w:start w:val="1"/>
      <w:numFmt w:val="bullet"/>
      <w:lvlText w:val=""/>
      <w:lvlJc w:val="left"/>
      <w:pPr>
        <w:ind w:left="6540" w:hanging="360"/>
      </w:pPr>
      <w:rPr>
        <w:rFonts w:ascii="Wingdings" w:hAnsi="Wingdings" w:hint="default"/>
      </w:rPr>
    </w:lvl>
  </w:abstractNum>
  <w:abstractNum w:abstractNumId="36" w15:restartNumberingAfterBreak="0">
    <w:nsid w:val="7AC9349B"/>
    <w:multiLevelType w:val="hybridMultilevel"/>
    <w:tmpl w:val="B088EFEE"/>
    <w:lvl w:ilvl="0" w:tplc="10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70B"/>
    <w:multiLevelType w:val="hybridMultilevel"/>
    <w:tmpl w:val="777AF46C"/>
    <w:lvl w:ilvl="0" w:tplc="E8A46B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0"/>
  </w:num>
  <w:num w:numId="4">
    <w:abstractNumId w:val="17"/>
  </w:num>
  <w:num w:numId="5">
    <w:abstractNumId w:val="27"/>
  </w:num>
  <w:num w:numId="6">
    <w:abstractNumId w:val="35"/>
  </w:num>
  <w:num w:numId="7">
    <w:abstractNumId w:val="12"/>
  </w:num>
  <w:num w:numId="8">
    <w:abstractNumId w:val="32"/>
  </w:num>
  <w:num w:numId="9">
    <w:abstractNumId w:val="20"/>
  </w:num>
  <w:num w:numId="10">
    <w:abstractNumId w:val="8"/>
  </w:num>
  <w:num w:numId="11">
    <w:abstractNumId w:val="21"/>
  </w:num>
  <w:num w:numId="12">
    <w:abstractNumId w:val="28"/>
  </w:num>
  <w:num w:numId="13">
    <w:abstractNumId w:val="36"/>
  </w:num>
  <w:num w:numId="14">
    <w:abstractNumId w:val="25"/>
  </w:num>
  <w:num w:numId="15">
    <w:abstractNumId w:val="1"/>
  </w:num>
  <w:num w:numId="16">
    <w:abstractNumId w:val="4"/>
  </w:num>
  <w:num w:numId="17">
    <w:abstractNumId w:val="16"/>
  </w:num>
  <w:num w:numId="18">
    <w:abstractNumId w:val="19"/>
  </w:num>
  <w:num w:numId="19">
    <w:abstractNumId w:val="23"/>
  </w:num>
  <w:num w:numId="20">
    <w:abstractNumId w:val="31"/>
  </w:num>
  <w:num w:numId="21">
    <w:abstractNumId w:val="5"/>
  </w:num>
  <w:num w:numId="22">
    <w:abstractNumId w:val="11"/>
  </w:num>
  <w:num w:numId="23">
    <w:abstractNumId w:val="18"/>
  </w:num>
  <w:num w:numId="24">
    <w:abstractNumId w:val="13"/>
  </w:num>
  <w:num w:numId="25">
    <w:abstractNumId w:val="14"/>
  </w:num>
  <w:num w:numId="26">
    <w:abstractNumId w:val="37"/>
  </w:num>
  <w:num w:numId="27">
    <w:abstractNumId w:val="10"/>
  </w:num>
  <w:num w:numId="28">
    <w:abstractNumId w:val="33"/>
  </w:num>
  <w:num w:numId="29">
    <w:abstractNumId w:val="34"/>
  </w:num>
  <w:num w:numId="30">
    <w:abstractNumId w:val="6"/>
  </w:num>
  <w:num w:numId="31">
    <w:abstractNumId w:val="7"/>
  </w:num>
  <w:num w:numId="32">
    <w:abstractNumId w:val="29"/>
  </w:num>
  <w:num w:numId="33">
    <w:abstractNumId w:val="22"/>
  </w:num>
  <w:num w:numId="34">
    <w:abstractNumId w:val="9"/>
  </w:num>
  <w:num w:numId="35">
    <w:abstractNumId w:val="0"/>
  </w:num>
  <w:num w:numId="36">
    <w:abstractNumId w:val="15"/>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15"/>
    <w:rsid w:val="0000033F"/>
    <w:rsid w:val="00005458"/>
    <w:rsid w:val="000117A8"/>
    <w:rsid w:val="0001635E"/>
    <w:rsid w:val="000248FA"/>
    <w:rsid w:val="00041426"/>
    <w:rsid w:val="00061F4F"/>
    <w:rsid w:val="00064F1A"/>
    <w:rsid w:val="00064FDF"/>
    <w:rsid w:val="00085F66"/>
    <w:rsid w:val="00087D62"/>
    <w:rsid w:val="0009652A"/>
    <w:rsid w:val="000F0C7A"/>
    <w:rsid w:val="000F34B8"/>
    <w:rsid w:val="00107C23"/>
    <w:rsid w:val="0011190A"/>
    <w:rsid w:val="00123C6A"/>
    <w:rsid w:val="00123FE6"/>
    <w:rsid w:val="00132EA3"/>
    <w:rsid w:val="0013459A"/>
    <w:rsid w:val="00136266"/>
    <w:rsid w:val="00153A95"/>
    <w:rsid w:val="00157092"/>
    <w:rsid w:val="00161918"/>
    <w:rsid w:val="00162171"/>
    <w:rsid w:val="00162979"/>
    <w:rsid w:val="00164ED9"/>
    <w:rsid w:val="0018518D"/>
    <w:rsid w:val="00186CF2"/>
    <w:rsid w:val="001908CA"/>
    <w:rsid w:val="00192D13"/>
    <w:rsid w:val="00197200"/>
    <w:rsid w:val="001A3287"/>
    <w:rsid w:val="001A3549"/>
    <w:rsid w:val="001A51A6"/>
    <w:rsid w:val="001C3022"/>
    <w:rsid w:val="001C3440"/>
    <w:rsid w:val="001D33AD"/>
    <w:rsid w:val="001D7C5E"/>
    <w:rsid w:val="001E71BB"/>
    <w:rsid w:val="001F4AE6"/>
    <w:rsid w:val="0020121A"/>
    <w:rsid w:val="00206554"/>
    <w:rsid w:val="00212DDB"/>
    <w:rsid w:val="00212F82"/>
    <w:rsid w:val="0021721B"/>
    <w:rsid w:val="0021799F"/>
    <w:rsid w:val="0022392B"/>
    <w:rsid w:val="00224B8B"/>
    <w:rsid w:val="00230BAE"/>
    <w:rsid w:val="00230F3C"/>
    <w:rsid w:val="002455E5"/>
    <w:rsid w:val="0024578E"/>
    <w:rsid w:val="002464B7"/>
    <w:rsid w:val="00250282"/>
    <w:rsid w:val="00253C8E"/>
    <w:rsid w:val="00255003"/>
    <w:rsid w:val="00257512"/>
    <w:rsid w:val="00272236"/>
    <w:rsid w:val="00273C47"/>
    <w:rsid w:val="002768A4"/>
    <w:rsid w:val="00276A41"/>
    <w:rsid w:val="0028273D"/>
    <w:rsid w:val="00287475"/>
    <w:rsid w:val="002A40C6"/>
    <w:rsid w:val="002B78CC"/>
    <w:rsid w:val="002C3131"/>
    <w:rsid w:val="002C5C97"/>
    <w:rsid w:val="002C7637"/>
    <w:rsid w:val="002E3B5F"/>
    <w:rsid w:val="002F0312"/>
    <w:rsid w:val="002F41FC"/>
    <w:rsid w:val="002F50E0"/>
    <w:rsid w:val="002F539F"/>
    <w:rsid w:val="00302DD7"/>
    <w:rsid w:val="003066E3"/>
    <w:rsid w:val="0030714C"/>
    <w:rsid w:val="00334694"/>
    <w:rsid w:val="00343D5E"/>
    <w:rsid w:val="0034749E"/>
    <w:rsid w:val="00364307"/>
    <w:rsid w:val="00370810"/>
    <w:rsid w:val="00385E80"/>
    <w:rsid w:val="003933AB"/>
    <w:rsid w:val="003B2A1F"/>
    <w:rsid w:val="003B3BE4"/>
    <w:rsid w:val="003B467B"/>
    <w:rsid w:val="003C15BA"/>
    <w:rsid w:val="003C5FC5"/>
    <w:rsid w:val="003C6B64"/>
    <w:rsid w:val="003D1990"/>
    <w:rsid w:val="003D2CA6"/>
    <w:rsid w:val="003D355A"/>
    <w:rsid w:val="003F2D4E"/>
    <w:rsid w:val="00411600"/>
    <w:rsid w:val="00411D5C"/>
    <w:rsid w:val="00413CD6"/>
    <w:rsid w:val="0041538B"/>
    <w:rsid w:val="00431752"/>
    <w:rsid w:val="00432BB7"/>
    <w:rsid w:val="0044245B"/>
    <w:rsid w:val="00442771"/>
    <w:rsid w:val="00451C1F"/>
    <w:rsid w:val="004563FA"/>
    <w:rsid w:val="00460656"/>
    <w:rsid w:val="00472FCC"/>
    <w:rsid w:val="0048445A"/>
    <w:rsid w:val="004B78D2"/>
    <w:rsid w:val="004C1D00"/>
    <w:rsid w:val="004D1E82"/>
    <w:rsid w:val="004D532C"/>
    <w:rsid w:val="004D54A8"/>
    <w:rsid w:val="004F0399"/>
    <w:rsid w:val="004F17A1"/>
    <w:rsid w:val="00515D5D"/>
    <w:rsid w:val="00521C63"/>
    <w:rsid w:val="00524C74"/>
    <w:rsid w:val="00536D4C"/>
    <w:rsid w:val="00540CF5"/>
    <w:rsid w:val="00553497"/>
    <w:rsid w:val="0055682D"/>
    <w:rsid w:val="005637FA"/>
    <w:rsid w:val="005663FA"/>
    <w:rsid w:val="00566A66"/>
    <w:rsid w:val="00567EB3"/>
    <w:rsid w:val="005755A3"/>
    <w:rsid w:val="0057642C"/>
    <w:rsid w:val="00577EEB"/>
    <w:rsid w:val="005831A8"/>
    <w:rsid w:val="00585B32"/>
    <w:rsid w:val="00586A9A"/>
    <w:rsid w:val="005A4968"/>
    <w:rsid w:val="005E3CFF"/>
    <w:rsid w:val="005E692A"/>
    <w:rsid w:val="005E72E5"/>
    <w:rsid w:val="005F304F"/>
    <w:rsid w:val="005F38E3"/>
    <w:rsid w:val="005F434F"/>
    <w:rsid w:val="00613C27"/>
    <w:rsid w:val="0062150D"/>
    <w:rsid w:val="0062355A"/>
    <w:rsid w:val="00625F07"/>
    <w:rsid w:val="006270E1"/>
    <w:rsid w:val="006309BC"/>
    <w:rsid w:val="00633CDD"/>
    <w:rsid w:val="006470C4"/>
    <w:rsid w:val="00651AC5"/>
    <w:rsid w:val="00663CA2"/>
    <w:rsid w:val="0067444E"/>
    <w:rsid w:val="00682DF8"/>
    <w:rsid w:val="006867FE"/>
    <w:rsid w:val="00690A51"/>
    <w:rsid w:val="00690C95"/>
    <w:rsid w:val="006A1BA9"/>
    <w:rsid w:val="006A3325"/>
    <w:rsid w:val="006B09FD"/>
    <w:rsid w:val="006B1C66"/>
    <w:rsid w:val="006D1104"/>
    <w:rsid w:val="006E2250"/>
    <w:rsid w:val="006F0B95"/>
    <w:rsid w:val="00705BAE"/>
    <w:rsid w:val="00721271"/>
    <w:rsid w:val="0072138B"/>
    <w:rsid w:val="007213B1"/>
    <w:rsid w:val="00721E9B"/>
    <w:rsid w:val="007249BC"/>
    <w:rsid w:val="00731E80"/>
    <w:rsid w:val="00732F3E"/>
    <w:rsid w:val="00737943"/>
    <w:rsid w:val="00737F89"/>
    <w:rsid w:val="007474EA"/>
    <w:rsid w:val="00753D49"/>
    <w:rsid w:val="00764E37"/>
    <w:rsid w:val="007718DB"/>
    <w:rsid w:val="0078265A"/>
    <w:rsid w:val="00795C77"/>
    <w:rsid w:val="00797644"/>
    <w:rsid w:val="007A64DF"/>
    <w:rsid w:val="007A7536"/>
    <w:rsid w:val="007B46E3"/>
    <w:rsid w:val="007D1188"/>
    <w:rsid w:val="007D1BCB"/>
    <w:rsid w:val="007E15AC"/>
    <w:rsid w:val="00814FB8"/>
    <w:rsid w:val="00823905"/>
    <w:rsid w:val="00834F3A"/>
    <w:rsid w:val="008362B1"/>
    <w:rsid w:val="0086366B"/>
    <w:rsid w:val="00871266"/>
    <w:rsid w:val="008730A3"/>
    <w:rsid w:val="0088058A"/>
    <w:rsid w:val="008853F9"/>
    <w:rsid w:val="00891A21"/>
    <w:rsid w:val="008A6BF3"/>
    <w:rsid w:val="008C18A7"/>
    <w:rsid w:val="008C399A"/>
    <w:rsid w:val="008C3CD5"/>
    <w:rsid w:val="008E3C3E"/>
    <w:rsid w:val="008E5532"/>
    <w:rsid w:val="008F252F"/>
    <w:rsid w:val="008F4016"/>
    <w:rsid w:val="008F5C68"/>
    <w:rsid w:val="00904EC1"/>
    <w:rsid w:val="0090565E"/>
    <w:rsid w:val="00916014"/>
    <w:rsid w:val="00924619"/>
    <w:rsid w:val="00946EA3"/>
    <w:rsid w:val="0095006D"/>
    <w:rsid w:val="009620D0"/>
    <w:rsid w:val="00962FE1"/>
    <w:rsid w:val="00982D25"/>
    <w:rsid w:val="009A6567"/>
    <w:rsid w:val="009A7605"/>
    <w:rsid w:val="009C01A1"/>
    <w:rsid w:val="009C5DA6"/>
    <w:rsid w:val="009E0BFE"/>
    <w:rsid w:val="00A023A4"/>
    <w:rsid w:val="00A04D74"/>
    <w:rsid w:val="00A562F7"/>
    <w:rsid w:val="00A564D6"/>
    <w:rsid w:val="00A57AAE"/>
    <w:rsid w:val="00A60E66"/>
    <w:rsid w:val="00A6407B"/>
    <w:rsid w:val="00A67336"/>
    <w:rsid w:val="00A71CF4"/>
    <w:rsid w:val="00A758B3"/>
    <w:rsid w:val="00A75F38"/>
    <w:rsid w:val="00A815EE"/>
    <w:rsid w:val="00A833EA"/>
    <w:rsid w:val="00A900D3"/>
    <w:rsid w:val="00A97935"/>
    <w:rsid w:val="00A97FE0"/>
    <w:rsid w:val="00AC421D"/>
    <w:rsid w:val="00AF34B2"/>
    <w:rsid w:val="00B027C9"/>
    <w:rsid w:val="00B104BF"/>
    <w:rsid w:val="00B12B37"/>
    <w:rsid w:val="00B16974"/>
    <w:rsid w:val="00B424BF"/>
    <w:rsid w:val="00B562ED"/>
    <w:rsid w:val="00B81FA9"/>
    <w:rsid w:val="00B92D39"/>
    <w:rsid w:val="00BA0D8E"/>
    <w:rsid w:val="00BA127F"/>
    <w:rsid w:val="00BC0F53"/>
    <w:rsid w:val="00BD4A21"/>
    <w:rsid w:val="00BD625E"/>
    <w:rsid w:val="00BD6FDE"/>
    <w:rsid w:val="00BE0AF7"/>
    <w:rsid w:val="00C108DD"/>
    <w:rsid w:val="00C15DAB"/>
    <w:rsid w:val="00C233C2"/>
    <w:rsid w:val="00C27272"/>
    <w:rsid w:val="00C3687F"/>
    <w:rsid w:val="00C40A23"/>
    <w:rsid w:val="00C444F9"/>
    <w:rsid w:val="00C6439F"/>
    <w:rsid w:val="00C70719"/>
    <w:rsid w:val="00C80679"/>
    <w:rsid w:val="00C80BC6"/>
    <w:rsid w:val="00C92B92"/>
    <w:rsid w:val="00CA0543"/>
    <w:rsid w:val="00CB000F"/>
    <w:rsid w:val="00CB63FA"/>
    <w:rsid w:val="00CB68DE"/>
    <w:rsid w:val="00CC4212"/>
    <w:rsid w:val="00CE1D4F"/>
    <w:rsid w:val="00CE27D8"/>
    <w:rsid w:val="00CE426B"/>
    <w:rsid w:val="00CE6406"/>
    <w:rsid w:val="00D0231D"/>
    <w:rsid w:val="00D04AB5"/>
    <w:rsid w:val="00D06AC4"/>
    <w:rsid w:val="00D13CFD"/>
    <w:rsid w:val="00D327FE"/>
    <w:rsid w:val="00D37010"/>
    <w:rsid w:val="00D378D4"/>
    <w:rsid w:val="00D516A9"/>
    <w:rsid w:val="00D536FB"/>
    <w:rsid w:val="00D665A1"/>
    <w:rsid w:val="00D703E1"/>
    <w:rsid w:val="00D72EA2"/>
    <w:rsid w:val="00D73048"/>
    <w:rsid w:val="00D753E2"/>
    <w:rsid w:val="00DA1561"/>
    <w:rsid w:val="00DA18E2"/>
    <w:rsid w:val="00DA606B"/>
    <w:rsid w:val="00DA66D5"/>
    <w:rsid w:val="00DB205D"/>
    <w:rsid w:val="00DB5F4B"/>
    <w:rsid w:val="00DD2890"/>
    <w:rsid w:val="00DD35E3"/>
    <w:rsid w:val="00DE1643"/>
    <w:rsid w:val="00DF2D10"/>
    <w:rsid w:val="00E00CEC"/>
    <w:rsid w:val="00E071A1"/>
    <w:rsid w:val="00E145BF"/>
    <w:rsid w:val="00E15417"/>
    <w:rsid w:val="00E15AF6"/>
    <w:rsid w:val="00E21D1F"/>
    <w:rsid w:val="00E43B7A"/>
    <w:rsid w:val="00E63D3F"/>
    <w:rsid w:val="00E66D15"/>
    <w:rsid w:val="00E82695"/>
    <w:rsid w:val="00E93252"/>
    <w:rsid w:val="00EA0102"/>
    <w:rsid w:val="00EB5337"/>
    <w:rsid w:val="00EB672E"/>
    <w:rsid w:val="00EC3A51"/>
    <w:rsid w:val="00EC72E1"/>
    <w:rsid w:val="00ED29DF"/>
    <w:rsid w:val="00ED374C"/>
    <w:rsid w:val="00ED4D97"/>
    <w:rsid w:val="00EE5E30"/>
    <w:rsid w:val="00EE62FC"/>
    <w:rsid w:val="00EF1356"/>
    <w:rsid w:val="00EF2208"/>
    <w:rsid w:val="00F07339"/>
    <w:rsid w:val="00F153D1"/>
    <w:rsid w:val="00F2071E"/>
    <w:rsid w:val="00F33894"/>
    <w:rsid w:val="00F4617A"/>
    <w:rsid w:val="00F54856"/>
    <w:rsid w:val="00F753FA"/>
    <w:rsid w:val="00F861B1"/>
    <w:rsid w:val="00F904BB"/>
    <w:rsid w:val="00F925C8"/>
    <w:rsid w:val="00F927E3"/>
    <w:rsid w:val="00F93BA6"/>
    <w:rsid w:val="00FA2978"/>
    <w:rsid w:val="00FB17CF"/>
    <w:rsid w:val="00FB35A1"/>
    <w:rsid w:val="00FB44CF"/>
    <w:rsid w:val="00FC0767"/>
    <w:rsid w:val="00FE10DA"/>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4B9A47"/>
  <w15:docId w15:val="{0DF1FF6D-C252-4609-8084-00BBEBCC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62ED"/>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B562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2ED"/>
    <w:rPr>
      <w:rFonts w:ascii="Tahoma" w:hAnsi="Tahoma" w:cs="Tahoma"/>
      <w:sz w:val="16"/>
      <w:szCs w:val="16"/>
    </w:rPr>
  </w:style>
  <w:style w:type="character" w:styleId="Hyperlink">
    <w:name w:val="Hyperlink"/>
    <w:basedOn w:val="Absatz-Standardschriftart"/>
    <w:uiPriority w:val="99"/>
    <w:unhideWhenUsed/>
    <w:rsid w:val="008C18A7"/>
    <w:rPr>
      <w:color w:val="0000FF" w:themeColor="hyperlink"/>
      <w:u w:val="single"/>
    </w:rPr>
  </w:style>
  <w:style w:type="paragraph" w:customStyle="1" w:styleId="doc-ti">
    <w:name w:val="doc-ti"/>
    <w:basedOn w:val="Standard"/>
    <w:rsid w:val="00107C23"/>
    <w:pPr>
      <w:spacing w:before="100" w:beforeAutospacing="1" w:after="100" w:afterAutospacing="1" w:line="240" w:lineRule="auto"/>
    </w:pPr>
    <w:rPr>
      <w:rFonts w:ascii="Times New Roman" w:eastAsia="Times New Roman" w:hAnsi="Times New Roman" w:cs="Times New Roman"/>
      <w:sz w:val="24"/>
      <w:szCs w:val="24"/>
      <w:lang w:eastAsia="fr-LU"/>
    </w:rPr>
  </w:style>
  <w:style w:type="table" w:styleId="Tabellenraster">
    <w:name w:val="Table Grid"/>
    <w:basedOn w:val="NormaleTabelle"/>
    <w:uiPriority w:val="59"/>
    <w:rsid w:val="00C9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E15AF6"/>
    <w:pPr>
      <w:ind w:left="720"/>
      <w:contextualSpacing/>
    </w:pPr>
  </w:style>
  <w:style w:type="character" w:styleId="Kommentarzeichen">
    <w:name w:val="annotation reference"/>
    <w:basedOn w:val="Absatz-Standardschriftart"/>
    <w:uiPriority w:val="99"/>
    <w:semiHidden/>
    <w:unhideWhenUsed/>
    <w:rsid w:val="003D355A"/>
    <w:rPr>
      <w:sz w:val="16"/>
      <w:szCs w:val="16"/>
    </w:rPr>
  </w:style>
  <w:style w:type="paragraph" w:styleId="Kommentartext">
    <w:name w:val="annotation text"/>
    <w:basedOn w:val="Standard"/>
    <w:link w:val="KommentartextZchn"/>
    <w:uiPriority w:val="99"/>
    <w:unhideWhenUsed/>
    <w:rsid w:val="003D355A"/>
    <w:pPr>
      <w:spacing w:line="240" w:lineRule="auto"/>
    </w:pPr>
    <w:rPr>
      <w:sz w:val="20"/>
      <w:szCs w:val="20"/>
    </w:rPr>
  </w:style>
  <w:style w:type="character" w:customStyle="1" w:styleId="KommentartextZchn">
    <w:name w:val="Kommentartext Zchn"/>
    <w:basedOn w:val="Absatz-Standardschriftart"/>
    <w:link w:val="Kommentartext"/>
    <w:uiPriority w:val="99"/>
    <w:rsid w:val="003D355A"/>
    <w:rPr>
      <w:sz w:val="20"/>
      <w:szCs w:val="20"/>
    </w:rPr>
  </w:style>
  <w:style w:type="paragraph" w:styleId="Kommentarthema">
    <w:name w:val="annotation subject"/>
    <w:basedOn w:val="Kommentartext"/>
    <w:next w:val="Kommentartext"/>
    <w:link w:val="KommentarthemaZchn"/>
    <w:uiPriority w:val="99"/>
    <w:semiHidden/>
    <w:unhideWhenUsed/>
    <w:rsid w:val="003D355A"/>
    <w:rPr>
      <w:b/>
      <w:bCs/>
    </w:rPr>
  </w:style>
  <w:style w:type="character" w:customStyle="1" w:styleId="KommentarthemaZchn">
    <w:name w:val="Kommentarthema Zchn"/>
    <w:basedOn w:val="KommentartextZchn"/>
    <w:link w:val="Kommentarthema"/>
    <w:uiPriority w:val="99"/>
    <w:semiHidden/>
    <w:rsid w:val="003D355A"/>
    <w:rPr>
      <w:b/>
      <w:bCs/>
      <w:sz w:val="20"/>
      <w:szCs w:val="20"/>
    </w:rPr>
  </w:style>
  <w:style w:type="paragraph" w:styleId="Kopfzeile">
    <w:name w:val="header"/>
    <w:basedOn w:val="Standard"/>
    <w:link w:val="KopfzeileZchn"/>
    <w:uiPriority w:val="99"/>
    <w:unhideWhenUsed/>
    <w:rsid w:val="00DA606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A606B"/>
  </w:style>
  <w:style w:type="paragraph" w:styleId="Fuzeile">
    <w:name w:val="footer"/>
    <w:basedOn w:val="Standard"/>
    <w:link w:val="FuzeileZchn"/>
    <w:uiPriority w:val="99"/>
    <w:unhideWhenUsed/>
    <w:rsid w:val="00DA606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A606B"/>
  </w:style>
  <w:style w:type="character" w:styleId="BesuchterLink">
    <w:name w:val="FollowedHyperlink"/>
    <w:basedOn w:val="Absatz-Standardschriftart"/>
    <w:uiPriority w:val="99"/>
    <w:semiHidden/>
    <w:unhideWhenUsed/>
    <w:rsid w:val="00A564D6"/>
    <w:rPr>
      <w:color w:val="800080" w:themeColor="followedHyperlink"/>
      <w:u w:val="single"/>
    </w:rPr>
  </w:style>
  <w:style w:type="paragraph" w:styleId="berarbeitung">
    <w:name w:val="Revision"/>
    <w:hidden/>
    <w:uiPriority w:val="99"/>
    <w:semiHidden/>
    <w:rsid w:val="00230BAE"/>
    <w:pPr>
      <w:spacing w:after="0" w:line="240" w:lineRule="auto"/>
    </w:pPr>
  </w:style>
  <w:style w:type="paragraph" w:styleId="Funotentext">
    <w:name w:val="footnote text"/>
    <w:basedOn w:val="Standard"/>
    <w:link w:val="FunotentextZchn"/>
    <w:uiPriority w:val="99"/>
    <w:semiHidden/>
    <w:unhideWhenUsed/>
    <w:rsid w:val="00132E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2EA3"/>
    <w:rPr>
      <w:sz w:val="20"/>
      <w:szCs w:val="20"/>
    </w:rPr>
  </w:style>
  <w:style w:type="character" w:styleId="Funotenzeichen">
    <w:name w:val="footnote reference"/>
    <w:basedOn w:val="Absatz-Standardschriftart"/>
    <w:uiPriority w:val="99"/>
    <w:semiHidden/>
    <w:unhideWhenUsed/>
    <w:rsid w:val="00132EA3"/>
    <w:rPr>
      <w:vertAlign w:val="superscript"/>
    </w:rPr>
  </w:style>
  <w:style w:type="table" w:customStyle="1" w:styleId="PlainTable11">
    <w:name w:val="Plain Table 11"/>
    <w:basedOn w:val="NormaleTabelle"/>
    <w:next w:val="EinfacheTabelle1"/>
    <w:uiPriority w:val="41"/>
    <w:rsid w:val="007474EA"/>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7474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2">
    <w:name w:val="Tabellenraster2"/>
    <w:basedOn w:val="NormaleTabelle"/>
    <w:next w:val="Tabellenraster"/>
    <w:uiPriority w:val="39"/>
    <w:rsid w:val="00DA1561"/>
    <w:pPr>
      <w:spacing w:after="0" w:line="240" w:lineRule="auto"/>
    </w:pPr>
    <w:rPr>
      <w:lang w:val="de-DE"/>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style>
  <w:style w:type="character" w:styleId="Platzhaltertext">
    <w:name w:val="Placeholder Text"/>
    <w:basedOn w:val="Absatz-Standardschriftart"/>
    <w:uiPriority w:val="99"/>
    <w:semiHidden/>
    <w:rsid w:val="0034749E"/>
    <w:rPr>
      <w:color w:val="808080"/>
    </w:rPr>
  </w:style>
  <w:style w:type="paragraph" w:customStyle="1" w:styleId="AOAttachments">
    <w:name w:val="AOAttachments"/>
    <w:basedOn w:val="Standard"/>
    <w:next w:val="Standard"/>
    <w:rsid w:val="00EF1356"/>
    <w:pPr>
      <w:spacing w:before="240" w:after="0" w:line="260" w:lineRule="atLeast"/>
      <w:jc w:val="center"/>
    </w:pPr>
    <w:rPr>
      <w:rFonts w:ascii="Times New Roman" w:eastAsia="SimSun" w:hAnsi="Times New Roman" w:cs="Times New Roman"/>
      <w:caps/>
      <w:lang w:val="en-GB"/>
    </w:rPr>
  </w:style>
  <w:style w:type="paragraph" w:styleId="StandardWeb">
    <w:name w:val="Normal (Web)"/>
    <w:basedOn w:val="Standard"/>
    <w:uiPriority w:val="99"/>
    <w:semiHidden/>
    <w:unhideWhenUsed/>
    <w:rsid w:val="00064F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6918">
      <w:bodyDiv w:val="1"/>
      <w:marLeft w:val="0"/>
      <w:marRight w:val="0"/>
      <w:marTop w:val="0"/>
      <w:marBottom w:val="0"/>
      <w:divBdr>
        <w:top w:val="none" w:sz="0" w:space="0" w:color="auto"/>
        <w:left w:val="none" w:sz="0" w:space="0" w:color="auto"/>
        <w:bottom w:val="none" w:sz="0" w:space="0" w:color="auto"/>
        <w:right w:val="none" w:sz="0" w:space="0" w:color="auto"/>
      </w:divBdr>
    </w:div>
    <w:div w:id="54663866">
      <w:bodyDiv w:val="1"/>
      <w:marLeft w:val="0"/>
      <w:marRight w:val="0"/>
      <w:marTop w:val="0"/>
      <w:marBottom w:val="0"/>
      <w:divBdr>
        <w:top w:val="none" w:sz="0" w:space="0" w:color="auto"/>
        <w:left w:val="none" w:sz="0" w:space="0" w:color="auto"/>
        <w:bottom w:val="none" w:sz="0" w:space="0" w:color="auto"/>
        <w:right w:val="none" w:sz="0" w:space="0" w:color="auto"/>
      </w:divBdr>
    </w:div>
    <w:div w:id="61762190">
      <w:bodyDiv w:val="1"/>
      <w:marLeft w:val="0"/>
      <w:marRight w:val="0"/>
      <w:marTop w:val="0"/>
      <w:marBottom w:val="0"/>
      <w:divBdr>
        <w:top w:val="none" w:sz="0" w:space="0" w:color="auto"/>
        <w:left w:val="none" w:sz="0" w:space="0" w:color="auto"/>
        <w:bottom w:val="none" w:sz="0" w:space="0" w:color="auto"/>
        <w:right w:val="none" w:sz="0" w:space="0" w:color="auto"/>
      </w:divBdr>
    </w:div>
    <w:div w:id="118030868">
      <w:bodyDiv w:val="1"/>
      <w:marLeft w:val="0"/>
      <w:marRight w:val="0"/>
      <w:marTop w:val="0"/>
      <w:marBottom w:val="0"/>
      <w:divBdr>
        <w:top w:val="none" w:sz="0" w:space="0" w:color="auto"/>
        <w:left w:val="none" w:sz="0" w:space="0" w:color="auto"/>
        <w:bottom w:val="none" w:sz="0" w:space="0" w:color="auto"/>
        <w:right w:val="none" w:sz="0" w:space="0" w:color="auto"/>
      </w:divBdr>
    </w:div>
    <w:div w:id="139350146">
      <w:bodyDiv w:val="1"/>
      <w:marLeft w:val="0"/>
      <w:marRight w:val="0"/>
      <w:marTop w:val="0"/>
      <w:marBottom w:val="0"/>
      <w:divBdr>
        <w:top w:val="none" w:sz="0" w:space="0" w:color="auto"/>
        <w:left w:val="none" w:sz="0" w:space="0" w:color="auto"/>
        <w:bottom w:val="none" w:sz="0" w:space="0" w:color="auto"/>
        <w:right w:val="none" w:sz="0" w:space="0" w:color="auto"/>
      </w:divBdr>
    </w:div>
    <w:div w:id="158160874">
      <w:bodyDiv w:val="1"/>
      <w:marLeft w:val="0"/>
      <w:marRight w:val="0"/>
      <w:marTop w:val="0"/>
      <w:marBottom w:val="0"/>
      <w:divBdr>
        <w:top w:val="none" w:sz="0" w:space="0" w:color="auto"/>
        <w:left w:val="none" w:sz="0" w:space="0" w:color="auto"/>
        <w:bottom w:val="none" w:sz="0" w:space="0" w:color="auto"/>
        <w:right w:val="none" w:sz="0" w:space="0" w:color="auto"/>
      </w:divBdr>
    </w:div>
    <w:div w:id="173082164">
      <w:bodyDiv w:val="1"/>
      <w:marLeft w:val="0"/>
      <w:marRight w:val="0"/>
      <w:marTop w:val="0"/>
      <w:marBottom w:val="0"/>
      <w:divBdr>
        <w:top w:val="none" w:sz="0" w:space="0" w:color="auto"/>
        <w:left w:val="none" w:sz="0" w:space="0" w:color="auto"/>
        <w:bottom w:val="none" w:sz="0" w:space="0" w:color="auto"/>
        <w:right w:val="none" w:sz="0" w:space="0" w:color="auto"/>
      </w:divBdr>
    </w:div>
    <w:div w:id="176969800">
      <w:bodyDiv w:val="1"/>
      <w:marLeft w:val="0"/>
      <w:marRight w:val="0"/>
      <w:marTop w:val="0"/>
      <w:marBottom w:val="0"/>
      <w:divBdr>
        <w:top w:val="none" w:sz="0" w:space="0" w:color="auto"/>
        <w:left w:val="none" w:sz="0" w:space="0" w:color="auto"/>
        <w:bottom w:val="none" w:sz="0" w:space="0" w:color="auto"/>
        <w:right w:val="none" w:sz="0" w:space="0" w:color="auto"/>
      </w:divBdr>
    </w:div>
    <w:div w:id="235825013">
      <w:bodyDiv w:val="1"/>
      <w:marLeft w:val="0"/>
      <w:marRight w:val="0"/>
      <w:marTop w:val="0"/>
      <w:marBottom w:val="0"/>
      <w:divBdr>
        <w:top w:val="none" w:sz="0" w:space="0" w:color="auto"/>
        <w:left w:val="none" w:sz="0" w:space="0" w:color="auto"/>
        <w:bottom w:val="none" w:sz="0" w:space="0" w:color="auto"/>
        <w:right w:val="none" w:sz="0" w:space="0" w:color="auto"/>
      </w:divBdr>
    </w:div>
    <w:div w:id="236091191">
      <w:bodyDiv w:val="1"/>
      <w:marLeft w:val="0"/>
      <w:marRight w:val="0"/>
      <w:marTop w:val="0"/>
      <w:marBottom w:val="0"/>
      <w:divBdr>
        <w:top w:val="none" w:sz="0" w:space="0" w:color="auto"/>
        <w:left w:val="none" w:sz="0" w:space="0" w:color="auto"/>
        <w:bottom w:val="none" w:sz="0" w:space="0" w:color="auto"/>
        <w:right w:val="none" w:sz="0" w:space="0" w:color="auto"/>
      </w:divBdr>
    </w:div>
    <w:div w:id="252512613">
      <w:bodyDiv w:val="1"/>
      <w:marLeft w:val="0"/>
      <w:marRight w:val="0"/>
      <w:marTop w:val="0"/>
      <w:marBottom w:val="0"/>
      <w:divBdr>
        <w:top w:val="none" w:sz="0" w:space="0" w:color="auto"/>
        <w:left w:val="none" w:sz="0" w:space="0" w:color="auto"/>
        <w:bottom w:val="none" w:sz="0" w:space="0" w:color="auto"/>
        <w:right w:val="none" w:sz="0" w:space="0" w:color="auto"/>
      </w:divBdr>
    </w:div>
    <w:div w:id="310528143">
      <w:bodyDiv w:val="1"/>
      <w:marLeft w:val="0"/>
      <w:marRight w:val="0"/>
      <w:marTop w:val="0"/>
      <w:marBottom w:val="0"/>
      <w:divBdr>
        <w:top w:val="none" w:sz="0" w:space="0" w:color="auto"/>
        <w:left w:val="none" w:sz="0" w:space="0" w:color="auto"/>
        <w:bottom w:val="none" w:sz="0" w:space="0" w:color="auto"/>
        <w:right w:val="none" w:sz="0" w:space="0" w:color="auto"/>
      </w:divBdr>
    </w:div>
    <w:div w:id="320235391">
      <w:bodyDiv w:val="1"/>
      <w:marLeft w:val="0"/>
      <w:marRight w:val="0"/>
      <w:marTop w:val="0"/>
      <w:marBottom w:val="0"/>
      <w:divBdr>
        <w:top w:val="none" w:sz="0" w:space="0" w:color="auto"/>
        <w:left w:val="none" w:sz="0" w:space="0" w:color="auto"/>
        <w:bottom w:val="none" w:sz="0" w:space="0" w:color="auto"/>
        <w:right w:val="none" w:sz="0" w:space="0" w:color="auto"/>
      </w:divBdr>
    </w:div>
    <w:div w:id="349963152">
      <w:bodyDiv w:val="1"/>
      <w:marLeft w:val="0"/>
      <w:marRight w:val="0"/>
      <w:marTop w:val="0"/>
      <w:marBottom w:val="0"/>
      <w:divBdr>
        <w:top w:val="none" w:sz="0" w:space="0" w:color="auto"/>
        <w:left w:val="none" w:sz="0" w:space="0" w:color="auto"/>
        <w:bottom w:val="none" w:sz="0" w:space="0" w:color="auto"/>
        <w:right w:val="none" w:sz="0" w:space="0" w:color="auto"/>
      </w:divBdr>
    </w:div>
    <w:div w:id="389772275">
      <w:bodyDiv w:val="1"/>
      <w:marLeft w:val="0"/>
      <w:marRight w:val="0"/>
      <w:marTop w:val="0"/>
      <w:marBottom w:val="0"/>
      <w:divBdr>
        <w:top w:val="none" w:sz="0" w:space="0" w:color="auto"/>
        <w:left w:val="none" w:sz="0" w:space="0" w:color="auto"/>
        <w:bottom w:val="none" w:sz="0" w:space="0" w:color="auto"/>
        <w:right w:val="none" w:sz="0" w:space="0" w:color="auto"/>
      </w:divBdr>
    </w:div>
    <w:div w:id="416051953">
      <w:bodyDiv w:val="1"/>
      <w:marLeft w:val="0"/>
      <w:marRight w:val="0"/>
      <w:marTop w:val="0"/>
      <w:marBottom w:val="0"/>
      <w:divBdr>
        <w:top w:val="none" w:sz="0" w:space="0" w:color="auto"/>
        <w:left w:val="none" w:sz="0" w:space="0" w:color="auto"/>
        <w:bottom w:val="none" w:sz="0" w:space="0" w:color="auto"/>
        <w:right w:val="none" w:sz="0" w:space="0" w:color="auto"/>
      </w:divBdr>
    </w:div>
    <w:div w:id="428745166">
      <w:bodyDiv w:val="1"/>
      <w:marLeft w:val="0"/>
      <w:marRight w:val="0"/>
      <w:marTop w:val="0"/>
      <w:marBottom w:val="0"/>
      <w:divBdr>
        <w:top w:val="none" w:sz="0" w:space="0" w:color="auto"/>
        <w:left w:val="none" w:sz="0" w:space="0" w:color="auto"/>
        <w:bottom w:val="none" w:sz="0" w:space="0" w:color="auto"/>
        <w:right w:val="none" w:sz="0" w:space="0" w:color="auto"/>
      </w:divBdr>
    </w:div>
    <w:div w:id="467094138">
      <w:bodyDiv w:val="1"/>
      <w:marLeft w:val="0"/>
      <w:marRight w:val="0"/>
      <w:marTop w:val="0"/>
      <w:marBottom w:val="0"/>
      <w:divBdr>
        <w:top w:val="none" w:sz="0" w:space="0" w:color="auto"/>
        <w:left w:val="none" w:sz="0" w:space="0" w:color="auto"/>
        <w:bottom w:val="none" w:sz="0" w:space="0" w:color="auto"/>
        <w:right w:val="none" w:sz="0" w:space="0" w:color="auto"/>
      </w:divBdr>
    </w:div>
    <w:div w:id="505022957">
      <w:bodyDiv w:val="1"/>
      <w:marLeft w:val="0"/>
      <w:marRight w:val="0"/>
      <w:marTop w:val="0"/>
      <w:marBottom w:val="0"/>
      <w:divBdr>
        <w:top w:val="none" w:sz="0" w:space="0" w:color="auto"/>
        <w:left w:val="none" w:sz="0" w:space="0" w:color="auto"/>
        <w:bottom w:val="none" w:sz="0" w:space="0" w:color="auto"/>
        <w:right w:val="none" w:sz="0" w:space="0" w:color="auto"/>
      </w:divBdr>
    </w:div>
    <w:div w:id="515775835">
      <w:bodyDiv w:val="1"/>
      <w:marLeft w:val="0"/>
      <w:marRight w:val="0"/>
      <w:marTop w:val="0"/>
      <w:marBottom w:val="0"/>
      <w:divBdr>
        <w:top w:val="none" w:sz="0" w:space="0" w:color="auto"/>
        <w:left w:val="none" w:sz="0" w:space="0" w:color="auto"/>
        <w:bottom w:val="none" w:sz="0" w:space="0" w:color="auto"/>
        <w:right w:val="none" w:sz="0" w:space="0" w:color="auto"/>
      </w:divBdr>
    </w:div>
    <w:div w:id="524171096">
      <w:bodyDiv w:val="1"/>
      <w:marLeft w:val="0"/>
      <w:marRight w:val="0"/>
      <w:marTop w:val="0"/>
      <w:marBottom w:val="0"/>
      <w:divBdr>
        <w:top w:val="none" w:sz="0" w:space="0" w:color="auto"/>
        <w:left w:val="none" w:sz="0" w:space="0" w:color="auto"/>
        <w:bottom w:val="none" w:sz="0" w:space="0" w:color="auto"/>
        <w:right w:val="none" w:sz="0" w:space="0" w:color="auto"/>
      </w:divBdr>
    </w:div>
    <w:div w:id="546572144">
      <w:bodyDiv w:val="1"/>
      <w:marLeft w:val="0"/>
      <w:marRight w:val="0"/>
      <w:marTop w:val="0"/>
      <w:marBottom w:val="0"/>
      <w:divBdr>
        <w:top w:val="none" w:sz="0" w:space="0" w:color="auto"/>
        <w:left w:val="none" w:sz="0" w:space="0" w:color="auto"/>
        <w:bottom w:val="none" w:sz="0" w:space="0" w:color="auto"/>
        <w:right w:val="none" w:sz="0" w:space="0" w:color="auto"/>
      </w:divBdr>
    </w:div>
    <w:div w:id="609120139">
      <w:bodyDiv w:val="1"/>
      <w:marLeft w:val="0"/>
      <w:marRight w:val="0"/>
      <w:marTop w:val="0"/>
      <w:marBottom w:val="0"/>
      <w:divBdr>
        <w:top w:val="none" w:sz="0" w:space="0" w:color="auto"/>
        <w:left w:val="none" w:sz="0" w:space="0" w:color="auto"/>
        <w:bottom w:val="none" w:sz="0" w:space="0" w:color="auto"/>
        <w:right w:val="none" w:sz="0" w:space="0" w:color="auto"/>
      </w:divBdr>
    </w:div>
    <w:div w:id="674576621">
      <w:bodyDiv w:val="1"/>
      <w:marLeft w:val="0"/>
      <w:marRight w:val="0"/>
      <w:marTop w:val="0"/>
      <w:marBottom w:val="0"/>
      <w:divBdr>
        <w:top w:val="none" w:sz="0" w:space="0" w:color="auto"/>
        <w:left w:val="none" w:sz="0" w:space="0" w:color="auto"/>
        <w:bottom w:val="none" w:sz="0" w:space="0" w:color="auto"/>
        <w:right w:val="none" w:sz="0" w:space="0" w:color="auto"/>
      </w:divBdr>
    </w:div>
    <w:div w:id="705133404">
      <w:bodyDiv w:val="1"/>
      <w:marLeft w:val="0"/>
      <w:marRight w:val="0"/>
      <w:marTop w:val="0"/>
      <w:marBottom w:val="0"/>
      <w:divBdr>
        <w:top w:val="none" w:sz="0" w:space="0" w:color="auto"/>
        <w:left w:val="none" w:sz="0" w:space="0" w:color="auto"/>
        <w:bottom w:val="none" w:sz="0" w:space="0" w:color="auto"/>
        <w:right w:val="none" w:sz="0" w:space="0" w:color="auto"/>
      </w:divBdr>
    </w:div>
    <w:div w:id="714044754">
      <w:bodyDiv w:val="1"/>
      <w:marLeft w:val="0"/>
      <w:marRight w:val="0"/>
      <w:marTop w:val="0"/>
      <w:marBottom w:val="0"/>
      <w:divBdr>
        <w:top w:val="none" w:sz="0" w:space="0" w:color="auto"/>
        <w:left w:val="none" w:sz="0" w:space="0" w:color="auto"/>
        <w:bottom w:val="none" w:sz="0" w:space="0" w:color="auto"/>
        <w:right w:val="none" w:sz="0" w:space="0" w:color="auto"/>
      </w:divBdr>
    </w:div>
    <w:div w:id="735904591">
      <w:bodyDiv w:val="1"/>
      <w:marLeft w:val="0"/>
      <w:marRight w:val="0"/>
      <w:marTop w:val="0"/>
      <w:marBottom w:val="0"/>
      <w:divBdr>
        <w:top w:val="none" w:sz="0" w:space="0" w:color="auto"/>
        <w:left w:val="none" w:sz="0" w:space="0" w:color="auto"/>
        <w:bottom w:val="none" w:sz="0" w:space="0" w:color="auto"/>
        <w:right w:val="none" w:sz="0" w:space="0" w:color="auto"/>
      </w:divBdr>
    </w:div>
    <w:div w:id="780495711">
      <w:bodyDiv w:val="1"/>
      <w:marLeft w:val="0"/>
      <w:marRight w:val="0"/>
      <w:marTop w:val="0"/>
      <w:marBottom w:val="0"/>
      <w:divBdr>
        <w:top w:val="none" w:sz="0" w:space="0" w:color="auto"/>
        <w:left w:val="none" w:sz="0" w:space="0" w:color="auto"/>
        <w:bottom w:val="none" w:sz="0" w:space="0" w:color="auto"/>
        <w:right w:val="none" w:sz="0" w:space="0" w:color="auto"/>
      </w:divBdr>
    </w:div>
    <w:div w:id="816605864">
      <w:bodyDiv w:val="1"/>
      <w:marLeft w:val="0"/>
      <w:marRight w:val="0"/>
      <w:marTop w:val="0"/>
      <w:marBottom w:val="0"/>
      <w:divBdr>
        <w:top w:val="none" w:sz="0" w:space="0" w:color="auto"/>
        <w:left w:val="none" w:sz="0" w:space="0" w:color="auto"/>
        <w:bottom w:val="none" w:sz="0" w:space="0" w:color="auto"/>
        <w:right w:val="none" w:sz="0" w:space="0" w:color="auto"/>
      </w:divBdr>
    </w:div>
    <w:div w:id="826895686">
      <w:bodyDiv w:val="1"/>
      <w:marLeft w:val="0"/>
      <w:marRight w:val="0"/>
      <w:marTop w:val="0"/>
      <w:marBottom w:val="0"/>
      <w:divBdr>
        <w:top w:val="none" w:sz="0" w:space="0" w:color="auto"/>
        <w:left w:val="none" w:sz="0" w:space="0" w:color="auto"/>
        <w:bottom w:val="none" w:sz="0" w:space="0" w:color="auto"/>
        <w:right w:val="none" w:sz="0" w:space="0" w:color="auto"/>
      </w:divBdr>
    </w:div>
    <w:div w:id="885138555">
      <w:bodyDiv w:val="1"/>
      <w:marLeft w:val="0"/>
      <w:marRight w:val="0"/>
      <w:marTop w:val="0"/>
      <w:marBottom w:val="0"/>
      <w:divBdr>
        <w:top w:val="none" w:sz="0" w:space="0" w:color="auto"/>
        <w:left w:val="none" w:sz="0" w:space="0" w:color="auto"/>
        <w:bottom w:val="none" w:sz="0" w:space="0" w:color="auto"/>
        <w:right w:val="none" w:sz="0" w:space="0" w:color="auto"/>
      </w:divBdr>
    </w:div>
    <w:div w:id="895120149">
      <w:bodyDiv w:val="1"/>
      <w:marLeft w:val="0"/>
      <w:marRight w:val="0"/>
      <w:marTop w:val="0"/>
      <w:marBottom w:val="0"/>
      <w:divBdr>
        <w:top w:val="none" w:sz="0" w:space="0" w:color="auto"/>
        <w:left w:val="none" w:sz="0" w:space="0" w:color="auto"/>
        <w:bottom w:val="none" w:sz="0" w:space="0" w:color="auto"/>
        <w:right w:val="none" w:sz="0" w:space="0" w:color="auto"/>
      </w:divBdr>
    </w:div>
    <w:div w:id="898245395">
      <w:bodyDiv w:val="1"/>
      <w:marLeft w:val="0"/>
      <w:marRight w:val="0"/>
      <w:marTop w:val="0"/>
      <w:marBottom w:val="0"/>
      <w:divBdr>
        <w:top w:val="none" w:sz="0" w:space="0" w:color="auto"/>
        <w:left w:val="none" w:sz="0" w:space="0" w:color="auto"/>
        <w:bottom w:val="none" w:sz="0" w:space="0" w:color="auto"/>
        <w:right w:val="none" w:sz="0" w:space="0" w:color="auto"/>
      </w:divBdr>
    </w:div>
    <w:div w:id="924925130">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70593437">
      <w:bodyDiv w:val="1"/>
      <w:marLeft w:val="0"/>
      <w:marRight w:val="0"/>
      <w:marTop w:val="0"/>
      <w:marBottom w:val="0"/>
      <w:divBdr>
        <w:top w:val="none" w:sz="0" w:space="0" w:color="auto"/>
        <w:left w:val="none" w:sz="0" w:space="0" w:color="auto"/>
        <w:bottom w:val="none" w:sz="0" w:space="0" w:color="auto"/>
        <w:right w:val="none" w:sz="0" w:space="0" w:color="auto"/>
      </w:divBdr>
    </w:div>
    <w:div w:id="1019232026">
      <w:bodyDiv w:val="1"/>
      <w:marLeft w:val="0"/>
      <w:marRight w:val="0"/>
      <w:marTop w:val="0"/>
      <w:marBottom w:val="0"/>
      <w:divBdr>
        <w:top w:val="none" w:sz="0" w:space="0" w:color="auto"/>
        <w:left w:val="none" w:sz="0" w:space="0" w:color="auto"/>
        <w:bottom w:val="none" w:sz="0" w:space="0" w:color="auto"/>
        <w:right w:val="none" w:sz="0" w:space="0" w:color="auto"/>
      </w:divBdr>
    </w:div>
    <w:div w:id="1026368725">
      <w:bodyDiv w:val="1"/>
      <w:marLeft w:val="0"/>
      <w:marRight w:val="0"/>
      <w:marTop w:val="0"/>
      <w:marBottom w:val="0"/>
      <w:divBdr>
        <w:top w:val="none" w:sz="0" w:space="0" w:color="auto"/>
        <w:left w:val="none" w:sz="0" w:space="0" w:color="auto"/>
        <w:bottom w:val="none" w:sz="0" w:space="0" w:color="auto"/>
        <w:right w:val="none" w:sz="0" w:space="0" w:color="auto"/>
      </w:divBdr>
    </w:div>
    <w:div w:id="1043090365">
      <w:bodyDiv w:val="1"/>
      <w:marLeft w:val="0"/>
      <w:marRight w:val="0"/>
      <w:marTop w:val="0"/>
      <w:marBottom w:val="0"/>
      <w:divBdr>
        <w:top w:val="none" w:sz="0" w:space="0" w:color="auto"/>
        <w:left w:val="none" w:sz="0" w:space="0" w:color="auto"/>
        <w:bottom w:val="none" w:sz="0" w:space="0" w:color="auto"/>
        <w:right w:val="none" w:sz="0" w:space="0" w:color="auto"/>
      </w:divBdr>
    </w:div>
    <w:div w:id="1053315724">
      <w:bodyDiv w:val="1"/>
      <w:marLeft w:val="0"/>
      <w:marRight w:val="0"/>
      <w:marTop w:val="0"/>
      <w:marBottom w:val="0"/>
      <w:divBdr>
        <w:top w:val="none" w:sz="0" w:space="0" w:color="auto"/>
        <w:left w:val="none" w:sz="0" w:space="0" w:color="auto"/>
        <w:bottom w:val="none" w:sz="0" w:space="0" w:color="auto"/>
        <w:right w:val="none" w:sz="0" w:space="0" w:color="auto"/>
      </w:divBdr>
    </w:div>
    <w:div w:id="1101756825">
      <w:bodyDiv w:val="1"/>
      <w:marLeft w:val="0"/>
      <w:marRight w:val="0"/>
      <w:marTop w:val="0"/>
      <w:marBottom w:val="0"/>
      <w:divBdr>
        <w:top w:val="none" w:sz="0" w:space="0" w:color="auto"/>
        <w:left w:val="none" w:sz="0" w:space="0" w:color="auto"/>
        <w:bottom w:val="none" w:sz="0" w:space="0" w:color="auto"/>
        <w:right w:val="none" w:sz="0" w:space="0" w:color="auto"/>
      </w:divBdr>
    </w:div>
    <w:div w:id="1101876437">
      <w:bodyDiv w:val="1"/>
      <w:marLeft w:val="0"/>
      <w:marRight w:val="0"/>
      <w:marTop w:val="0"/>
      <w:marBottom w:val="0"/>
      <w:divBdr>
        <w:top w:val="none" w:sz="0" w:space="0" w:color="auto"/>
        <w:left w:val="none" w:sz="0" w:space="0" w:color="auto"/>
        <w:bottom w:val="none" w:sz="0" w:space="0" w:color="auto"/>
        <w:right w:val="none" w:sz="0" w:space="0" w:color="auto"/>
      </w:divBdr>
    </w:div>
    <w:div w:id="1189678026">
      <w:bodyDiv w:val="1"/>
      <w:marLeft w:val="0"/>
      <w:marRight w:val="0"/>
      <w:marTop w:val="0"/>
      <w:marBottom w:val="0"/>
      <w:divBdr>
        <w:top w:val="none" w:sz="0" w:space="0" w:color="auto"/>
        <w:left w:val="none" w:sz="0" w:space="0" w:color="auto"/>
        <w:bottom w:val="none" w:sz="0" w:space="0" w:color="auto"/>
        <w:right w:val="none" w:sz="0" w:space="0" w:color="auto"/>
      </w:divBdr>
    </w:div>
    <w:div w:id="1207327829">
      <w:bodyDiv w:val="1"/>
      <w:marLeft w:val="0"/>
      <w:marRight w:val="0"/>
      <w:marTop w:val="0"/>
      <w:marBottom w:val="0"/>
      <w:divBdr>
        <w:top w:val="none" w:sz="0" w:space="0" w:color="auto"/>
        <w:left w:val="none" w:sz="0" w:space="0" w:color="auto"/>
        <w:bottom w:val="none" w:sz="0" w:space="0" w:color="auto"/>
        <w:right w:val="none" w:sz="0" w:space="0" w:color="auto"/>
      </w:divBdr>
    </w:div>
    <w:div w:id="1398279041">
      <w:bodyDiv w:val="1"/>
      <w:marLeft w:val="0"/>
      <w:marRight w:val="0"/>
      <w:marTop w:val="0"/>
      <w:marBottom w:val="0"/>
      <w:divBdr>
        <w:top w:val="none" w:sz="0" w:space="0" w:color="auto"/>
        <w:left w:val="none" w:sz="0" w:space="0" w:color="auto"/>
        <w:bottom w:val="none" w:sz="0" w:space="0" w:color="auto"/>
        <w:right w:val="none" w:sz="0" w:space="0" w:color="auto"/>
      </w:divBdr>
    </w:div>
    <w:div w:id="1441607663">
      <w:bodyDiv w:val="1"/>
      <w:marLeft w:val="0"/>
      <w:marRight w:val="0"/>
      <w:marTop w:val="0"/>
      <w:marBottom w:val="0"/>
      <w:divBdr>
        <w:top w:val="none" w:sz="0" w:space="0" w:color="auto"/>
        <w:left w:val="none" w:sz="0" w:space="0" w:color="auto"/>
        <w:bottom w:val="none" w:sz="0" w:space="0" w:color="auto"/>
        <w:right w:val="none" w:sz="0" w:space="0" w:color="auto"/>
      </w:divBdr>
    </w:div>
    <w:div w:id="1471752147">
      <w:bodyDiv w:val="1"/>
      <w:marLeft w:val="0"/>
      <w:marRight w:val="0"/>
      <w:marTop w:val="0"/>
      <w:marBottom w:val="0"/>
      <w:divBdr>
        <w:top w:val="none" w:sz="0" w:space="0" w:color="auto"/>
        <w:left w:val="none" w:sz="0" w:space="0" w:color="auto"/>
        <w:bottom w:val="none" w:sz="0" w:space="0" w:color="auto"/>
        <w:right w:val="none" w:sz="0" w:space="0" w:color="auto"/>
      </w:divBdr>
    </w:div>
    <w:div w:id="1531188615">
      <w:bodyDiv w:val="1"/>
      <w:marLeft w:val="0"/>
      <w:marRight w:val="0"/>
      <w:marTop w:val="0"/>
      <w:marBottom w:val="0"/>
      <w:divBdr>
        <w:top w:val="none" w:sz="0" w:space="0" w:color="auto"/>
        <w:left w:val="none" w:sz="0" w:space="0" w:color="auto"/>
        <w:bottom w:val="none" w:sz="0" w:space="0" w:color="auto"/>
        <w:right w:val="none" w:sz="0" w:space="0" w:color="auto"/>
      </w:divBdr>
    </w:div>
    <w:div w:id="1575124661">
      <w:bodyDiv w:val="1"/>
      <w:marLeft w:val="0"/>
      <w:marRight w:val="0"/>
      <w:marTop w:val="0"/>
      <w:marBottom w:val="0"/>
      <w:divBdr>
        <w:top w:val="none" w:sz="0" w:space="0" w:color="auto"/>
        <w:left w:val="none" w:sz="0" w:space="0" w:color="auto"/>
        <w:bottom w:val="none" w:sz="0" w:space="0" w:color="auto"/>
        <w:right w:val="none" w:sz="0" w:space="0" w:color="auto"/>
      </w:divBdr>
    </w:div>
    <w:div w:id="1629119892">
      <w:bodyDiv w:val="1"/>
      <w:marLeft w:val="0"/>
      <w:marRight w:val="0"/>
      <w:marTop w:val="0"/>
      <w:marBottom w:val="0"/>
      <w:divBdr>
        <w:top w:val="none" w:sz="0" w:space="0" w:color="auto"/>
        <w:left w:val="none" w:sz="0" w:space="0" w:color="auto"/>
        <w:bottom w:val="none" w:sz="0" w:space="0" w:color="auto"/>
        <w:right w:val="none" w:sz="0" w:space="0" w:color="auto"/>
      </w:divBdr>
    </w:div>
    <w:div w:id="1632662371">
      <w:bodyDiv w:val="1"/>
      <w:marLeft w:val="0"/>
      <w:marRight w:val="0"/>
      <w:marTop w:val="0"/>
      <w:marBottom w:val="0"/>
      <w:divBdr>
        <w:top w:val="none" w:sz="0" w:space="0" w:color="auto"/>
        <w:left w:val="none" w:sz="0" w:space="0" w:color="auto"/>
        <w:bottom w:val="none" w:sz="0" w:space="0" w:color="auto"/>
        <w:right w:val="none" w:sz="0" w:space="0" w:color="auto"/>
      </w:divBdr>
    </w:div>
    <w:div w:id="1653943822">
      <w:bodyDiv w:val="1"/>
      <w:marLeft w:val="0"/>
      <w:marRight w:val="0"/>
      <w:marTop w:val="0"/>
      <w:marBottom w:val="0"/>
      <w:divBdr>
        <w:top w:val="none" w:sz="0" w:space="0" w:color="auto"/>
        <w:left w:val="none" w:sz="0" w:space="0" w:color="auto"/>
        <w:bottom w:val="none" w:sz="0" w:space="0" w:color="auto"/>
        <w:right w:val="none" w:sz="0" w:space="0" w:color="auto"/>
      </w:divBdr>
    </w:div>
    <w:div w:id="1663583524">
      <w:bodyDiv w:val="1"/>
      <w:marLeft w:val="0"/>
      <w:marRight w:val="0"/>
      <w:marTop w:val="0"/>
      <w:marBottom w:val="0"/>
      <w:divBdr>
        <w:top w:val="none" w:sz="0" w:space="0" w:color="auto"/>
        <w:left w:val="none" w:sz="0" w:space="0" w:color="auto"/>
        <w:bottom w:val="none" w:sz="0" w:space="0" w:color="auto"/>
        <w:right w:val="none" w:sz="0" w:space="0" w:color="auto"/>
      </w:divBdr>
    </w:div>
    <w:div w:id="1706059041">
      <w:bodyDiv w:val="1"/>
      <w:marLeft w:val="0"/>
      <w:marRight w:val="0"/>
      <w:marTop w:val="0"/>
      <w:marBottom w:val="0"/>
      <w:divBdr>
        <w:top w:val="none" w:sz="0" w:space="0" w:color="auto"/>
        <w:left w:val="none" w:sz="0" w:space="0" w:color="auto"/>
        <w:bottom w:val="none" w:sz="0" w:space="0" w:color="auto"/>
        <w:right w:val="none" w:sz="0" w:space="0" w:color="auto"/>
      </w:divBdr>
    </w:div>
    <w:div w:id="1708604830">
      <w:bodyDiv w:val="1"/>
      <w:marLeft w:val="0"/>
      <w:marRight w:val="0"/>
      <w:marTop w:val="0"/>
      <w:marBottom w:val="0"/>
      <w:divBdr>
        <w:top w:val="none" w:sz="0" w:space="0" w:color="auto"/>
        <w:left w:val="none" w:sz="0" w:space="0" w:color="auto"/>
        <w:bottom w:val="none" w:sz="0" w:space="0" w:color="auto"/>
        <w:right w:val="none" w:sz="0" w:space="0" w:color="auto"/>
      </w:divBdr>
    </w:div>
    <w:div w:id="1759324392">
      <w:bodyDiv w:val="1"/>
      <w:marLeft w:val="0"/>
      <w:marRight w:val="0"/>
      <w:marTop w:val="0"/>
      <w:marBottom w:val="0"/>
      <w:divBdr>
        <w:top w:val="none" w:sz="0" w:space="0" w:color="auto"/>
        <w:left w:val="none" w:sz="0" w:space="0" w:color="auto"/>
        <w:bottom w:val="none" w:sz="0" w:space="0" w:color="auto"/>
        <w:right w:val="none" w:sz="0" w:space="0" w:color="auto"/>
      </w:divBdr>
    </w:div>
    <w:div w:id="1760562066">
      <w:bodyDiv w:val="1"/>
      <w:marLeft w:val="0"/>
      <w:marRight w:val="0"/>
      <w:marTop w:val="0"/>
      <w:marBottom w:val="0"/>
      <w:divBdr>
        <w:top w:val="none" w:sz="0" w:space="0" w:color="auto"/>
        <w:left w:val="none" w:sz="0" w:space="0" w:color="auto"/>
        <w:bottom w:val="none" w:sz="0" w:space="0" w:color="auto"/>
        <w:right w:val="none" w:sz="0" w:space="0" w:color="auto"/>
      </w:divBdr>
    </w:div>
    <w:div w:id="1767461983">
      <w:bodyDiv w:val="1"/>
      <w:marLeft w:val="0"/>
      <w:marRight w:val="0"/>
      <w:marTop w:val="0"/>
      <w:marBottom w:val="0"/>
      <w:divBdr>
        <w:top w:val="none" w:sz="0" w:space="0" w:color="auto"/>
        <w:left w:val="none" w:sz="0" w:space="0" w:color="auto"/>
        <w:bottom w:val="none" w:sz="0" w:space="0" w:color="auto"/>
        <w:right w:val="none" w:sz="0" w:space="0" w:color="auto"/>
      </w:divBdr>
    </w:div>
    <w:div w:id="1774592968">
      <w:bodyDiv w:val="1"/>
      <w:marLeft w:val="0"/>
      <w:marRight w:val="0"/>
      <w:marTop w:val="0"/>
      <w:marBottom w:val="0"/>
      <w:divBdr>
        <w:top w:val="none" w:sz="0" w:space="0" w:color="auto"/>
        <w:left w:val="none" w:sz="0" w:space="0" w:color="auto"/>
        <w:bottom w:val="none" w:sz="0" w:space="0" w:color="auto"/>
        <w:right w:val="none" w:sz="0" w:space="0" w:color="auto"/>
      </w:divBdr>
    </w:div>
    <w:div w:id="1794708342">
      <w:bodyDiv w:val="1"/>
      <w:marLeft w:val="0"/>
      <w:marRight w:val="0"/>
      <w:marTop w:val="0"/>
      <w:marBottom w:val="0"/>
      <w:divBdr>
        <w:top w:val="none" w:sz="0" w:space="0" w:color="auto"/>
        <w:left w:val="none" w:sz="0" w:space="0" w:color="auto"/>
        <w:bottom w:val="none" w:sz="0" w:space="0" w:color="auto"/>
        <w:right w:val="none" w:sz="0" w:space="0" w:color="auto"/>
      </w:divBdr>
    </w:div>
    <w:div w:id="1822651160">
      <w:bodyDiv w:val="1"/>
      <w:marLeft w:val="0"/>
      <w:marRight w:val="0"/>
      <w:marTop w:val="0"/>
      <w:marBottom w:val="0"/>
      <w:divBdr>
        <w:top w:val="none" w:sz="0" w:space="0" w:color="auto"/>
        <w:left w:val="none" w:sz="0" w:space="0" w:color="auto"/>
        <w:bottom w:val="none" w:sz="0" w:space="0" w:color="auto"/>
        <w:right w:val="none" w:sz="0" w:space="0" w:color="auto"/>
      </w:divBdr>
    </w:div>
    <w:div w:id="1914386775">
      <w:bodyDiv w:val="1"/>
      <w:marLeft w:val="0"/>
      <w:marRight w:val="0"/>
      <w:marTop w:val="0"/>
      <w:marBottom w:val="0"/>
      <w:divBdr>
        <w:top w:val="none" w:sz="0" w:space="0" w:color="auto"/>
        <w:left w:val="none" w:sz="0" w:space="0" w:color="auto"/>
        <w:bottom w:val="none" w:sz="0" w:space="0" w:color="auto"/>
        <w:right w:val="none" w:sz="0" w:space="0" w:color="auto"/>
      </w:divBdr>
    </w:div>
    <w:div w:id="1989548658">
      <w:bodyDiv w:val="1"/>
      <w:marLeft w:val="0"/>
      <w:marRight w:val="0"/>
      <w:marTop w:val="0"/>
      <w:marBottom w:val="0"/>
      <w:divBdr>
        <w:top w:val="none" w:sz="0" w:space="0" w:color="auto"/>
        <w:left w:val="none" w:sz="0" w:space="0" w:color="auto"/>
        <w:bottom w:val="none" w:sz="0" w:space="0" w:color="auto"/>
        <w:right w:val="none" w:sz="0" w:space="0" w:color="auto"/>
      </w:divBdr>
    </w:div>
    <w:div w:id="2026973998">
      <w:bodyDiv w:val="1"/>
      <w:marLeft w:val="0"/>
      <w:marRight w:val="0"/>
      <w:marTop w:val="0"/>
      <w:marBottom w:val="0"/>
      <w:divBdr>
        <w:top w:val="none" w:sz="0" w:space="0" w:color="auto"/>
        <w:left w:val="none" w:sz="0" w:space="0" w:color="auto"/>
        <w:bottom w:val="none" w:sz="0" w:space="0" w:color="auto"/>
        <w:right w:val="none" w:sz="0" w:space="0" w:color="auto"/>
      </w:divBdr>
    </w:div>
    <w:div w:id="2050063755">
      <w:bodyDiv w:val="1"/>
      <w:marLeft w:val="0"/>
      <w:marRight w:val="0"/>
      <w:marTop w:val="0"/>
      <w:marBottom w:val="0"/>
      <w:divBdr>
        <w:top w:val="none" w:sz="0" w:space="0" w:color="auto"/>
        <w:left w:val="none" w:sz="0" w:space="0" w:color="auto"/>
        <w:bottom w:val="none" w:sz="0" w:space="0" w:color="auto"/>
        <w:right w:val="none" w:sz="0" w:space="0" w:color="auto"/>
      </w:divBdr>
    </w:div>
    <w:div w:id="2115708147">
      <w:bodyDiv w:val="1"/>
      <w:marLeft w:val="0"/>
      <w:marRight w:val="0"/>
      <w:marTop w:val="0"/>
      <w:marBottom w:val="0"/>
      <w:divBdr>
        <w:top w:val="none" w:sz="0" w:space="0" w:color="auto"/>
        <w:left w:val="none" w:sz="0" w:space="0" w:color="auto"/>
        <w:bottom w:val="none" w:sz="0" w:space="0" w:color="auto"/>
        <w:right w:val="none" w:sz="0" w:space="0" w:color="auto"/>
      </w:divBdr>
    </w:div>
    <w:div w:id="2118715721">
      <w:bodyDiv w:val="1"/>
      <w:marLeft w:val="0"/>
      <w:marRight w:val="0"/>
      <w:marTop w:val="0"/>
      <w:marBottom w:val="0"/>
      <w:divBdr>
        <w:top w:val="none" w:sz="0" w:space="0" w:color="auto"/>
        <w:left w:val="none" w:sz="0" w:space="0" w:color="auto"/>
        <w:bottom w:val="none" w:sz="0" w:space="0" w:color="auto"/>
        <w:right w:val="none" w:sz="0" w:space="0" w:color="auto"/>
      </w:divBdr>
    </w:div>
    <w:div w:id="21296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hart" Target="charts/chart2.xm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hart" Target="charts/chart1.xm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image" Target="media/image6.tmp" Id="rId16" /><Relationship Type="http://schemas.openxmlformats.org/officeDocument/2006/relationships/image" Target="media/image8.png"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2.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1.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0.png"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5.xml" Id="imanage.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latin typeface="Arial" panose="020B0604020202020204" pitchFamily="34" charset="0"/>
                <a:cs typeface="Arial" panose="020B0604020202020204" pitchFamily="34" charset="0"/>
              </a:rPr>
              <a:t>1. Taxonomy-alignment</a:t>
            </a:r>
            <a:r>
              <a:rPr lang="en-US" sz="800" baseline="0">
                <a:latin typeface="Arial" panose="020B0604020202020204" pitchFamily="34" charset="0"/>
                <a:cs typeface="Arial" panose="020B0604020202020204" pitchFamily="34" charset="0"/>
              </a:rPr>
              <a:t> of </a:t>
            </a:r>
            <a:r>
              <a:rPr lang="en-US" sz="800">
                <a:latin typeface="Arial" panose="020B0604020202020204" pitchFamily="34" charset="0"/>
                <a:cs typeface="Arial" panose="020B0604020202020204" pitchFamily="34" charset="0"/>
              </a:rPr>
              <a:t>investments </a:t>
            </a:r>
            <a:r>
              <a:rPr lang="en-US" sz="800" b="1">
                <a:latin typeface="Arial" panose="020B0604020202020204" pitchFamily="34" charset="0"/>
                <a:cs typeface="Arial" panose="020B0604020202020204" pitchFamily="34" charset="0"/>
              </a:rPr>
              <a:t>including sovereign</a:t>
            </a:r>
            <a:r>
              <a:rPr lang="en-US" sz="800" b="1" baseline="0">
                <a:latin typeface="Arial" panose="020B0604020202020204" pitchFamily="34" charset="0"/>
                <a:cs typeface="Arial" panose="020B0604020202020204" pitchFamily="34" charset="0"/>
              </a:rPr>
              <a:t> bonds*</a:t>
            </a:r>
            <a:endParaRPr lang="en-US" sz="1100" b="1">
              <a:latin typeface="Arial" panose="020B0604020202020204" pitchFamily="34" charset="0"/>
              <a:cs typeface="Arial" panose="020B0604020202020204" pitchFamily="34" charset="0"/>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Sheet1!$B$1</c:f>
              <c:strCache>
                <c:ptCount val="1"/>
                <c:pt idx="0">
                  <c:v>Taxonomy-aligned investments </c:v>
                </c:pt>
              </c:strCache>
            </c:strRef>
          </c:tx>
          <c:dPt>
            <c:idx val="0"/>
            <c:bubble3D val="0"/>
            <c:spPr>
              <a:solidFill>
                <a:srgbClr val="99C221"/>
              </a:solidFill>
              <a:ln w="19050">
                <a:solidFill>
                  <a:schemeClr val="lt1"/>
                </a:solidFill>
              </a:ln>
              <a:effectLst/>
            </c:spPr>
            <c:extLst>
              <c:ext xmlns:c16="http://schemas.microsoft.com/office/drawing/2014/chart" uri="{C3380CC4-5D6E-409C-BE32-E72D297353CC}">
                <c16:uniqueId val="{00000001-06CE-4923-9FB7-564E7779A1B5}"/>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06CE-4923-9FB7-564E7779A1B5}"/>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e-DE"/>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CE-4923-9FB7-564E7779A1B5}"/>
                </c:ext>
              </c:extLst>
            </c:dLbl>
            <c:dLbl>
              <c:idx val="1"/>
              <c:tx>
                <c:rich>
                  <a:bodyPr/>
                  <a:lstStyle/>
                  <a:p>
                    <a:r>
                      <a:rPr lang="en-US"/>
                      <a:t>100%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CE-4923-9FB7-564E7779A1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0</c:v>
                </c:pt>
                <c:pt idx="1">
                  <c:v>2</c:v>
                </c:pt>
              </c:numCache>
            </c:numRef>
          </c:val>
          <c:extLst>
            <c:ext xmlns:c16="http://schemas.microsoft.com/office/drawing/2014/chart" uri="{C3380CC4-5D6E-409C-BE32-E72D297353CC}">
              <c16:uniqueId val="{00000004-06CE-4923-9FB7-564E7779A1B5}"/>
            </c:ext>
          </c:extLst>
        </c:ser>
        <c:dLbls>
          <c:showLegendKey val="0"/>
          <c:showVal val="1"/>
          <c:showCatName val="0"/>
          <c:showSerName val="0"/>
          <c:showPercent val="0"/>
          <c:showBubbleSize val="0"/>
          <c:showLeaderLines val="1"/>
        </c:dLbls>
        <c:firstSliceAng val="0"/>
      </c:pieChart>
      <c:spPr>
        <a:noFill/>
        <a:ln>
          <a:noFill/>
        </a:ln>
        <a:effectLst/>
      </c:spPr>
    </c:plotArea>
    <c:legend>
      <c:legendPos val="l"/>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Entry>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2. Taxonomy-alignment</a:t>
            </a:r>
            <a:r>
              <a:rPr lang="en-US" sz="800" baseline="0">
                <a:latin typeface="Arial" panose="020B0604020202020204" pitchFamily="34" charset="0"/>
                <a:cs typeface="Arial" panose="020B0604020202020204" pitchFamily="34" charset="0"/>
              </a:rPr>
              <a:t> of </a:t>
            </a:r>
            <a:r>
              <a:rPr lang="en-US" sz="800">
                <a:latin typeface="Arial" panose="020B0604020202020204" pitchFamily="34" charset="0"/>
                <a:cs typeface="Arial" panose="020B0604020202020204" pitchFamily="34" charset="0"/>
              </a:rPr>
              <a:t>investments </a:t>
            </a:r>
            <a:r>
              <a:rPr lang="en-US" sz="800" b="1">
                <a:latin typeface="Arial" panose="020B0604020202020204" pitchFamily="34" charset="0"/>
                <a:cs typeface="Arial" panose="020B0604020202020204" pitchFamily="34" charset="0"/>
              </a:rPr>
              <a:t>excluding sovereign</a:t>
            </a:r>
            <a:r>
              <a:rPr lang="en-US" sz="800" b="1" baseline="0">
                <a:latin typeface="Arial" panose="020B0604020202020204" pitchFamily="34" charset="0"/>
                <a:cs typeface="Arial" panose="020B0604020202020204" pitchFamily="34" charset="0"/>
              </a:rPr>
              <a:t> bonds*</a:t>
            </a:r>
            <a:endParaRPr lang="en-US" sz="1100" b="1">
              <a:latin typeface="Arial" panose="020B0604020202020204" pitchFamily="34" charset="0"/>
              <a:cs typeface="Arial" panose="020B0604020202020204" pitchFamily="34" charset="0"/>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Sheet1!$B$1</c:f>
              <c:strCache>
                <c:ptCount val="1"/>
                <c:pt idx="0">
                  <c:v>Taxonomy-aligned investments </c:v>
                </c:pt>
              </c:strCache>
            </c:strRef>
          </c:tx>
          <c:dPt>
            <c:idx val="0"/>
            <c:bubble3D val="0"/>
            <c:spPr>
              <a:solidFill>
                <a:srgbClr val="99C221"/>
              </a:solidFill>
              <a:ln w="19050">
                <a:solidFill>
                  <a:schemeClr val="lt1"/>
                </a:solidFill>
              </a:ln>
              <a:effectLst/>
            </c:spPr>
            <c:extLst>
              <c:ext xmlns:c16="http://schemas.microsoft.com/office/drawing/2014/chart" uri="{C3380CC4-5D6E-409C-BE32-E72D297353CC}">
                <c16:uniqueId val="{00000001-DD4F-4344-9AFD-C6F1B19859F6}"/>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DD4F-4344-9AFD-C6F1B19859F6}"/>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e-DE"/>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4F-4344-9AFD-C6F1B19859F6}"/>
                </c:ext>
              </c:extLst>
            </c:dLbl>
            <c:dLbl>
              <c:idx val="1"/>
              <c:tx>
                <c:rich>
                  <a:bodyPr/>
                  <a:lstStyle/>
                  <a:p>
                    <a:r>
                      <a:rPr lang="en-US"/>
                      <a:t>100%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4F-4344-9AFD-C6F1B1985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0</c:v>
                </c:pt>
                <c:pt idx="1">
                  <c:v>1</c:v>
                </c:pt>
              </c:numCache>
            </c:numRef>
          </c:val>
          <c:extLst>
            <c:ext xmlns:c16="http://schemas.microsoft.com/office/drawing/2014/chart" uri="{C3380CC4-5D6E-409C-BE32-E72D297353CC}">
              <c16:uniqueId val="{00000004-DD4F-4344-9AFD-C6F1B19859F6}"/>
            </c:ext>
          </c:extLst>
        </c:ser>
        <c:dLbls>
          <c:showLegendKey val="0"/>
          <c:showVal val="1"/>
          <c:showCatName val="0"/>
          <c:showSerName val="0"/>
          <c:showPercent val="0"/>
          <c:showBubbleSize val="0"/>
          <c:showLeaderLines val="1"/>
        </c:dLbls>
        <c:firstSliceAng val="0"/>
      </c:pieChart>
      <c:spPr>
        <a:noFill/>
        <a:ln>
          <a:noFill/>
        </a:ln>
        <a:effectLst/>
      </c:spPr>
    </c:plotArea>
    <c:legend>
      <c:legendPos val="l"/>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Entry>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0.90202</cdr:y>
    </cdr:from>
    <cdr:to>
      <cdr:x>1</cdr:x>
      <cdr:y>1</cdr:y>
    </cdr:to>
    <cdr:sp macro="" textlink="">
      <cdr:nvSpPr>
        <cdr:cNvPr id="2" name="Text Box 1"/>
        <cdr:cNvSpPr txBox="1"/>
      </cdr:nvSpPr>
      <cdr:spPr>
        <a:xfrm xmlns:a="http://schemas.openxmlformats.org/drawingml/2006/main">
          <a:off x="0" y="1362074"/>
          <a:ext cx="2359025" cy="14795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US"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de-DE" sz="1100">
            <a:effectLst/>
            <a:latin typeface="Arial" panose="020B0604020202020204" pitchFamily="34" charset="0"/>
            <a:ea typeface="Arial" panose="020B060402020202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AKTEN!13045836.6</documentid>
  <senderid>2253</senderid>
  <senderemail>ANDRE.BLISCHKE@PPLAW.COM</senderemail>
  <lastmodified>2025-01-17T16:49:00.0000000+01:00</lastmodified>
  <database>AKTEN</database>
</properties>
</file>

<file path=customXML/itemProps5.xml><?xml version="1.0" encoding="utf-8"?>
<ds:datastoreItem xmlns:ds="http://schemas.openxmlformats.org/officeDocument/2006/customXml" ds:itemID="{104704E7-B8DE-4191-85CD-7CB62F27A23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14f859-5628-4f0a-8f28-1acdf6edefea" xsi:nil="true"/>
    <SharedWithUsers xmlns="e1067291-45d6-40bf-b290-b240d1321ccd">
      <UserInfo>
        <DisplayName/>
        <AccountId xsi:nil="true"/>
        <AccountType/>
      </UserInfo>
    </SharedWithUsers>
    <lcf76f155ced4ddcb4097134ff3c332f xmlns="8814f859-5628-4f0a-8f28-1acdf6edefea">
      <Terms xmlns="http://schemas.microsoft.com/office/infopath/2007/PartnerControls"/>
    </lcf76f155ced4ddcb4097134ff3c332f>
    <TaxCatchAll xmlns="e1067291-45d6-40bf-b290-b240d1321c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6F2C8762706489824C600A88415F7" ma:contentTypeVersion="18" ma:contentTypeDescription="Create a new document." ma:contentTypeScope="" ma:versionID="524f584f82fb653de19b0857a0912f95">
  <xsd:schema xmlns:xsd="http://www.w3.org/2001/XMLSchema" xmlns:xs="http://www.w3.org/2001/XMLSchema" xmlns:p="http://schemas.microsoft.com/office/2006/metadata/properties" xmlns:ns2="e1067291-45d6-40bf-b290-b240d1321ccd" xmlns:ns3="8814f859-5628-4f0a-8f28-1acdf6edefea" targetNamespace="http://schemas.microsoft.com/office/2006/metadata/properties" ma:root="true" ma:fieldsID="712bfc13f23edc00bb5fe70effceafb7" ns2:_="" ns3:_="">
    <xsd:import namespace="e1067291-45d6-40bf-b290-b240d1321ccd"/>
    <xsd:import namespace="8814f859-5628-4f0a-8f28-1acdf6edef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67291-45d6-40bf-b290-b240d1321c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2c55f0-3e7d-4731-9845-41de69a80ce7}" ma:internalName="TaxCatchAll" ma:showField="CatchAllData" ma:web="e1067291-45d6-40bf-b290-b240d1321c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4f859-5628-4f0a-8f28-1acdf6edef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bac252-2700-4cab-801a-9dc0058e67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B7FE-4AD9-4EA0-B0E6-700F388EA732}">
  <ds:schemaRefs>
    <ds:schemaRef ds:uri="http://www.w3.org/XML/1998/namespace"/>
    <ds:schemaRef ds:uri="8814f859-5628-4f0a-8f28-1acdf6edefea"/>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e1067291-45d6-40bf-b290-b240d1321ccd"/>
    <ds:schemaRef ds:uri="http://schemas.microsoft.com/office/2006/metadata/properties"/>
  </ds:schemaRefs>
</ds:datastoreItem>
</file>

<file path=customXml/itemProps2.xml><?xml version="1.0" encoding="utf-8"?>
<ds:datastoreItem xmlns:ds="http://schemas.openxmlformats.org/officeDocument/2006/customXml" ds:itemID="{EE52FFFF-BBEB-4CCB-BE67-77A94FE97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67291-45d6-40bf-b290-b240d1321ccd"/>
    <ds:schemaRef ds:uri="8814f859-5628-4f0a-8f28-1acdf6ede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5CB46-E2BE-4C25-8555-82B1AD819F4E}">
  <ds:schemaRefs>
    <ds:schemaRef ds:uri="http://schemas.microsoft.com/sharepoint/v3/contenttype/forms"/>
  </ds:schemaRefs>
</ds:datastoreItem>
</file>

<file path=customXml/itemProps4.xml><?xml version="1.0" encoding="utf-8"?>
<ds:datastoreItem xmlns:ds="http://schemas.openxmlformats.org/officeDocument/2006/customXml" ds:itemID="{0B0921A4-0357-40EB-90C8-4E1605B1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5695</Words>
  <Characters>37199</Characters>
  <Application>Microsoft Office Word</Application>
  <DocSecurity>0</DocSecurity>
  <Lines>309</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Arendt &amp; Medernach</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Valérian de Jamblinne de Meux</dc:creator>
  <cp:lastModifiedBy>POELLATH</cp:lastModifiedBy>
  <cp:revision>11</cp:revision>
  <cp:lastPrinted>2023-05-30T16:34:00Z</cp:lastPrinted>
  <dcterms:created xsi:type="dcterms:W3CDTF">2025-01-17T15:06:00Z</dcterms:created>
  <dcterms:modified xsi:type="dcterms:W3CDTF">2025-01-17T15:49:00Z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Reference">
    <vt:lpwstr>A 13045836.6</vt:lpwstr>
  </property>
  <property fmtid="{D5CDD505-2E9C-101B-9397-08002B2CF9AE}" pid="4" name="MatterNum">
    <vt:lpwstr>119794-0004</vt:lpwstr>
  </property>
  <property fmtid="{D5CDD505-2E9C-101B-9397-08002B2CF9AE}" pid="5" name="DocNum">
    <vt:lpwstr>13045836</vt:lpwstr>
  </property>
  <property fmtid="{D5CDD505-2E9C-101B-9397-08002B2CF9AE}" pid="6" name="OrgDocNum">
    <vt:lpwstr>13045836,0</vt:lpwstr>
  </property>
  <property fmtid="{D5CDD505-2E9C-101B-9397-08002B2CF9AE}" pid="7" name="DocName">
    <vt:lpwstr>250117 Bright Capital Art. 10 Website Disclosure_Template Art 8</vt:lpwstr>
  </property>
  <property fmtid="{D5CDD505-2E9C-101B-9397-08002B2CF9AE}" pid="8" name="GrammarlyDocumentId">
    <vt:lpwstr>f082fef979cddcdbda1cbda3a2428072e8407ef9a4ded351341ccc711d20dddf</vt:lpwstr>
  </property>
  <property fmtid="{D5CDD505-2E9C-101B-9397-08002B2CF9AE}" pid="9" name="MediaServiceImageTags">
    <vt:lpwstr/>
  </property>
  <property fmtid="{D5CDD505-2E9C-101B-9397-08002B2CF9AE}" pid="10" name="ContentTypeId">
    <vt:lpwstr>0x0101004976F2C8762706489824C600A88415F7</vt:lpwstr>
  </property>
</Properties>
</file>