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172" w:rsidP="00FE5856" w:rsidRDefault="007F6172" w14:paraId="27947868" w14:textId="492091D6">
      <w:pPr>
        <w:shd w:val="clear" w:color="auto" w:fill="FFFFFF"/>
        <w:spacing w:before="240"/>
        <w:ind w:left="14"/>
        <w:jc w:val="center"/>
        <w:rPr>
          <w:rFonts w:cs="Arial"/>
          <w:b/>
          <w:bCs/>
          <w:color w:val="000000"/>
          <w:spacing w:val="-1"/>
          <w:lang w:val="en-GB"/>
        </w:rPr>
      </w:pPr>
      <w:r>
        <w:rPr>
          <w:rFonts w:cs="Arial"/>
          <w:b/>
          <w:bCs/>
          <w:color w:val="000000"/>
          <w:spacing w:val="-1"/>
          <w:lang w:val="en-GB"/>
        </w:rPr>
        <w:t xml:space="preserve">Fortem Capital Dynamic Growth Fund </w:t>
      </w:r>
    </w:p>
    <w:p w:rsidRPr="007050D3" w:rsidR="00C32091" w:rsidP="007F6172" w:rsidRDefault="00C32091" w14:paraId="05DBE695" w14:textId="77777777">
      <w:pPr>
        <w:shd w:val="clear" w:color="auto" w:fill="FFFFFF"/>
        <w:ind w:left="14"/>
        <w:jc w:val="center"/>
        <w:rPr>
          <w:rFonts w:cs="Arial"/>
          <w:b/>
          <w:bCs/>
          <w:color w:val="000000"/>
          <w:spacing w:val="-1"/>
          <w:lang w:val="en-GB"/>
        </w:rPr>
      </w:pPr>
    </w:p>
    <w:p w:rsidRPr="00807474" w:rsidR="007F6172" w:rsidP="007F6172" w:rsidRDefault="007F6172" w14:paraId="60298977" w14:textId="77777777">
      <w:pPr>
        <w:shd w:val="clear" w:color="auto" w:fill="FFFFFF"/>
        <w:ind w:left="24"/>
        <w:jc w:val="center"/>
        <w:rPr>
          <w:rFonts w:cs="Arial"/>
          <w:bCs/>
        </w:rPr>
      </w:pPr>
      <w:r w:rsidRPr="00807474">
        <w:rPr>
          <w:rFonts w:cs="Arial"/>
          <w:bCs/>
          <w:color w:val="000000"/>
        </w:rPr>
        <w:t>a sub-fund of</w:t>
      </w:r>
    </w:p>
    <w:p w:rsidRPr="00807474" w:rsidR="007F6172" w:rsidP="007F6172" w:rsidRDefault="007F6172" w14:paraId="348B81EF" w14:textId="77777777">
      <w:pPr>
        <w:shd w:val="clear" w:color="auto" w:fill="FFFFFF"/>
        <w:ind w:left="24"/>
        <w:jc w:val="center"/>
        <w:rPr>
          <w:rFonts w:cs="Arial"/>
          <w:bCs/>
          <w:color w:val="000000"/>
          <w:spacing w:val="-1"/>
        </w:rPr>
      </w:pPr>
    </w:p>
    <w:p w:rsidR="007F6172" w:rsidP="007F6172" w:rsidRDefault="007F6172" w14:paraId="67047049" w14:textId="77777777">
      <w:pPr>
        <w:shd w:val="clear" w:color="auto" w:fill="FFFFFF"/>
        <w:ind w:left="14"/>
        <w:jc w:val="center"/>
        <w:rPr>
          <w:rFonts w:cs="Arial"/>
          <w:b/>
          <w:bCs/>
          <w:color w:val="000000"/>
          <w:spacing w:val="-1"/>
          <w:lang w:val="en-GB"/>
        </w:rPr>
      </w:pPr>
      <w:r>
        <w:rPr>
          <w:rFonts w:cs="Arial"/>
          <w:b/>
          <w:bCs/>
          <w:color w:val="000000"/>
          <w:spacing w:val="-1"/>
          <w:lang w:val="en-GB"/>
        </w:rPr>
        <w:t xml:space="preserve">Fortem Global </w:t>
      </w:r>
      <w:r w:rsidRPr="00807474">
        <w:rPr>
          <w:rFonts w:cs="Arial"/>
          <w:b/>
          <w:bCs/>
          <w:color w:val="000000"/>
          <w:spacing w:val="-1"/>
          <w:lang w:val="en-GB"/>
        </w:rPr>
        <w:t>Investment Funds plc</w:t>
      </w:r>
    </w:p>
    <w:p w:rsidRPr="00807474" w:rsidR="00DE5B64" w:rsidP="007F6172" w:rsidRDefault="00DE5B64" w14:paraId="30547EC8" w14:textId="77777777">
      <w:pPr>
        <w:shd w:val="clear" w:color="auto" w:fill="FFFFFF"/>
        <w:ind w:left="14"/>
        <w:jc w:val="center"/>
        <w:rPr>
          <w:rFonts w:cs="Arial"/>
          <w:b/>
          <w:bCs/>
          <w:color w:val="000000"/>
          <w:spacing w:val="-1"/>
          <w:lang w:val="en-GB"/>
        </w:rPr>
      </w:pPr>
    </w:p>
    <w:p w:rsidRPr="00807474" w:rsidR="007F6172" w:rsidP="007F6172" w:rsidRDefault="007F6172" w14:paraId="34908577" w14:textId="77777777">
      <w:pPr>
        <w:shd w:val="clear" w:color="auto" w:fill="FFFFFF"/>
        <w:ind w:left="14"/>
        <w:jc w:val="center"/>
        <w:rPr>
          <w:rFonts w:cs="Arial"/>
          <w:bCs/>
          <w:color w:val="000000"/>
          <w:spacing w:val="-1"/>
          <w:lang w:val="en-GB"/>
        </w:rPr>
      </w:pPr>
      <w:r w:rsidRPr="00807474">
        <w:rPr>
          <w:rFonts w:cs="Arial"/>
          <w:bCs/>
          <w:color w:val="000000"/>
          <w:spacing w:val="-1"/>
          <w:lang w:val="en-GB"/>
        </w:rPr>
        <w:t>(an umbrella fund with segregated liability between sub-funds)</w:t>
      </w:r>
    </w:p>
    <w:p w:rsidRPr="00807474" w:rsidR="007F6172" w:rsidP="007F6172" w:rsidRDefault="007F6172" w14:paraId="275CF2A9" w14:textId="77777777">
      <w:pPr>
        <w:shd w:val="clear" w:color="auto" w:fill="FFFFFF"/>
        <w:ind w:left="14"/>
        <w:jc w:val="center"/>
        <w:rPr>
          <w:rFonts w:cs="Arial"/>
          <w:b/>
          <w:bCs/>
          <w:color w:val="000000"/>
        </w:rPr>
      </w:pPr>
    </w:p>
    <w:p w:rsidRPr="00807474" w:rsidR="007F6172" w:rsidP="007F6172" w:rsidRDefault="007F6172" w14:paraId="33D5FB5C" w14:textId="513981C9">
      <w:pPr>
        <w:shd w:val="clear" w:color="auto" w:fill="FFFFFF"/>
        <w:ind w:left="14"/>
        <w:jc w:val="center"/>
        <w:rPr>
          <w:rFonts w:cs="Arial"/>
          <w:b/>
          <w:bCs/>
        </w:rPr>
      </w:pPr>
      <w:r w:rsidRPr="00807474">
        <w:rPr>
          <w:rFonts w:cs="Arial"/>
          <w:b/>
          <w:bCs/>
          <w:color w:val="000000"/>
        </w:rPr>
        <w:t>Supplement to the Prospectus</w:t>
      </w:r>
      <w:r>
        <w:rPr>
          <w:rFonts w:cs="Arial"/>
          <w:b/>
          <w:bCs/>
          <w:color w:val="000000"/>
        </w:rPr>
        <w:t xml:space="preserve"> dated </w:t>
      </w:r>
      <w:r w:rsidR="00DD6C69">
        <w:rPr>
          <w:b/>
        </w:rPr>
        <w:t>18 October 2024</w:t>
      </w:r>
    </w:p>
    <w:p w:rsidRPr="00807474" w:rsidR="007F6172" w:rsidP="007F6172" w:rsidRDefault="007F6172" w14:paraId="3318DA94" w14:textId="77777777">
      <w:pPr>
        <w:jc w:val="center"/>
        <w:rPr>
          <w:rFonts w:cs="Arial"/>
          <w:spacing w:val="-3"/>
        </w:rPr>
      </w:pPr>
    </w:p>
    <w:p w:rsidRPr="00CC6EDD" w:rsidR="007F6172" w:rsidP="007F6172" w:rsidRDefault="007F6172" w14:paraId="5B8637A8" w14:textId="77777777">
      <w:pPr>
        <w:jc w:val="both"/>
      </w:pPr>
      <w:r w:rsidRPr="001E0F89">
        <w:rPr>
          <w:rFonts w:cs="Arial"/>
          <w:spacing w:val="-3"/>
        </w:rPr>
        <w:t xml:space="preserve">This Supplement contains specific information in relation to </w:t>
      </w:r>
      <w:r>
        <w:rPr>
          <w:rFonts w:cs="Arial"/>
          <w:spacing w:val="-3"/>
        </w:rPr>
        <w:t xml:space="preserve">Fortem Capital Dynamic Growth </w:t>
      </w:r>
      <w:r w:rsidRPr="001E0F89">
        <w:rPr>
          <w:rFonts w:cs="Arial"/>
          <w:bCs/>
          <w:color w:val="000000"/>
          <w:lang w:val="en-GB"/>
        </w:rPr>
        <w:t>Fund</w:t>
      </w:r>
      <w:r>
        <w:rPr>
          <w:rFonts w:cs="Arial"/>
          <w:bCs/>
          <w:color w:val="000000"/>
          <w:lang w:val="en-GB"/>
        </w:rPr>
        <w:t xml:space="preserve"> </w:t>
      </w:r>
      <w:r w:rsidRPr="001E0F89">
        <w:rPr>
          <w:rFonts w:cs="Arial"/>
          <w:spacing w:val="-3"/>
        </w:rPr>
        <w:t>(the</w:t>
      </w:r>
      <w:r>
        <w:rPr>
          <w:rFonts w:cs="Arial"/>
          <w:spacing w:val="-3"/>
        </w:rPr>
        <w:t xml:space="preserve"> </w:t>
      </w:r>
      <w:r w:rsidRPr="00220C71">
        <w:rPr>
          <w:rFonts w:cs="Arial"/>
          <w:b/>
          <w:spacing w:val="-3"/>
        </w:rPr>
        <w:t>Fund</w:t>
      </w:r>
      <w:r w:rsidRPr="001E0F89">
        <w:rPr>
          <w:rFonts w:cs="Arial"/>
          <w:spacing w:val="-3"/>
        </w:rPr>
        <w:t xml:space="preserve">), a sub-fund of </w:t>
      </w:r>
      <w:r>
        <w:rPr>
          <w:rFonts w:cs="Arial"/>
          <w:spacing w:val="-3"/>
        </w:rPr>
        <w:t xml:space="preserve">Fortem Global </w:t>
      </w:r>
      <w:r w:rsidRPr="001E0F89">
        <w:rPr>
          <w:rFonts w:cs="Arial"/>
          <w:bCs/>
          <w:color w:val="000000"/>
          <w:spacing w:val="-1"/>
          <w:lang w:val="en-GB"/>
        </w:rPr>
        <w:t xml:space="preserve">Investment Funds plc </w:t>
      </w:r>
      <w:r w:rsidRPr="001E0F89">
        <w:rPr>
          <w:rFonts w:cs="Arial"/>
        </w:rPr>
        <w:t xml:space="preserve">(the </w:t>
      </w:r>
      <w:r w:rsidRPr="0018015B">
        <w:rPr>
          <w:rFonts w:cs="Arial"/>
          <w:b/>
        </w:rPr>
        <w:t>Company</w:t>
      </w:r>
      <w:r w:rsidRPr="001E0F89">
        <w:rPr>
          <w:rFonts w:cs="Arial"/>
        </w:rPr>
        <w:t xml:space="preserve">), an umbrella fund with segregated liability between funds and an open-ended investment governed by the laws of Ireland and authorised as a UCITS pursuant to the provision of the European </w:t>
      </w:r>
      <w:r w:rsidRPr="001E0F89">
        <w:rPr>
          <w:rFonts w:cs="Arial"/>
          <w:spacing w:val="-3"/>
        </w:rPr>
        <w:t xml:space="preserve">Communities (Undertakings company with variable capital for Collective Investment in Transferable Securities) Regulations, 2011 (as amended) by the Central Bank of Ireland (the </w:t>
      </w:r>
      <w:r w:rsidRPr="00220C71">
        <w:rPr>
          <w:rFonts w:cs="Arial"/>
          <w:b/>
          <w:spacing w:val="-3"/>
        </w:rPr>
        <w:t>Central Bank</w:t>
      </w:r>
      <w:r w:rsidRPr="001E0F89">
        <w:rPr>
          <w:rFonts w:cs="Arial"/>
          <w:spacing w:val="-3"/>
        </w:rPr>
        <w:t>)</w:t>
      </w:r>
      <w:r w:rsidRPr="00CC6EDD">
        <w:t>.</w:t>
      </w:r>
    </w:p>
    <w:p w:rsidRPr="00807474" w:rsidR="007F6172" w:rsidP="007F6172" w:rsidRDefault="007F6172" w14:paraId="47120458" w14:textId="77777777">
      <w:pPr>
        <w:jc w:val="both"/>
        <w:rPr>
          <w:rFonts w:cs="Arial"/>
          <w:b/>
        </w:rPr>
      </w:pPr>
    </w:p>
    <w:p w:rsidR="007F6172" w:rsidP="007F6172" w:rsidRDefault="007F6172" w14:paraId="193D756B" w14:textId="2B5AB4A4">
      <w:pPr>
        <w:shd w:val="clear" w:color="auto" w:fill="FFFFFF"/>
        <w:ind w:left="14"/>
        <w:jc w:val="both"/>
        <w:rPr>
          <w:rFonts w:cs="Arial"/>
          <w:b/>
          <w:bCs/>
          <w:color w:val="000000"/>
        </w:rPr>
      </w:pPr>
      <w:r w:rsidRPr="00807474">
        <w:rPr>
          <w:rFonts w:cs="Arial"/>
          <w:b/>
        </w:rPr>
        <w:t xml:space="preserve">This Supplement forms part of and should be read in </w:t>
      </w:r>
      <w:r>
        <w:rPr>
          <w:rFonts w:cs="Arial"/>
          <w:b/>
        </w:rPr>
        <w:t xml:space="preserve">conjunction with the Prospectus dated </w:t>
      </w:r>
      <w:r w:rsidR="00DD6C69">
        <w:rPr>
          <w:b/>
        </w:rPr>
        <w:t>18 October 2024</w:t>
      </w:r>
      <w:r w:rsidR="00AA6938">
        <w:rPr>
          <w:b/>
        </w:rPr>
        <w:t>.</w:t>
      </w:r>
    </w:p>
    <w:p w:rsidRPr="001E0F89" w:rsidR="007F6172" w:rsidP="007F6172" w:rsidRDefault="007F6172" w14:paraId="65CE4E5B" w14:textId="77777777">
      <w:pPr>
        <w:jc w:val="both"/>
        <w:rPr>
          <w:rFonts w:cs="Arial"/>
        </w:rPr>
      </w:pPr>
    </w:p>
    <w:p w:rsidRPr="008272C6" w:rsidR="007F6172" w:rsidP="007F6172" w:rsidRDefault="007F6172" w14:paraId="36A0D3A6" w14:textId="77777777">
      <w:pPr>
        <w:jc w:val="both"/>
      </w:pPr>
      <w:r w:rsidRPr="008272C6">
        <w:t xml:space="preserve">The Directors of the Company, whose names appear under the section entitled </w:t>
      </w:r>
      <w:r w:rsidRPr="00F05DCB">
        <w:rPr>
          <w:b/>
        </w:rPr>
        <w:t>Directors of the Company</w:t>
      </w:r>
      <w:r w:rsidRPr="008272C6">
        <w:t xml:space="preserve"> in the Prospectus, accept responsibility for the information contained in the Prospectus and this Supplement. To the best of the knowledge and belief of the Directors (who have taken all reasonable care to ensure that such is the case) such information is in accordance with the facts and does not omit anything likely to affect the import of such information. The Directors accept responsibility accordingly.</w:t>
      </w:r>
    </w:p>
    <w:p w:rsidRPr="00807474" w:rsidR="007F6172" w:rsidP="007F6172" w:rsidRDefault="007F6172" w14:paraId="52E451EF" w14:textId="77777777">
      <w:pPr>
        <w:jc w:val="both"/>
      </w:pPr>
    </w:p>
    <w:p w:rsidRPr="00807474" w:rsidR="007F6172" w:rsidP="007F6172" w:rsidRDefault="007F6172" w14:paraId="1C28145E" w14:textId="77777777">
      <w:pPr>
        <w:jc w:val="both"/>
      </w:pPr>
      <w:r w:rsidRPr="00807474">
        <w:t>The launch of various Classes within the Fund may occur at different times and therefore at the time of the launch of a given Class(es), the pool of assets to which a given Class(es) relates may have commenced to trade.  Financial information in respect of the Fund will be published from time to time, and the most recently published audited and unaudited financial information will be available to potential investors upon</w:t>
      </w:r>
      <w:r>
        <w:t xml:space="preserve"> request following publication.</w:t>
      </w:r>
    </w:p>
    <w:p w:rsidRPr="00807474" w:rsidR="007F6172" w:rsidP="007F6172" w:rsidRDefault="007F6172" w14:paraId="48A22C1F" w14:textId="77777777">
      <w:pPr>
        <w:jc w:val="both"/>
      </w:pPr>
    </w:p>
    <w:p w:rsidRPr="00807474" w:rsidR="007F6172" w:rsidP="007F6172" w:rsidRDefault="007F6172" w14:paraId="1083702A" w14:textId="77777777">
      <w:pPr>
        <w:widowControl/>
        <w:jc w:val="both"/>
        <w:rPr>
          <w:rFonts w:cs="Arial"/>
          <w:b/>
        </w:rPr>
      </w:pPr>
      <w:r w:rsidRPr="00807474">
        <w:rPr>
          <w:rFonts w:cs="Arial"/>
          <w:b/>
        </w:rPr>
        <w:t>Shareholders should note that all or a portion of the fees and expenses of the Fund (including without limitation, the Manager's fee) may be charged to the capital of the Fund in the event that there is insufficient income from which to pay such fees and expenses. Shareholders may not receive back the full amount invested on redemption and this will have the effect of lowering the capital value of your investment. Also, capital may be eroded and income will be achieved by foregoing the potential for future capital growth.</w:t>
      </w:r>
    </w:p>
    <w:p w:rsidRPr="00807474" w:rsidR="007F6172" w:rsidP="007F6172" w:rsidRDefault="007F6172" w14:paraId="1D72B900" w14:textId="77777777">
      <w:pPr>
        <w:widowControl/>
        <w:jc w:val="both"/>
        <w:rPr>
          <w:rFonts w:cs="Arial"/>
          <w:b/>
        </w:rPr>
      </w:pPr>
    </w:p>
    <w:p w:rsidRPr="00807474" w:rsidR="007F6172" w:rsidP="007F6172" w:rsidRDefault="007F6172" w14:paraId="55300240" w14:textId="77777777">
      <w:pPr>
        <w:jc w:val="both"/>
        <w:rPr>
          <w:rFonts w:cs="Arial"/>
        </w:rPr>
      </w:pPr>
      <w:r w:rsidRPr="00807474">
        <w:rPr>
          <w:rFonts w:cs="Arial"/>
        </w:rPr>
        <w:t>Words and expressions defined in the Prospectus shall, unless the context otherwise requires, have the same meaning when used in this Supplement.</w:t>
      </w:r>
    </w:p>
    <w:p w:rsidRPr="00807474" w:rsidR="007F6172" w:rsidP="007F6172" w:rsidRDefault="007F6172" w14:paraId="2DD33581" w14:textId="77777777">
      <w:pPr>
        <w:jc w:val="both"/>
        <w:rPr>
          <w:rFonts w:cs="Arial"/>
        </w:rPr>
      </w:pPr>
    </w:p>
    <w:p w:rsidRPr="00807474" w:rsidR="007F6172" w:rsidP="007F6172" w:rsidRDefault="007F6172" w14:paraId="1AB8710E" w14:textId="77777777">
      <w:pPr>
        <w:jc w:val="both"/>
        <w:rPr>
          <w:rFonts w:cs="Arial"/>
        </w:rPr>
      </w:pPr>
    </w:p>
    <w:p w:rsidRPr="00115D79" w:rsidR="007F6172" w:rsidP="007F6172" w:rsidRDefault="007F6172" w14:paraId="30D5DBBC" w14:textId="507804A4">
      <w:pPr>
        <w:jc w:val="both"/>
        <w:rPr>
          <w:rFonts w:cs="Arial"/>
          <w:b/>
        </w:rPr>
      </w:pPr>
      <w:r w:rsidRPr="00115D79">
        <w:rPr>
          <w:rFonts w:cs="Arial"/>
          <w:b/>
        </w:rPr>
        <w:t>Date:</w:t>
      </w:r>
      <w:r w:rsidR="002150C7">
        <w:rPr>
          <w:rFonts w:cs="Arial"/>
          <w:b/>
        </w:rPr>
        <w:t xml:space="preserve"> </w:t>
      </w:r>
      <w:r w:rsidR="00DD6C69">
        <w:rPr>
          <w:b/>
        </w:rPr>
        <w:t>18 October 2024</w:t>
      </w:r>
      <w:r w:rsidRPr="00115D79">
        <w:rPr>
          <w:rFonts w:cs="Arial"/>
          <w:b/>
        </w:rPr>
        <w:br w:type="page"/>
      </w:r>
    </w:p>
    <w:p w:rsidRPr="00CD234E" w:rsidR="00CD234E" w:rsidP="00CD234E" w:rsidRDefault="007F6172" w14:paraId="6E61D990" w14:textId="4EA151E2">
      <w:pPr>
        <w:spacing w:after="240"/>
        <w:jc w:val="center"/>
        <w:rPr>
          <w:noProof/>
        </w:rPr>
      </w:pPr>
      <w:r w:rsidRPr="00960675">
        <w:rPr>
          <w:b/>
        </w:rPr>
        <w:lastRenderedPageBreak/>
        <w:t>INDEX</w:t>
      </w:r>
      <w:r w:rsidRPr="00807474">
        <w:rPr>
          <w:rFonts w:cs="Arial"/>
          <w:b/>
          <w:bCs/>
          <w:color w:val="000000"/>
          <w:spacing w:val="-1"/>
        </w:rPr>
        <w:fldChar w:fldCharType="begin"/>
      </w:r>
      <w:r w:rsidRPr="00807474">
        <w:rPr>
          <w:rFonts w:cs="Arial"/>
          <w:bCs/>
          <w:color w:val="000000"/>
          <w:spacing w:val="-1"/>
        </w:rPr>
        <w:instrText xml:space="preserve"> TOC \o "1-1" \h \z \u </w:instrText>
      </w:r>
      <w:r w:rsidRPr="00807474">
        <w:rPr>
          <w:rFonts w:cs="Arial"/>
          <w:b/>
          <w:bCs/>
          <w:color w:val="000000"/>
          <w:spacing w:val="-1"/>
        </w:rPr>
        <w:fldChar w:fldCharType="separate"/>
      </w:r>
    </w:p>
    <w:p w:rsidR="00CD234E" w:rsidP="00CD234E" w:rsidRDefault="00DD6C69" w14:paraId="3AE4597B" w14:textId="4871F11D">
      <w:pPr>
        <w:pStyle w:val="TOC1"/>
        <w:rPr>
          <w:rFonts w:asciiTheme="minorHAnsi" w:hAnsiTheme="minorHAnsi" w:eastAsiaTheme="minorEastAsia" w:cstheme="minorBidi"/>
          <w:noProof/>
          <w:kern w:val="2"/>
          <w:sz w:val="22"/>
          <w:szCs w:val="22"/>
          <w:lang w:eastAsia="en-IE"/>
          <w14:ligatures w14:val="standardContextual"/>
        </w:rPr>
      </w:pPr>
      <w:hyperlink w:history="1" w:anchor="_Toc166678723">
        <w:r w:rsidRPr="0007301F" w:rsidR="00CD234E">
          <w:rPr>
            <w:rStyle w:val="Hyperlink"/>
            <w:noProof/>
          </w:rPr>
          <w:t>1.</w:t>
        </w:r>
        <w:r w:rsidR="00CD234E">
          <w:rPr>
            <w:rFonts w:asciiTheme="minorHAnsi" w:hAnsiTheme="minorHAnsi" w:eastAsiaTheme="minorEastAsia" w:cstheme="minorBidi"/>
            <w:noProof/>
            <w:kern w:val="2"/>
            <w:sz w:val="22"/>
            <w:szCs w:val="22"/>
            <w:lang w:eastAsia="en-IE"/>
            <w14:ligatures w14:val="standardContextual"/>
          </w:rPr>
          <w:tab/>
        </w:r>
        <w:r w:rsidRPr="0007301F" w:rsidR="00CD234E">
          <w:rPr>
            <w:rStyle w:val="Hyperlink"/>
            <w:rFonts w:cs="Arial"/>
            <w:noProof/>
          </w:rPr>
          <w:t>INVESTMENT OBJECTIVE AND POLICIES</w:t>
        </w:r>
        <w:r w:rsidR="00CD234E">
          <w:rPr>
            <w:noProof/>
            <w:webHidden/>
          </w:rPr>
          <w:tab/>
        </w:r>
        <w:r w:rsidR="00CD234E">
          <w:rPr>
            <w:noProof/>
            <w:webHidden/>
          </w:rPr>
          <w:fldChar w:fldCharType="begin"/>
        </w:r>
        <w:r w:rsidR="00CD234E">
          <w:rPr>
            <w:noProof/>
            <w:webHidden/>
          </w:rPr>
          <w:instrText xml:space="preserve"> PAGEREF _Toc166678723 \h </w:instrText>
        </w:r>
        <w:r w:rsidR="00CD234E">
          <w:rPr>
            <w:noProof/>
            <w:webHidden/>
          </w:rPr>
        </w:r>
        <w:r w:rsidR="00CD234E">
          <w:rPr>
            <w:noProof/>
            <w:webHidden/>
          </w:rPr>
          <w:fldChar w:fldCharType="separate"/>
        </w:r>
        <w:r w:rsidR="00CD234E">
          <w:rPr>
            <w:noProof/>
            <w:webHidden/>
          </w:rPr>
          <w:t>5</w:t>
        </w:r>
        <w:r w:rsidR="00CD234E">
          <w:rPr>
            <w:noProof/>
            <w:webHidden/>
          </w:rPr>
          <w:fldChar w:fldCharType="end"/>
        </w:r>
      </w:hyperlink>
    </w:p>
    <w:p w:rsidR="00CD234E" w:rsidP="00CD234E" w:rsidRDefault="00DD6C69" w14:paraId="65499A60" w14:textId="33B0F62E">
      <w:pPr>
        <w:pStyle w:val="TOC1"/>
        <w:rPr>
          <w:rFonts w:asciiTheme="minorHAnsi" w:hAnsiTheme="minorHAnsi" w:eastAsiaTheme="minorEastAsia" w:cstheme="minorBidi"/>
          <w:noProof/>
          <w:kern w:val="2"/>
          <w:sz w:val="22"/>
          <w:szCs w:val="22"/>
          <w:lang w:eastAsia="en-IE"/>
          <w14:ligatures w14:val="standardContextual"/>
        </w:rPr>
      </w:pPr>
      <w:hyperlink w:history="1" w:anchor="_Toc166678724">
        <w:r w:rsidRPr="0007301F" w:rsidR="00CD234E">
          <w:rPr>
            <w:rStyle w:val="Hyperlink"/>
            <w:noProof/>
          </w:rPr>
          <w:t>2.</w:t>
        </w:r>
        <w:r w:rsidR="00CD234E">
          <w:rPr>
            <w:rFonts w:asciiTheme="minorHAnsi" w:hAnsiTheme="minorHAnsi" w:eastAsiaTheme="minorEastAsia" w:cstheme="minorBidi"/>
            <w:noProof/>
            <w:kern w:val="2"/>
            <w:sz w:val="22"/>
            <w:szCs w:val="22"/>
            <w:lang w:eastAsia="en-IE"/>
            <w14:ligatures w14:val="standardContextual"/>
          </w:rPr>
          <w:tab/>
        </w:r>
        <w:r w:rsidRPr="0007301F" w:rsidR="00CD234E">
          <w:rPr>
            <w:rStyle w:val="Hyperlink"/>
            <w:rFonts w:cs="Arial"/>
            <w:noProof/>
          </w:rPr>
          <w:t>DERIVATIVES AND EFFICIENT PORTFOLIO MANAGEMENT</w:t>
        </w:r>
        <w:r w:rsidR="00CD234E">
          <w:rPr>
            <w:noProof/>
            <w:webHidden/>
          </w:rPr>
          <w:tab/>
        </w:r>
        <w:r w:rsidR="00CD234E">
          <w:rPr>
            <w:noProof/>
            <w:webHidden/>
          </w:rPr>
          <w:fldChar w:fldCharType="begin"/>
        </w:r>
        <w:r w:rsidR="00CD234E">
          <w:rPr>
            <w:noProof/>
            <w:webHidden/>
          </w:rPr>
          <w:instrText xml:space="preserve"> PAGEREF _Toc166678724 \h </w:instrText>
        </w:r>
        <w:r w:rsidR="00CD234E">
          <w:rPr>
            <w:noProof/>
            <w:webHidden/>
          </w:rPr>
        </w:r>
        <w:r w:rsidR="00CD234E">
          <w:rPr>
            <w:noProof/>
            <w:webHidden/>
          </w:rPr>
          <w:fldChar w:fldCharType="separate"/>
        </w:r>
        <w:r w:rsidR="00CD234E">
          <w:rPr>
            <w:noProof/>
            <w:webHidden/>
          </w:rPr>
          <w:t>7</w:t>
        </w:r>
        <w:r w:rsidR="00CD234E">
          <w:rPr>
            <w:noProof/>
            <w:webHidden/>
          </w:rPr>
          <w:fldChar w:fldCharType="end"/>
        </w:r>
      </w:hyperlink>
    </w:p>
    <w:p w:rsidR="00CD234E" w:rsidP="00CD234E" w:rsidRDefault="00DD6C69" w14:paraId="53B434C8" w14:textId="32BFC624">
      <w:pPr>
        <w:pStyle w:val="TOC1"/>
        <w:rPr>
          <w:rFonts w:asciiTheme="minorHAnsi" w:hAnsiTheme="minorHAnsi" w:eastAsiaTheme="minorEastAsia" w:cstheme="minorBidi"/>
          <w:noProof/>
          <w:kern w:val="2"/>
          <w:sz w:val="22"/>
          <w:szCs w:val="22"/>
          <w:lang w:eastAsia="en-IE"/>
          <w14:ligatures w14:val="standardContextual"/>
        </w:rPr>
      </w:pPr>
      <w:hyperlink w:history="1" w:anchor="_Toc166678725">
        <w:r w:rsidRPr="0007301F" w:rsidR="00CD234E">
          <w:rPr>
            <w:rStyle w:val="Hyperlink"/>
            <w:noProof/>
            <w:spacing w:val="-9"/>
          </w:rPr>
          <w:t>3.</w:t>
        </w:r>
        <w:r w:rsidR="00CD234E">
          <w:rPr>
            <w:rFonts w:asciiTheme="minorHAnsi" w:hAnsiTheme="minorHAnsi" w:eastAsiaTheme="minorEastAsia" w:cstheme="minorBidi"/>
            <w:noProof/>
            <w:kern w:val="2"/>
            <w:sz w:val="22"/>
            <w:szCs w:val="22"/>
            <w:lang w:eastAsia="en-IE"/>
            <w14:ligatures w14:val="standardContextual"/>
          </w:rPr>
          <w:tab/>
        </w:r>
        <w:r w:rsidRPr="0007301F" w:rsidR="00CD234E">
          <w:rPr>
            <w:rStyle w:val="Hyperlink"/>
            <w:rFonts w:cs="Arial"/>
            <w:noProof/>
            <w:spacing w:val="-9"/>
          </w:rPr>
          <w:t>BORROWING</w:t>
        </w:r>
        <w:r w:rsidR="00CD234E">
          <w:rPr>
            <w:noProof/>
            <w:webHidden/>
          </w:rPr>
          <w:tab/>
        </w:r>
        <w:r w:rsidR="00CD234E">
          <w:rPr>
            <w:noProof/>
            <w:webHidden/>
          </w:rPr>
          <w:fldChar w:fldCharType="begin"/>
        </w:r>
        <w:r w:rsidR="00CD234E">
          <w:rPr>
            <w:noProof/>
            <w:webHidden/>
          </w:rPr>
          <w:instrText xml:space="preserve"> PAGEREF _Toc166678725 \h </w:instrText>
        </w:r>
        <w:r w:rsidR="00CD234E">
          <w:rPr>
            <w:noProof/>
            <w:webHidden/>
          </w:rPr>
        </w:r>
        <w:r w:rsidR="00CD234E">
          <w:rPr>
            <w:noProof/>
            <w:webHidden/>
          </w:rPr>
          <w:fldChar w:fldCharType="separate"/>
        </w:r>
        <w:r w:rsidR="00CD234E">
          <w:rPr>
            <w:noProof/>
            <w:webHidden/>
          </w:rPr>
          <w:t>14</w:t>
        </w:r>
        <w:r w:rsidR="00CD234E">
          <w:rPr>
            <w:noProof/>
            <w:webHidden/>
          </w:rPr>
          <w:fldChar w:fldCharType="end"/>
        </w:r>
      </w:hyperlink>
    </w:p>
    <w:p w:rsidR="00CD234E" w:rsidP="00CD234E" w:rsidRDefault="00DD6C69" w14:paraId="4359C9AD" w14:textId="50088725">
      <w:pPr>
        <w:pStyle w:val="TOC1"/>
        <w:rPr>
          <w:rFonts w:asciiTheme="minorHAnsi" w:hAnsiTheme="minorHAnsi" w:eastAsiaTheme="minorEastAsia" w:cstheme="minorBidi"/>
          <w:noProof/>
          <w:kern w:val="2"/>
          <w:sz w:val="22"/>
          <w:szCs w:val="22"/>
          <w:lang w:eastAsia="en-IE"/>
          <w14:ligatures w14:val="standardContextual"/>
        </w:rPr>
      </w:pPr>
      <w:hyperlink w:history="1" w:anchor="_Toc166678726">
        <w:r w:rsidRPr="0007301F" w:rsidR="00CD234E">
          <w:rPr>
            <w:rStyle w:val="Hyperlink"/>
            <w:noProof/>
            <w:spacing w:val="-8"/>
          </w:rPr>
          <w:t>4.</w:t>
        </w:r>
        <w:r w:rsidR="00CD234E">
          <w:rPr>
            <w:rFonts w:asciiTheme="minorHAnsi" w:hAnsiTheme="minorHAnsi" w:eastAsiaTheme="minorEastAsia" w:cstheme="minorBidi"/>
            <w:noProof/>
            <w:kern w:val="2"/>
            <w:sz w:val="22"/>
            <w:szCs w:val="22"/>
            <w:lang w:eastAsia="en-IE"/>
            <w14:ligatures w14:val="standardContextual"/>
          </w:rPr>
          <w:tab/>
        </w:r>
        <w:r w:rsidRPr="0007301F" w:rsidR="00CD234E">
          <w:rPr>
            <w:rStyle w:val="Hyperlink"/>
            <w:rFonts w:cs="Arial"/>
            <w:noProof/>
            <w:spacing w:val="-8"/>
          </w:rPr>
          <w:t>INVESTMENT RESTRICTIONS</w:t>
        </w:r>
        <w:r w:rsidR="00CD234E">
          <w:rPr>
            <w:noProof/>
            <w:webHidden/>
          </w:rPr>
          <w:tab/>
        </w:r>
        <w:r w:rsidR="00CD234E">
          <w:rPr>
            <w:noProof/>
            <w:webHidden/>
          </w:rPr>
          <w:fldChar w:fldCharType="begin"/>
        </w:r>
        <w:r w:rsidR="00CD234E">
          <w:rPr>
            <w:noProof/>
            <w:webHidden/>
          </w:rPr>
          <w:instrText xml:space="preserve"> PAGEREF _Toc166678726 \h </w:instrText>
        </w:r>
        <w:r w:rsidR="00CD234E">
          <w:rPr>
            <w:noProof/>
            <w:webHidden/>
          </w:rPr>
        </w:r>
        <w:r w:rsidR="00CD234E">
          <w:rPr>
            <w:noProof/>
            <w:webHidden/>
          </w:rPr>
          <w:fldChar w:fldCharType="separate"/>
        </w:r>
        <w:r w:rsidR="00CD234E">
          <w:rPr>
            <w:noProof/>
            <w:webHidden/>
          </w:rPr>
          <w:t>14</w:t>
        </w:r>
        <w:r w:rsidR="00CD234E">
          <w:rPr>
            <w:noProof/>
            <w:webHidden/>
          </w:rPr>
          <w:fldChar w:fldCharType="end"/>
        </w:r>
      </w:hyperlink>
    </w:p>
    <w:p w:rsidR="00CD234E" w:rsidP="00CD234E" w:rsidRDefault="00DD6C69" w14:paraId="669AD6B3" w14:textId="432B5EAE">
      <w:pPr>
        <w:pStyle w:val="TOC1"/>
        <w:rPr>
          <w:rFonts w:asciiTheme="minorHAnsi" w:hAnsiTheme="minorHAnsi" w:eastAsiaTheme="minorEastAsia" w:cstheme="minorBidi"/>
          <w:noProof/>
          <w:kern w:val="2"/>
          <w:sz w:val="22"/>
          <w:szCs w:val="22"/>
          <w:lang w:eastAsia="en-IE"/>
          <w14:ligatures w14:val="standardContextual"/>
        </w:rPr>
      </w:pPr>
      <w:hyperlink w:history="1" w:anchor="_Toc166678727">
        <w:r w:rsidRPr="0007301F" w:rsidR="00CD234E">
          <w:rPr>
            <w:rStyle w:val="Hyperlink"/>
            <w:noProof/>
          </w:rPr>
          <w:t>5.</w:t>
        </w:r>
        <w:r w:rsidR="00CD234E">
          <w:rPr>
            <w:rFonts w:asciiTheme="minorHAnsi" w:hAnsiTheme="minorHAnsi" w:eastAsiaTheme="minorEastAsia" w:cstheme="minorBidi"/>
            <w:noProof/>
            <w:kern w:val="2"/>
            <w:sz w:val="22"/>
            <w:szCs w:val="22"/>
            <w:lang w:eastAsia="en-IE"/>
            <w14:ligatures w14:val="standardContextual"/>
          </w:rPr>
          <w:tab/>
        </w:r>
        <w:r w:rsidRPr="0007301F" w:rsidR="00CD234E">
          <w:rPr>
            <w:rStyle w:val="Hyperlink"/>
            <w:rFonts w:cs="Arial"/>
            <w:noProof/>
          </w:rPr>
          <w:t>PROFILE OF A TYPICAL INVESTOR</w:t>
        </w:r>
        <w:r w:rsidR="00CD234E">
          <w:rPr>
            <w:noProof/>
            <w:webHidden/>
          </w:rPr>
          <w:tab/>
        </w:r>
        <w:r w:rsidR="00CD234E">
          <w:rPr>
            <w:noProof/>
            <w:webHidden/>
          </w:rPr>
          <w:fldChar w:fldCharType="begin"/>
        </w:r>
        <w:r w:rsidR="00CD234E">
          <w:rPr>
            <w:noProof/>
            <w:webHidden/>
          </w:rPr>
          <w:instrText xml:space="preserve"> PAGEREF _Toc166678727 \h </w:instrText>
        </w:r>
        <w:r w:rsidR="00CD234E">
          <w:rPr>
            <w:noProof/>
            <w:webHidden/>
          </w:rPr>
        </w:r>
        <w:r w:rsidR="00CD234E">
          <w:rPr>
            <w:noProof/>
            <w:webHidden/>
          </w:rPr>
          <w:fldChar w:fldCharType="separate"/>
        </w:r>
        <w:r w:rsidR="00CD234E">
          <w:rPr>
            <w:noProof/>
            <w:webHidden/>
          </w:rPr>
          <w:t>15</w:t>
        </w:r>
        <w:r w:rsidR="00CD234E">
          <w:rPr>
            <w:noProof/>
            <w:webHidden/>
          </w:rPr>
          <w:fldChar w:fldCharType="end"/>
        </w:r>
      </w:hyperlink>
    </w:p>
    <w:p w:rsidR="00CD234E" w:rsidP="00CD234E" w:rsidRDefault="00DD6C69" w14:paraId="5D2B7D99" w14:textId="23FFC3F2">
      <w:pPr>
        <w:pStyle w:val="TOC1"/>
        <w:rPr>
          <w:rFonts w:asciiTheme="minorHAnsi" w:hAnsiTheme="minorHAnsi" w:eastAsiaTheme="minorEastAsia" w:cstheme="minorBidi"/>
          <w:noProof/>
          <w:kern w:val="2"/>
          <w:sz w:val="22"/>
          <w:szCs w:val="22"/>
          <w:lang w:eastAsia="en-IE"/>
          <w14:ligatures w14:val="standardContextual"/>
        </w:rPr>
      </w:pPr>
      <w:hyperlink w:history="1" w:anchor="_Toc166678728">
        <w:r w:rsidRPr="0007301F" w:rsidR="00CD234E">
          <w:rPr>
            <w:rStyle w:val="Hyperlink"/>
            <w:noProof/>
            <w:spacing w:val="-6"/>
          </w:rPr>
          <w:t>6.</w:t>
        </w:r>
        <w:r w:rsidR="00CD234E">
          <w:rPr>
            <w:rFonts w:asciiTheme="minorHAnsi" w:hAnsiTheme="minorHAnsi" w:eastAsiaTheme="minorEastAsia" w:cstheme="minorBidi"/>
            <w:noProof/>
            <w:kern w:val="2"/>
            <w:sz w:val="22"/>
            <w:szCs w:val="22"/>
            <w:lang w:eastAsia="en-IE"/>
            <w14:ligatures w14:val="standardContextual"/>
          </w:rPr>
          <w:tab/>
        </w:r>
        <w:r w:rsidRPr="0007301F" w:rsidR="00CD234E">
          <w:rPr>
            <w:rStyle w:val="Hyperlink"/>
            <w:rFonts w:cs="Arial"/>
            <w:noProof/>
            <w:spacing w:val="-6"/>
          </w:rPr>
          <w:t>RISK FACTORS</w:t>
        </w:r>
        <w:r w:rsidR="00CD234E">
          <w:rPr>
            <w:noProof/>
            <w:webHidden/>
          </w:rPr>
          <w:tab/>
        </w:r>
        <w:r w:rsidR="00CD234E">
          <w:rPr>
            <w:noProof/>
            <w:webHidden/>
          </w:rPr>
          <w:fldChar w:fldCharType="begin"/>
        </w:r>
        <w:r w:rsidR="00CD234E">
          <w:rPr>
            <w:noProof/>
            <w:webHidden/>
          </w:rPr>
          <w:instrText xml:space="preserve"> PAGEREF _Toc166678728 \h </w:instrText>
        </w:r>
        <w:r w:rsidR="00CD234E">
          <w:rPr>
            <w:noProof/>
            <w:webHidden/>
          </w:rPr>
        </w:r>
        <w:r w:rsidR="00CD234E">
          <w:rPr>
            <w:noProof/>
            <w:webHidden/>
          </w:rPr>
          <w:fldChar w:fldCharType="separate"/>
        </w:r>
        <w:r w:rsidR="00CD234E">
          <w:rPr>
            <w:noProof/>
            <w:webHidden/>
          </w:rPr>
          <w:t>15</w:t>
        </w:r>
        <w:r w:rsidR="00CD234E">
          <w:rPr>
            <w:noProof/>
            <w:webHidden/>
          </w:rPr>
          <w:fldChar w:fldCharType="end"/>
        </w:r>
      </w:hyperlink>
    </w:p>
    <w:p w:rsidR="00CD234E" w:rsidP="00CD234E" w:rsidRDefault="00DD6C69" w14:paraId="687E37FD" w14:textId="5D5B6C2A">
      <w:pPr>
        <w:pStyle w:val="TOC1"/>
        <w:rPr>
          <w:rFonts w:asciiTheme="minorHAnsi" w:hAnsiTheme="minorHAnsi" w:eastAsiaTheme="minorEastAsia" w:cstheme="minorBidi"/>
          <w:noProof/>
          <w:kern w:val="2"/>
          <w:sz w:val="22"/>
          <w:szCs w:val="22"/>
          <w:lang w:eastAsia="en-IE"/>
          <w14:ligatures w14:val="standardContextual"/>
        </w:rPr>
      </w:pPr>
      <w:hyperlink w:history="1" w:anchor="_Toc166678729">
        <w:r w:rsidRPr="0007301F" w:rsidR="00CD234E">
          <w:rPr>
            <w:rStyle w:val="Hyperlink"/>
            <w:noProof/>
          </w:rPr>
          <w:t>7.</w:t>
        </w:r>
        <w:r w:rsidR="00CD234E">
          <w:rPr>
            <w:rFonts w:asciiTheme="minorHAnsi" w:hAnsiTheme="minorHAnsi" w:eastAsiaTheme="minorEastAsia" w:cstheme="minorBidi"/>
            <w:noProof/>
            <w:kern w:val="2"/>
            <w:sz w:val="22"/>
            <w:szCs w:val="22"/>
            <w:lang w:eastAsia="en-IE"/>
            <w14:ligatures w14:val="standardContextual"/>
          </w:rPr>
          <w:tab/>
        </w:r>
        <w:r w:rsidRPr="0007301F" w:rsidR="00CD234E">
          <w:rPr>
            <w:rStyle w:val="Hyperlink"/>
            <w:rFonts w:cs="Arial"/>
            <w:noProof/>
          </w:rPr>
          <w:t>DIVIDEND POLICY</w:t>
        </w:r>
        <w:r w:rsidR="00CD234E">
          <w:rPr>
            <w:noProof/>
            <w:webHidden/>
          </w:rPr>
          <w:tab/>
        </w:r>
        <w:r w:rsidR="00CD234E">
          <w:rPr>
            <w:noProof/>
            <w:webHidden/>
          </w:rPr>
          <w:fldChar w:fldCharType="begin"/>
        </w:r>
        <w:r w:rsidR="00CD234E">
          <w:rPr>
            <w:noProof/>
            <w:webHidden/>
          </w:rPr>
          <w:instrText xml:space="preserve"> PAGEREF _Toc166678729 \h </w:instrText>
        </w:r>
        <w:r w:rsidR="00CD234E">
          <w:rPr>
            <w:noProof/>
            <w:webHidden/>
          </w:rPr>
        </w:r>
        <w:r w:rsidR="00CD234E">
          <w:rPr>
            <w:noProof/>
            <w:webHidden/>
          </w:rPr>
          <w:fldChar w:fldCharType="separate"/>
        </w:r>
        <w:r w:rsidR="00CD234E">
          <w:rPr>
            <w:noProof/>
            <w:webHidden/>
          </w:rPr>
          <w:t>15</w:t>
        </w:r>
        <w:r w:rsidR="00CD234E">
          <w:rPr>
            <w:noProof/>
            <w:webHidden/>
          </w:rPr>
          <w:fldChar w:fldCharType="end"/>
        </w:r>
      </w:hyperlink>
    </w:p>
    <w:p w:rsidR="00CD234E" w:rsidP="00CD234E" w:rsidRDefault="00DD6C69" w14:paraId="4D36C3D8" w14:textId="16378B4A">
      <w:pPr>
        <w:pStyle w:val="TOC1"/>
        <w:rPr>
          <w:rFonts w:asciiTheme="minorHAnsi" w:hAnsiTheme="minorHAnsi" w:eastAsiaTheme="minorEastAsia" w:cstheme="minorBidi"/>
          <w:noProof/>
          <w:kern w:val="2"/>
          <w:sz w:val="22"/>
          <w:szCs w:val="22"/>
          <w:lang w:eastAsia="en-IE"/>
          <w14:ligatures w14:val="standardContextual"/>
        </w:rPr>
      </w:pPr>
      <w:hyperlink w:history="1" w:anchor="_Toc166678730">
        <w:r w:rsidRPr="0007301F" w:rsidR="00CD234E">
          <w:rPr>
            <w:rStyle w:val="Hyperlink"/>
            <w:noProof/>
          </w:rPr>
          <w:t>8.</w:t>
        </w:r>
        <w:r w:rsidR="00CD234E">
          <w:rPr>
            <w:rFonts w:asciiTheme="minorHAnsi" w:hAnsiTheme="minorHAnsi" w:eastAsiaTheme="minorEastAsia" w:cstheme="minorBidi"/>
            <w:noProof/>
            <w:kern w:val="2"/>
            <w:sz w:val="22"/>
            <w:szCs w:val="22"/>
            <w:lang w:eastAsia="en-IE"/>
            <w14:ligatures w14:val="standardContextual"/>
          </w:rPr>
          <w:tab/>
        </w:r>
        <w:r w:rsidRPr="0007301F" w:rsidR="00CD234E">
          <w:rPr>
            <w:rStyle w:val="Hyperlink"/>
            <w:rFonts w:cs="Arial"/>
            <w:noProof/>
          </w:rPr>
          <w:t>KEY INFORMATION FOR SUBSCRIBING AND REDEEMING</w:t>
        </w:r>
        <w:r w:rsidR="00CD234E">
          <w:rPr>
            <w:noProof/>
            <w:webHidden/>
          </w:rPr>
          <w:tab/>
        </w:r>
        <w:r w:rsidR="00CD234E">
          <w:rPr>
            <w:noProof/>
            <w:webHidden/>
          </w:rPr>
          <w:fldChar w:fldCharType="begin"/>
        </w:r>
        <w:r w:rsidR="00CD234E">
          <w:rPr>
            <w:noProof/>
            <w:webHidden/>
          </w:rPr>
          <w:instrText xml:space="preserve"> PAGEREF _Toc166678730 \h </w:instrText>
        </w:r>
        <w:r w:rsidR="00CD234E">
          <w:rPr>
            <w:noProof/>
            <w:webHidden/>
          </w:rPr>
        </w:r>
        <w:r w:rsidR="00CD234E">
          <w:rPr>
            <w:noProof/>
            <w:webHidden/>
          </w:rPr>
          <w:fldChar w:fldCharType="separate"/>
        </w:r>
        <w:r w:rsidR="00CD234E">
          <w:rPr>
            <w:noProof/>
            <w:webHidden/>
          </w:rPr>
          <w:t>16</w:t>
        </w:r>
        <w:r w:rsidR="00CD234E">
          <w:rPr>
            <w:noProof/>
            <w:webHidden/>
          </w:rPr>
          <w:fldChar w:fldCharType="end"/>
        </w:r>
      </w:hyperlink>
    </w:p>
    <w:p w:rsidR="00CD234E" w:rsidP="00CD234E" w:rsidRDefault="00DD6C69" w14:paraId="490414A1" w14:textId="395C750D">
      <w:pPr>
        <w:pStyle w:val="TOC1"/>
        <w:rPr>
          <w:rFonts w:asciiTheme="minorHAnsi" w:hAnsiTheme="minorHAnsi" w:eastAsiaTheme="minorEastAsia" w:cstheme="minorBidi"/>
          <w:noProof/>
          <w:kern w:val="2"/>
          <w:sz w:val="22"/>
          <w:szCs w:val="22"/>
          <w:lang w:eastAsia="en-IE"/>
          <w14:ligatures w14:val="standardContextual"/>
        </w:rPr>
      </w:pPr>
      <w:hyperlink w:history="1" w:anchor="_Toc166678731">
        <w:r w:rsidRPr="0007301F" w:rsidR="00CD234E">
          <w:rPr>
            <w:rStyle w:val="Hyperlink"/>
            <w:noProof/>
          </w:rPr>
          <w:t>9.</w:t>
        </w:r>
        <w:r w:rsidR="00CD234E">
          <w:rPr>
            <w:rFonts w:asciiTheme="minorHAnsi" w:hAnsiTheme="minorHAnsi" w:eastAsiaTheme="minorEastAsia" w:cstheme="minorBidi"/>
            <w:noProof/>
            <w:kern w:val="2"/>
            <w:sz w:val="22"/>
            <w:szCs w:val="22"/>
            <w:lang w:eastAsia="en-IE"/>
            <w14:ligatures w14:val="standardContextual"/>
          </w:rPr>
          <w:tab/>
        </w:r>
        <w:r w:rsidRPr="0007301F" w:rsidR="00CD234E">
          <w:rPr>
            <w:rStyle w:val="Hyperlink"/>
            <w:rFonts w:cs="Arial"/>
            <w:noProof/>
          </w:rPr>
          <w:t>HOW TO SUBSCRIBE FOR SHARES</w:t>
        </w:r>
        <w:r w:rsidR="00CD234E">
          <w:rPr>
            <w:noProof/>
            <w:webHidden/>
          </w:rPr>
          <w:tab/>
        </w:r>
        <w:r w:rsidR="00CD234E">
          <w:rPr>
            <w:noProof/>
            <w:webHidden/>
          </w:rPr>
          <w:fldChar w:fldCharType="begin"/>
        </w:r>
        <w:r w:rsidR="00CD234E">
          <w:rPr>
            <w:noProof/>
            <w:webHidden/>
          </w:rPr>
          <w:instrText xml:space="preserve"> PAGEREF _Toc166678731 \h </w:instrText>
        </w:r>
        <w:r w:rsidR="00CD234E">
          <w:rPr>
            <w:noProof/>
            <w:webHidden/>
          </w:rPr>
        </w:r>
        <w:r w:rsidR="00CD234E">
          <w:rPr>
            <w:noProof/>
            <w:webHidden/>
          </w:rPr>
          <w:fldChar w:fldCharType="separate"/>
        </w:r>
        <w:r w:rsidR="00CD234E">
          <w:rPr>
            <w:noProof/>
            <w:webHidden/>
          </w:rPr>
          <w:t>17</w:t>
        </w:r>
        <w:r w:rsidR="00CD234E">
          <w:rPr>
            <w:noProof/>
            <w:webHidden/>
          </w:rPr>
          <w:fldChar w:fldCharType="end"/>
        </w:r>
      </w:hyperlink>
    </w:p>
    <w:p w:rsidR="00CD234E" w:rsidP="00CD234E" w:rsidRDefault="00DD6C69" w14:paraId="3C983231" w14:textId="56167C01">
      <w:pPr>
        <w:pStyle w:val="TOC1"/>
        <w:rPr>
          <w:rFonts w:asciiTheme="minorHAnsi" w:hAnsiTheme="minorHAnsi" w:eastAsiaTheme="minorEastAsia" w:cstheme="minorBidi"/>
          <w:noProof/>
          <w:kern w:val="2"/>
          <w:sz w:val="22"/>
          <w:szCs w:val="22"/>
          <w:lang w:eastAsia="en-IE"/>
          <w14:ligatures w14:val="standardContextual"/>
        </w:rPr>
      </w:pPr>
      <w:hyperlink w:history="1" w:anchor="_Toc166678732">
        <w:r w:rsidRPr="0007301F" w:rsidR="00CD234E">
          <w:rPr>
            <w:rStyle w:val="Hyperlink"/>
            <w:noProof/>
          </w:rPr>
          <w:t>10.</w:t>
        </w:r>
        <w:r w:rsidR="00CD234E">
          <w:rPr>
            <w:rFonts w:asciiTheme="minorHAnsi" w:hAnsiTheme="minorHAnsi" w:eastAsiaTheme="minorEastAsia" w:cstheme="minorBidi"/>
            <w:noProof/>
            <w:kern w:val="2"/>
            <w:sz w:val="22"/>
            <w:szCs w:val="22"/>
            <w:lang w:eastAsia="en-IE"/>
            <w14:ligatures w14:val="standardContextual"/>
          </w:rPr>
          <w:tab/>
        </w:r>
        <w:r w:rsidRPr="0007301F" w:rsidR="00CD234E">
          <w:rPr>
            <w:rStyle w:val="Hyperlink"/>
            <w:rFonts w:cs="Arial"/>
            <w:noProof/>
          </w:rPr>
          <w:t>HOW TO REDEEM SHARES</w:t>
        </w:r>
        <w:r w:rsidR="00CD234E">
          <w:rPr>
            <w:noProof/>
            <w:webHidden/>
          </w:rPr>
          <w:tab/>
        </w:r>
        <w:r w:rsidR="00CD234E">
          <w:rPr>
            <w:noProof/>
            <w:webHidden/>
          </w:rPr>
          <w:fldChar w:fldCharType="begin"/>
        </w:r>
        <w:r w:rsidR="00CD234E">
          <w:rPr>
            <w:noProof/>
            <w:webHidden/>
          </w:rPr>
          <w:instrText xml:space="preserve"> PAGEREF _Toc166678732 \h </w:instrText>
        </w:r>
        <w:r w:rsidR="00CD234E">
          <w:rPr>
            <w:noProof/>
            <w:webHidden/>
          </w:rPr>
        </w:r>
        <w:r w:rsidR="00CD234E">
          <w:rPr>
            <w:noProof/>
            <w:webHidden/>
          </w:rPr>
          <w:fldChar w:fldCharType="separate"/>
        </w:r>
        <w:r w:rsidR="00CD234E">
          <w:rPr>
            <w:noProof/>
            <w:webHidden/>
          </w:rPr>
          <w:t>17</w:t>
        </w:r>
        <w:r w:rsidR="00CD234E">
          <w:rPr>
            <w:noProof/>
            <w:webHidden/>
          </w:rPr>
          <w:fldChar w:fldCharType="end"/>
        </w:r>
      </w:hyperlink>
    </w:p>
    <w:p w:rsidR="00CD234E" w:rsidP="00CD234E" w:rsidRDefault="00DD6C69" w14:paraId="35CA4324" w14:textId="37F75E0F">
      <w:pPr>
        <w:pStyle w:val="TOC1"/>
        <w:rPr>
          <w:rFonts w:asciiTheme="minorHAnsi" w:hAnsiTheme="minorHAnsi" w:eastAsiaTheme="minorEastAsia" w:cstheme="minorBidi"/>
          <w:noProof/>
          <w:kern w:val="2"/>
          <w:sz w:val="22"/>
          <w:szCs w:val="22"/>
          <w:lang w:eastAsia="en-IE"/>
          <w14:ligatures w14:val="standardContextual"/>
        </w:rPr>
      </w:pPr>
      <w:hyperlink w:history="1" w:anchor="_Toc166678733">
        <w:r w:rsidRPr="0007301F" w:rsidR="00CD234E">
          <w:rPr>
            <w:rStyle w:val="Hyperlink"/>
            <w:noProof/>
          </w:rPr>
          <w:t>11.</w:t>
        </w:r>
        <w:r w:rsidR="00CD234E">
          <w:rPr>
            <w:rFonts w:asciiTheme="minorHAnsi" w:hAnsiTheme="minorHAnsi" w:eastAsiaTheme="minorEastAsia" w:cstheme="minorBidi"/>
            <w:noProof/>
            <w:kern w:val="2"/>
            <w:sz w:val="22"/>
            <w:szCs w:val="22"/>
            <w:lang w:eastAsia="en-IE"/>
            <w14:ligatures w14:val="standardContextual"/>
          </w:rPr>
          <w:tab/>
        </w:r>
        <w:r w:rsidRPr="0007301F" w:rsidR="00CD234E">
          <w:rPr>
            <w:rStyle w:val="Hyperlink"/>
            <w:rFonts w:cs="Arial"/>
            <w:noProof/>
          </w:rPr>
          <w:t>INVESTMENT MANAGER AND DISTRIBUTOR</w:t>
        </w:r>
        <w:r w:rsidR="00CD234E">
          <w:rPr>
            <w:noProof/>
            <w:webHidden/>
          </w:rPr>
          <w:tab/>
        </w:r>
        <w:r w:rsidR="00CD234E">
          <w:rPr>
            <w:noProof/>
            <w:webHidden/>
          </w:rPr>
          <w:fldChar w:fldCharType="begin"/>
        </w:r>
        <w:r w:rsidR="00CD234E">
          <w:rPr>
            <w:noProof/>
            <w:webHidden/>
          </w:rPr>
          <w:instrText xml:space="preserve"> PAGEREF _Toc166678733 \h </w:instrText>
        </w:r>
        <w:r w:rsidR="00CD234E">
          <w:rPr>
            <w:noProof/>
            <w:webHidden/>
          </w:rPr>
        </w:r>
        <w:r w:rsidR="00CD234E">
          <w:rPr>
            <w:noProof/>
            <w:webHidden/>
          </w:rPr>
          <w:fldChar w:fldCharType="separate"/>
        </w:r>
        <w:r w:rsidR="00CD234E">
          <w:rPr>
            <w:noProof/>
            <w:webHidden/>
          </w:rPr>
          <w:t>18</w:t>
        </w:r>
        <w:r w:rsidR="00CD234E">
          <w:rPr>
            <w:noProof/>
            <w:webHidden/>
          </w:rPr>
          <w:fldChar w:fldCharType="end"/>
        </w:r>
      </w:hyperlink>
    </w:p>
    <w:p w:rsidR="00CD234E" w:rsidP="00CD234E" w:rsidRDefault="00DD6C69" w14:paraId="2B7E7E8B" w14:textId="170EA4A6">
      <w:pPr>
        <w:pStyle w:val="TOC1"/>
        <w:rPr>
          <w:rFonts w:asciiTheme="minorHAnsi" w:hAnsiTheme="minorHAnsi" w:eastAsiaTheme="minorEastAsia" w:cstheme="minorBidi"/>
          <w:noProof/>
          <w:kern w:val="2"/>
          <w:sz w:val="22"/>
          <w:szCs w:val="22"/>
          <w:lang w:eastAsia="en-IE"/>
          <w14:ligatures w14:val="standardContextual"/>
        </w:rPr>
      </w:pPr>
      <w:hyperlink w:history="1" w:anchor="_Toc166678734">
        <w:r w:rsidRPr="0007301F" w:rsidR="00CD234E">
          <w:rPr>
            <w:rStyle w:val="Hyperlink"/>
            <w:noProof/>
          </w:rPr>
          <w:t>12.</w:t>
        </w:r>
        <w:r w:rsidR="00CD234E">
          <w:rPr>
            <w:rFonts w:asciiTheme="minorHAnsi" w:hAnsiTheme="minorHAnsi" w:eastAsiaTheme="minorEastAsia" w:cstheme="minorBidi"/>
            <w:noProof/>
            <w:kern w:val="2"/>
            <w:sz w:val="22"/>
            <w:szCs w:val="22"/>
            <w:lang w:eastAsia="en-IE"/>
            <w14:ligatures w14:val="standardContextual"/>
          </w:rPr>
          <w:tab/>
        </w:r>
        <w:r w:rsidRPr="0007301F" w:rsidR="00CD234E">
          <w:rPr>
            <w:rStyle w:val="Hyperlink"/>
            <w:rFonts w:cs="Arial"/>
            <w:noProof/>
          </w:rPr>
          <w:t>FEES AND EXPENSES</w:t>
        </w:r>
        <w:r w:rsidR="00CD234E">
          <w:rPr>
            <w:noProof/>
            <w:webHidden/>
          </w:rPr>
          <w:tab/>
        </w:r>
        <w:r w:rsidR="00CD234E">
          <w:rPr>
            <w:noProof/>
            <w:webHidden/>
          </w:rPr>
          <w:fldChar w:fldCharType="begin"/>
        </w:r>
        <w:r w:rsidR="00CD234E">
          <w:rPr>
            <w:noProof/>
            <w:webHidden/>
          </w:rPr>
          <w:instrText xml:space="preserve"> PAGEREF _Toc166678734 \h </w:instrText>
        </w:r>
        <w:r w:rsidR="00CD234E">
          <w:rPr>
            <w:noProof/>
            <w:webHidden/>
          </w:rPr>
        </w:r>
        <w:r w:rsidR="00CD234E">
          <w:rPr>
            <w:noProof/>
            <w:webHidden/>
          </w:rPr>
          <w:fldChar w:fldCharType="separate"/>
        </w:r>
        <w:r w:rsidR="00CD234E">
          <w:rPr>
            <w:noProof/>
            <w:webHidden/>
          </w:rPr>
          <w:t>18</w:t>
        </w:r>
        <w:r w:rsidR="00CD234E">
          <w:rPr>
            <w:noProof/>
            <w:webHidden/>
          </w:rPr>
          <w:fldChar w:fldCharType="end"/>
        </w:r>
      </w:hyperlink>
    </w:p>
    <w:p w:rsidRPr="00807474" w:rsidR="007F6172" w:rsidP="007F6172" w:rsidRDefault="007F6172" w14:paraId="6C404CA8" w14:textId="19B521AD">
      <w:pPr>
        <w:shd w:val="clear" w:color="auto" w:fill="FFFFFF"/>
        <w:ind w:left="5"/>
        <w:jc w:val="both"/>
        <w:rPr>
          <w:rFonts w:cs="Arial"/>
          <w:bCs/>
          <w:color w:val="000000"/>
          <w:spacing w:val="-1"/>
        </w:rPr>
      </w:pPr>
      <w:r w:rsidRPr="00807474">
        <w:rPr>
          <w:rFonts w:cs="Arial"/>
          <w:bCs/>
          <w:color w:val="000000"/>
          <w:spacing w:val="-1"/>
        </w:rPr>
        <w:fldChar w:fldCharType="end"/>
      </w:r>
    </w:p>
    <w:p w:rsidRPr="00807474" w:rsidR="007F6172" w:rsidP="007F6172" w:rsidRDefault="007F6172" w14:paraId="79C9B8F9" w14:textId="77777777">
      <w:pPr>
        <w:widowControl/>
        <w:jc w:val="both"/>
        <w:rPr>
          <w:rFonts w:cs="Arial"/>
          <w:bCs/>
          <w:color w:val="000000"/>
          <w:spacing w:val="-1"/>
        </w:rPr>
      </w:pPr>
      <w:r w:rsidRPr="00807474">
        <w:rPr>
          <w:rFonts w:cs="Arial"/>
          <w:bCs/>
          <w:color w:val="000000"/>
          <w:spacing w:val="-1"/>
        </w:rPr>
        <w:br w:type="page"/>
      </w:r>
    </w:p>
    <w:p w:rsidRPr="00807474" w:rsidR="007F6172" w:rsidP="007F6172" w:rsidRDefault="007F6172" w14:paraId="4ACA10AF" w14:textId="77777777">
      <w:pPr>
        <w:pStyle w:val="ALGHd1"/>
        <w:numPr>
          <w:ilvl w:val="0"/>
          <w:numId w:val="0"/>
        </w:numPr>
        <w:ind w:left="624" w:hanging="624"/>
      </w:pPr>
      <w:bookmarkStart w:name="_Toc166678722" w:id="0"/>
      <w:r w:rsidRPr="00807474">
        <w:lastRenderedPageBreak/>
        <w:t>GENERAL INFORMATION RELATING TO THE FUND</w:t>
      </w:r>
      <w:bookmarkEnd w:id="0"/>
    </w:p>
    <w:p w:rsidRPr="00807474" w:rsidR="007F6172" w:rsidP="007F6172" w:rsidRDefault="007F6172" w14:paraId="44EED687" w14:textId="77777777">
      <w:pPr>
        <w:ind w:left="720"/>
        <w:jc w:val="both"/>
      </w:pPr>
    </w:p>
    <w:p w:rsidRPr="00807474" w:rsidR="007F6172" w:rsidP="007F6172" w:rsidRDefault="007F6172" w14:paraId="19A8C16D" w14:textId="77777777">
      <w:pPr>
        <w:jc w:val="both"/>
      </w:pPr>
      <w:r w:rsidRPr="00807474">
        <w:t>Interpretation</w:t>
      </w:r>
    </w:p>
    <w:p w:rsidRPr="00807474" w:rsidR="007F6172" w:rsidP="007F6172" w:rsidRDefault="007F6172" w14:paraId="7A1137E7" w14:textId="77777777">
      <w:pPr>
        <w:shd w:val="clear" w:color="auto" w:fill="FFFFFF"/>
        <w:ind w:left="5"/>
        <w:jc w:val="both"/>
        <w:rPr>
          <w:rFonts w:cs="Arial"/>
          <w:bCs/>
          <w:color w:val="000000"/>
          <w:spacing w:val="-1"/>
        </w:rPr>
      </w:pPr>
    </w:p>
    <w:p w:rsidRPr="00807474" w:rsidR="007F6172" w:rsidP="007F6172" w:rsidRDefault="007F6172" w14:paraId="019A99CC" w14:textId="39199ED8">
      <w:pPr>
        <w:ind w:left="2694" w:hanging="2694"/>
        <w:jc w:val="both"/>
      </w:pPr>
      <w:r w:rsidRPr="00807474">
        <w:rPr>
          <w:b/>
        </w:rPr>
        <w:t>Business Day</w:t>
      </w:r>
      <w:r w:rsidRPr="00807474">
        <w:tab/>
        <w:t>means a day (other than a Saturday or Sunday) on which banks in Dublin</w:t>
      </w:r>
      <w:r w:rsidR="00012017">
        <w:t xml:space="preserve"> and</w:t>
      </w:r>
      <w:r w:rsidR="00644F17">
        <w:t xml:space="preserve"> </w:t>
      </w:r>
      <w:r w:rsidRPr="00807474">
        <w:t>London are open for normal business.</w:t>
      </w:r>
    </w:p>
    <w:p w:rsidRPr="00807474" w:rsidR="007F6172" w:rsidP="007F6172" w:rsidRDefault="007F6172" w14:paraId="230AEAC6" w14:textId="77777777">
      <w:pPr>
        <w:spacing w:before="240"/>
        <w:ind w:left="2694" w:hanging="2694"/>
        <w:jc w:val="both"/>
      </w:pPr>
      <w:r w:rsidRPr="00807474">
        <w:rPr>
          <w:b/>
        </w:rPr>
        <w:t>Base Currency</w:t>
      </w:r>
      <w:r>
        <w:tab/>
        <w:t>means GBP</w:t>
      </w:r>
      <w:r w:rsidRPr="00807474">
        <w:t>.</w:t>
      </w:r>
    </w:p>
    <w:p w:rsidRPr="00807474" w:rsidR="007F6172" w:rsidP="007F6172" w:rsidRDefault="007F6172" w14:paraId="74DD623A" w14:textId="2C26CF79">
      <w:pPr>
        <w:spacing w:before="240"/>
        <w:ind w:left="2694" w:hanging="2694"/>
        <w:jc w:val="both"/>
      </w:pPr>
      <w:r w:rsidRPr="00807474">
        <w:rPr>
          <w:b/>
        </w:rPr>
        <w:t>Classes</w:t>
      </w:r>
      <w:r w:rsidRPr="00807474">
        <w:tab/>
        <w:t>The Company has established the followi</w:t>
      </w:r>
      <w:r>
        <w:t>ng share classes: A Class (GBP)</w:t>
      </w:r>
      <w:r w:rsidRPr="00807474">
        <w:t xml:space="preserve">, </w:t>
      </w:r>
      <w:r w:rsidR="00D779E1">
        <w:t>A Class (EUR)</w:t>
      </w:r>
      <w:r w:rsidRPr="00807474" w:rsidR="00D779E1">
        <w:t xml:space="preserve">, </w:t>
      </w:r>
      <w:r w:rsidR="00D779E1">
        <w:t>A Class (USD)</w:t>
      </w:r>
      <w:r w:rsidRPr="00807474" w:rsidR="00D779E1">
        <w:t>,</w:t>
      </w:r>
      <w:r w:rsidRPr="00807474">
        <w:t xml:space="preserve"> </w:t>
      </w:r>
      <w:r w:rsidR="00781F54">
        <w:t>M Class (GBP),</w:t>
      </w:r>
      <w:r w:rsidR="000F3A52">
        <w:t xml:space="preserve"> M Class (USD)</w:t>
      </w:r>
      <w:r w:rsidR="00B51D79">
        <w:t xml:space="preserve"> and</w:t>
      </w:r>
      <w:r w:rsidR="000F3A52">
        <w:t xml:space="preserve"> M Class (EUR)</w:t>
      </w:r>
      <w:r w:rsidRPr="00807474">
        <w:t>.</w:t>
      </w:r>
    </w:p>
    <w:p w:rsidRPr="00807474" w:rsidR="007F6172" w:rsidP="007F6172" w:rsidRDefault="007F6172" w14:paraId="6C0E4E88" w14:textId="2954DCED">
      <w:pPr>
        <w:spacing w:before="240"/>
        <w:ind w:left="2694" w:hanging="2694"/>
        <w:jc w:val="both"/>
      </w:pPr>
      <w:r w:rsidRPr="00807474">
        <w:rPr>
          <w:b/>
        </w:rPr>
        <w:t>Dealing Day</w:t>
      </w:r>
      <w:r w:rsidRPr="00807474">
        <w:tab/>
        <w:t>means every Business Day.</w:t>
      </w:r>
      <w:r w:rsidR="00892CE0">
        <w:rPr>
          <w:rStyle w:val="FootnoteReference"/>
        </w:rPr>
        <w:footnoteReference w:id="1"/>
      </w:r>
    </w:p>
    <w:p w:rsidRPr="00807474" w:rsidR="007F6172" w:rsidP="007F6172" w:rsidRDefault="007F6172" w14:paraId="7BE79896" w14:textId="3B2176ED">
      <w:pPr>
        <w:spacing w:before="240"/>
        <w:ind w:left="2694" w:hanging="2694"/>
        <w:jc w:val="both"/>
      </w:pPr>
      <w:r w:rsidRPr="00807474">
        <w:rPr>
          <w:b/>
        </w:rPr>
        <w:t>Dealing Deadline</w:t>
      </w:r>
      <w:r w:rsidRPr="00807474">
        <w:tab/>
        <w:t xml:space="preserve">means </w:t>
      </w:r>
      <w:r w:rsidR="00436277">
        <w:t>10.30</w:t>
      </w:r>
      <w:r>
        <w:t xml:space="preserve"> </w:t>
      </w:r>
      <w:r w:rsidRPr="00807474">
        <w:t>(Irish time) on the relevant Dealing Day, or such other day or time as the Directors may determine and notify in advance to Shareholders provided it is prior to the relevant Valuation Point.</w:t>
      </w:r>
    </w:p>
    <w:p w:rsidRPr="00E7716E" w:rsidR="000F3A52" w:rsidP="00663CDE" w:rsidRDefault="007F6172" w14:paraId="49CC6A49" w14:textId="26B83B8A">
      <w:pPr>
        <w:spacing w:before="240"/>
        <w:ind w:left="2694" w:hanging="2694"/>
        <w:jc w:val="both"/>
      </w:pPr>
      <w:r w:rsidRPr="00A835BF">
        <w:rPr>
          <w:b/>
        </w:rPr>
        <w:t>Initial Offer Period</w:t>
      </w:r>
      <w:r>
        <w:rPr>
          <w:b/>
        </w:rPr>
        <w:tab/>
      </w:r>
      <w:r w:rsidRPr="00E7716E" w:rsidR="000F3A52">
        <w:t xml:space="preserve">The initial offer period for the M Class (EUR) Shares will be from 09.00 (Irish time) on </w:t>
      </w:r>
      <w:r w:rsidRPr="00E7716E" w:rsidR="002150C7">
        <w:t>25 March 2024</w:t>
      </w:r>
      <w:r w:rsidRPr="00E7716E" w:rsidR="000F3A52">
        <w:t xml:space="preserve"> until 17.00 (Irish time) on </w:t>
      </w:r>
      <w:r w:rsidRPr="00E7716E" w:rsidR="002150C7">
        <w:t>25 September 2024</w:t>
      </w:r>
      <w:r w:rsidRPr="00E7716E" w:rsidR="000F3A52">
        <w:t xml:space="preserve"> or such other dates as the Directors may determine and notify to the Central Bank as required.</w:t>
      </w:r>
    </w:p>
    <w:p w:rsidRPr="00E7716E" w:rsidR="00E7716E" w:rsidP="000F3A52" w:rsidRDefault="00E7716E" w14:paraId="15417BA6" w14:textId="46FBF4E6">
      <w:pPr>
        <w:spacing w:before="240"/>
        <w:ind w:left="2694"/>
        <w:jc w:val="both"/>
      </w:pPr>
      <w:r w:rsidRPr="00E7716E">
        <w:t>The initial offer period for the</w:t>
      </w:r>
      <w:r w:rsidRPr="00663CDE" w:rsidR="00663CDE">
        <w:t xml:space="preserve"> </w:t>
      </w:r>
      <w:r w:rsidRPr="00E7716E" w:rsidR="00663CDE">
        <w:t>A Class (GBP) Shares</w:t>
      </w:r>
      <w:r w:rsidR="00663CDE">
        <w:t>,</w:t>
      </w:r>
      <w:r w:rsidRPr="00663CDE" w:rsidR="00663CDE">
        <w:t xml:space="preserve"> </w:t>
      </w:r>
      <w:r w:rsidRPr="00E7716E" w:rsidR="00663CDE">
        <w:t>A Class (EUR) Shares</w:t>
      </w:r>
      <w:r w:rsidR="00663CDE">
        <w:t xml:space="preserve">, </w:t>
      </w:r>
      <w:r w:rsidRPr="00E7716E" w:rsidR="00663CDE">
        <w:t>A Class (USD)</w:t>
      </w:r>
      <w:r w:rsidR="00663CDE">
        <w:t xml:space="preserve"> Shares,</w:t>
      </w:r>
      <w:r w:rsidRPr="00E7716E" w:rsidR="00663CDE">
        <w:t xml:space="preserve"> M Class (GBP) Shares </w:t>
      </w:r>
      <w:r w:rsidR="00663CDE">
        <w:t xml:space="preserve">and </w:t>
      </w:r>
      <w:r w:rsidRPr="00E7716E" w:rsidR="00663CDE">
        <w:t xml:space="preserve">M Class (USD) Shares </w:t>
      </w:r>
      <w:r w:rsidR="00B426C4">
        <w:t>is</w:t>
      </w:r>
      <w:r w:rsidRPr="00E7716E">
        <w:t xml:space="preserve"> closed.</w:t>
      </w:r>
    </w:p>
    <w:p w:rsidR="007F6172" w:rsidP="007F6172" w:rsidRDefault="007F6172" w14:paraId="64D98391" w14:textId="740EA8C3">
      <w:pPr>
        <w:spacing w:before="240"/>
        <w:ind w:left="2694" w:hanging="2694"/>
        <w:jc w:val="both"/>
      </w:pPr>
      <w:r w:rsidRPr="00E7716E">
        <w:rPr>
          <w:b/>
        </w:rPr>
        <w:t xml:space="preserve">Initial Offer Price </w:t>
      </w:r>
      <w:r w:rsidRPr="00E7716E">
        <w:rPr>
          <w:b/>
        </w:rPr>
        <w:tab/>
      </w:r>
      <w:r w:rsidRPr="00E7716E">
        <w:t xml:space="preserve">means €1 per </w:t>
      </w:r>
      <w:r w:rsidRPr="00E7716E" w:rsidR="004F42AF">
        <w:t>M Class (EUR) Shares</w:t>
      </w:r>
      <w:r w:rsidRPr="00E7716E">
        <w:t>.</w:t>
      </w:r>
    </w:p>
    <w:p w:rsidR="00AA76DE" w:rsidP="00AA76DE" w:rsidRDefault="007F6172" w14:paraId="7E181023" w14:textId="77777777">
      <w:pPr>
        <w:spacing w:before="240"/>
        <w:ind w:left="2694" w:hanging="2694"/>
        <w:jc w:val="both"/>
      </w:pPr>
      <w:r w:rsidRPr="00A835BF">
        <w:rPr>
          <w:b/>
        </w:rPr>
        <w:t>Issue Price</w:t>
      </w:r>
      <w:r w:rsidRPr="00A835BF">
        <w:t xml:space="preserve"> </w:t>
      </w:r>
      <w:r>
        <w:tab/>
      </w:r>
      <w:r w:rsidRPr="00A835BF">
        <w:t xml:space="preserve">means during the Initial Offer Period for </w:t>
      </w:r>
      <w:r w:rsidRPr="00E7716E" w:rsidR="00AA76DE">
        <w:t>M Class (EUR) Shares</w:t>
      </w:r>
      <w:r w:rsidR="00AA76DE">
        <w:t xml:space="preserve">, </w:t>
      </w:r>
      <w:r w:rsidRPr="00A835BF" w:rsidR="00AA76DE">
        <w:t>the Initial Offer Price for the Class in question, and thereafter, subject as hereinafter provided, the Net Asset Value per Share of the relevant Class.</w:t>
      </w:r>
    </w:p>
    <w:p w:rsidR="007D1513" w:rsidP="00AA76DE" w:rsidRDefault="00AA76DE" w14:paraId="453B10CF" w14:textId="20430EF8">
      <w:pPr>
        <w:spacing w:before="240"/>
        <w:ind w:left="2694"/>
        <w:jc w:val="both"/>
      </w:pPr>
      <w:r>
        <w:t>A Class (GBP) Shares</w:t>
      </w:r>
      <w:r w:rsidRPr="00807474">
        <w:t xml:space="preserve">, </w:t>
      </w:r>
      <w:r>
        <w:t>A Class (EUR) Shares</w:t>
      </w:r>
      <w:r w:rsidRPr="00807474">
        <w:t xml:space="preserve">, </w:t>
      </w:r>
      <w:r>
        <w:t>A Class (USD) Shares</w:t>
      </w:r>
      <w:r w:rsidRPr="00807474">
        <w:t xml:space="preserve">, </w:t>
      </w:r>
      <w:r>
        <w:t xml:space="preserve">M Class (GBP) Shares and M Class (USD) Shares </w:t>
      </w:r>
      <w:r w:rsidR="009F51BA">
        <w:t xml:space="preserve">are available for issue at the current </w:t>
      </w:r>
      <w:r w:rsidR="0046026D">
        <w:t xml:space="preserve">issue price </w:t>
      </w:r>
      <w:r w:rsidR="009F51BA">
        <w:t>determined by reference to the Net Asset Value per Share.</w:t>
      </w:r>
    </w:p>
    <w:p w:rsidR="007F6172" w:rsidP="009F51BA" w:rsidRDefault="009F51BA" w14:paraId="0799478B" w14:textId="0600A141">
      <w:pPr>
        <w:spacing w:before="240"/>
        <w:ind w:left="2694"/>
        <w:jc w:val="both"/>
      </w:pPr>
      <w:r>
        <w:t>An Anti-Dilution Levy may be applied to the Issue Price of a Class as described below</w:t>
      </w:r>
      <w:r w:rsidRPr="00A835BF" w:rsidR="007F6172">
        <w:t>.</w:t>
      </w:r>
    </w:p>
    <w:p w:rsidR="007F6172" w:rsidP="007F6172" w:rsidRDefault="007F6172" w14:paraId="1E5A4842" w14:textId="77777777">
      <w:pPr>
        <w:spacing w:before="240"/>
        <w:ind w:left="2694" w:hanging="2694"/>
        <w:jc w:val="both"/>
        <w:rPr>
          <w:b/>
        </w:rPr>
      </w:pPr>
      <w:r>
        <w:rPr>
          <w:b/>
        </w:rPr>
        <w:t xml:space="preserve">Investment Manager </w:t>
      </w:r>
      <w:r>
        <w:rPr>
          <w:b/>
        </w:rPr>
        <w:tab/>
      </w:r>
      <w:r w:rsidRPr="0000115F">
        <w:t>means</w:t>
      </w:r>
      <w:r>
        <w:t xml:space="preserve"> Fortem Capital </w:t>
      </w:r>
      <w:r w:rsidRPr="004A4CFB">
        <w:t xml:space="preserve">Limited </w:t>
      </w:r>
      <w:r>
        <w:t>or any successor or addition thereto duly appointed in accordance with the requirements of the Central Bank.</w:t>
      </w:r>
    </w:p>
    <w:p w:rsidRPr="00807474" w:rsidR="007F6172" w:rsidP="007F6172" w:rsidRDefault="007F6172" w14:paraId="0892DEA0" w14:textId="77777777">
      <w:pPr>
        <w:spacing w:before="240"/>
        <w:ind w:left="2694" w:hanging="2694"/>
        <w:jc w:val="both"/>
        <w:rPr>
          <w:b/>
          <w:u w:val="single"/>
        </w:rPr>
      </w:pPr>
      <w:r w:rsidRPr="00807474">
        <w:rPr>
          <w:b/>
        </w:rPr>
        <w:t>Minimum Fund Size</w:t>
      </w:r>
      <w:r w:rsidRPr="00807474">
        <w:tab/>
        <w:t xml:space="preserve">means </w:t>
      </w:r>
      <w:r>
        <w:t>£2,000,000</w:t>
      </w:r>
      <w:r w:rsidRPr="00807474">
        <w:t xml:space="preserve"> (or such other amount as the Directors may determine). </w:t>
      </w:r>
    </w:p>
    <w:p w:rsidRPr="000B4DC7" w:rsidR="007F6172" w:rsidP="007F6172" w:rsidRDefault="007F6172" w14:paraId="05736104" w14:textId="77777777">
      <w:pPr>
        <w:spacing w:before="240"/>
        <w:ind w:left="2694" w:hanging="2694"/>
        <w:jc w:val="both"/>
      </w:pPr>
      <w:r>
        <w:rPr>
          <w:b/>
        </w:rPr>
        <w:t>Exchange Charge</w:t>
      </w:r>
      <w:r>
        <w:rPr>
          <w:b/>
        </w:rPr>
        <w:tab/>
      </w:r>
      <w:r w:rsidRPr="000B4DC7">
        <w:t>Nil</w:t>
      </w:r>
    </w:p>
    <w:p w:rsidRPr="00807474" w:rsidR="007F6172" w:rsidP="007F6172" w:rsidRDefault="007F6172" w14:paraId="365D9578" w14:textId="77777777">
      <w:pPr>
        <w:spacing w:before="240"/>
        <w:ind w:left="2694" w:hanging="2694"/>
        <w:jc w:val="both"/>
      </w:pPr>
      <w:r w:rsidRPr="00807474">
        <w:rPr>
          <w:b/>
        </w:rPr>
        <w:t>Redemption Charge</w:t>
      </w:r>
      <w:r w:rsidRPr="00807474">
        <w:tab/>
        <w:t>Nil</w:t>
      </w:r>
    </w:p>
    <w:p w:rsidR="00436277" w:rsidP="00436277" w:rsidRDefault="007F6172" w14:paraId="315DEA6D" w14:textId="77777777">
      <w:pPr>
        <w:spacing w:before="240"/>
        <w:ind w:left="2694" w:hanging="2694"/>
        <w:jc w:val="both"/>
      </w:pPr>
      <w:r w:rsidRPr="003758BD">
        <w:rPr>
          <w:b/>
        </w:rPr>
        <w:t>Anti-Dilution Levy</w:t>
      </w:r>
      <w:r>
        <w:tab/>
      </w:r>
      <w:r w:rsidRPr="00807474">
        <w:t>To preserve the value of the underlying assets and to cover dealing costs the Investment Manager on behalf of the Company may apply to subscriptions and redemption proceeds</w:t>
      </w:r>
      <w:r>
        <w:t>,</w:t>
      </w:r>
      <w:r w:rsidRPr="00807474">
        <w:t xml:space="preserve"> when there are net subscriptions or redemptions</w:t>
      </w:r>
      <w:r>
        <w:t>,</w:t>
      </w:r>
      <w:r w:rsidRPr="00807474">
        <w:t xml:space="preserve"> as appropriate</w:t>
      </w:r>
      <w:r>
        <w:t>,</w:t>
      </w:r>
      <w:r w:rsidRPr="00807474">
        <w:t xml:space="preserve"> exceeding </w:t>
      </w:r>
      <w:r>
        <w:t xml:space="preserve">5% of the Net Asset Value of the Fund, </w:t>
      </w:r>
      <w:r w:rsidRPr="00807474">
        <w:t xml:space="preserve">an anti-dilution levy of up to a maximum of </w:t>
      </w:r>
      <w:r>
        <w:t>0.75</w:t>
      </w:r>
      <w:r w:rsidRPr="00807474">
        <w:t>% of the amount subscribed or redeemed to cover dealing costs and to preserve the underlying assets of the relevant Fund.  Any such charge shall be retained for the benefit of the Fund.  The Investment Manager, on behalf of the Company, reserves the right to waive such charge at any time.</w:t>
      </w:r>
    </w:p>
    <w:p w:rsidRPr="00807474" w:rsidR="00436277" w:rsidP="00436277" w:rsidRDefault="00436277" w14:paraId="0A3B04AA" w14:textId="7505CBD4">
      <w:pPr>
        <w:spacing w:before="240"/>
        <w:ind w:left="2694"/>
        <w:jc w:val="both"/>
      </w:pPr>
      <w:r>
        <w:t xml:space="preserve">Where an Anti-Dilution Levy is applied, no Swing Pricing (as defined below) will be </w:t>
      </w:r>
      <w:r>
        <w:lastRenderedPageBreak/>
        <w:t>applied on the same Dealing Day.</w:t>
      </w:r>
    </w:p>
    <w:p w:rsidR="007F6172" w:rsidP="007F6172" w:rsidRDefault="007F6172" w14:paraId="790841E6" w14:textId="77777777">
      <w:pPr>
        <w:spacing w:before="240"/>
        <w:ind w:left="2694" w:hanging="2694"/>
        <w:jc w:val="both"/>
      </w:pPr>
      <w:r w:rsidRPr="00807474">
        <w:rPr>
          <w:b/>
        </w:rPr>
        <w:t>Settlement Date</w:t>
      </w:r>
      <w:r w:rsidRPr="00807474">
        <w:tab/>
      </w:r>
      <w:r>
        <w:t xml:space="preserve">means the fourth Business Day following the relevant Dealing Day in the case of subscriptions.  In the case of redemptions, proceeds will usually be paid (by wire transfer to a specified account at the Shareholder's risk and expense) within four Business Days of the Valuation Point </w:t>
      </w:r>
      <w:r w:rsidRPr="00D3172F">
        <w:t xml:space="preserve">and should not exceed ten Business Days after the relevant Dealing Day </w:t>
      </w:r>
      <w:r w:rsidRPr="00ED611F">
        <w:t xml:space="preserve">provided the Subscription </w:t>
      </w:r>
      <w:r>
        <w:t>Agreement</w:t>
      </w:r>
      <w:r w:rsidRPr="00ED611F">
        <w:t xml:space="preserve"> (together with the supporting documentation in relation to money laundering prevention checks and any documentation deemed necessary for regulatory or taxation purposes) has been received and the anti-money laundering procedures have been completed</w:t>
      </w:r>
      <w:r>
        <w:t>.</w:t>
      </w:r>
    </w:p>
    <w:p w:rsidR="00436277" w:rsidP="00436277" w:rsidRDefault="00436277" w14:paraId="552A3AE4" w14:textId="77777777">
      <w:pPr>
        <w:spacing w:before="240"/>
        <w:ind w:left="2694" w:hanging="2694"/>
        <w:jc w:val="both"/>
      </w:pPr>
      <w:r w:rsidRPr="00436277">
        <w:rPr>
          <w:b/>
          <w:bCs/>
        </w:rPr>
        <w:t>Swing Pricing</w:t>
      </w:r>
      <w:r>
        <w:t xml:space="preserve"> </w:t>
      </w:r>
      <w:r>
        <w:tab/>
        <w:t xml:space="preserve">The Directors may, in the event of substantial or recurring net subscriptions or net redemptions of Shares, adjust (“swing”) the Net Asset Value per Share to reflect the value of the Fund’s assets using the market dealing offer price or bid price (as applicable), as described in the </w:t>
      </w:r>
      <w:r w:rsidRPr="00436277">
        <w:rPr>
          <w:b/>
          <w:bCs/>
        </w:rPr>
        <w:t xml:space="preserve">Calculation Of Net Asset Value/Valuation Of Assets </w:t>
      </w:r>
      <w:r>
        <w:t>section of the Prospectus.</w:t>
      </w:r>
    </w:p>
    <w:p w:rsidR="00436277" w:rsidP="00436277" w:rsidRDefault="00436277" w14:paraId="539E2740" w14:textId="1D04028C">
      <w:pPr>
        <w:spacing w:before="240"/>
        <w:ind w:left="2694"/>
        <w:jc w:val="both"/>
      </w:pPr>
      <w:r>
        <w:t>Where Swing Pricing is applied, it shall be applied consistently with respect to the assets of the Fund and no Anti-Dilution Levy will be applied on the same Dealing Day.</w:t>
      </w:r>
    </w:p>
    <w:p w:rsidRPr="00807474" w:rsidR="007F6172" w:rsidP="007F6172" w:rsidRDefault="007F6172" w14:paraId="4CD51C79" w14:textId="77777777">
      <w:pPr>
        <w:spacing w:before="240"/>
        <w:ind w:left="2694" w:hanging="2694"/>
        <w:jc w:val="both"/>
      </w:pPr>
      <w:r w:rsidRPr="00807474">
        <w:rPr>
          <w:b/>
        </w:rPr>
        <w:t>Valuation Point</w:t>
      </w:r>
      <w:r w:rsidRPr="00807474">
        <w:tab/>
        <w:t>means 23.00 (Irish time) on each Dealing Day.</w:t>
      </w:r>
    </w:p>
    <w:p w:rsidRPr="00807474" w:rsidR="007F6172" w:rsidP="007F6172" w:rsidRDefault="007F6172" w14:paraId="26B23AFB" w14:textId="77777777">
      <w:pPr>
        <w:spacing w:before="240"/>
        <w:ind w:left="2694" w:hanging="2694"/>
        <w:jc w:val="both"/>
      </w:pPr>
      <w:r w:rsidRPr="00807474">
        <w:t>All other defined terms used in this Supplement shall have the same meaning as in the Prospectus.</w:t>
      </w:r>
    </w:p>
    <w:p w:rsidRPr="00807474" w:rsidR="007F6172" w:rsidP="007F6172" w:rsidRDefault="007F6172" w14:paraId="1E8D6DAD" w14:textId="77777777">
      <w:pPr>
        <w:shd w:val="clear" w:color="auto" w:fill="FFFFFF"/>
        <w:ind w:left="5"/>
        <w:jc w:val="both"/>
        <w:rPr>
          <w:rFonts w:cs="Arial"/>
          <w:bCs/>
          <w:color w:val="000000"/>
          <w:spacing w:val="-1"/>
        </w:rPr>
      </w:pPr>
    </w:p>
    <w:p w:rsidRPr="00807474" w:rsidR="007F6172" w:rsidP="007F6172" w:rsidRDefault="007F6172" w14:paraId="32B54C0E" w14:textId="77777777">
      <w:pPr>
        <w:pStyle w:val="Heading1"/>
        <w:numPr>
          <w:ilvl w:val="0"/>
          <w:numId w:val="1"/>
        </w:numPr>
        <w:pBdr>
          <w:bottom w:val="single" w:color="auto" w:sz="12" w:space="1"/>
        </w:pBdr>
        <w:jc w:val="both"/>
      </w:pPr>
      <w:r w:rsidRPr="00807474">
        <w:rPr>
          <w:rFonts w:cs="Arial"/>
        </w:rPr>
        <w:br w:type="page"/>
      </w:r>
      <w:bookmarkStart w:name="_Toc166678723" w:id="1"/>
      <w:r w:rsidRPr="00807474">
        <w:rPr>
          <w:rFonts w:cs="Arial"/>
        </w:rPr>
        <w:lastRenderedPageBreak/>
        <w:t>INVESTMENT OBJECTIVE AND POLICIES</w:t>
      </w:r>
      <w:bookmarkEnd w:id="1"/>
    </w:p>
    <w:p w:rsidRPr="00807474" w:rsidR="007F6172" w:rsidP="007F6172" w:rsidRDefault="007F6172" w14:paraId="7033967D" w14:textId="77777777">
      <w:pPr>
        <w:jc w:val="both"/>
        <w:rPr>
          <w:rFonts w:cs="Arial"/>
        </w:rPr>
      </w:pPr>
    </w:p>
    <w:p w:rsidRPr="00EC5DBF" w:rsidR="007F6172" w:rsidP="007F6172" w:rsidRDefault="007F6172" w14:paraId="06213EB6" w14:textId="77777777">
      <w:pPr>
        <w:pStyle w:val="Heading2"/>
        <w:numPr>
          <w:ilvl w:val="1"/>
          <w:numId w:val="1"/>
        </w:numPr>
        <w:rPr>
          <w:b/>
        </w:rPr>
      </w:pPr>
      <w:r w:rsidRPr="00EC5DBF">
        <w:rPr>
          <w:b/>
        </w:rPr>
        <w:t>Investment Objective and Strategy</w:t>
      </w:r>
    </w:p>
    <w:p w:rsidRPr="00807474" w:rsidR="007F6172" w:rsidP="007F6172" w:rsidRDefault="007F6172" w14:paraId="446F84FD" w14:textId="77777777">
      <w:pPr>
        <w:jc w:val="both"/>
        <w:rPr>
          <w:rFonts w:cs="Arial"/>
        </w:rPr>
      </w:pPr>
    </w:p>
    <w:p w:rsidR="007F6172" w:rsidP="007F6172" w:rsidRDefault="007F6172" w14:paraId="054DB295" w14:textId="77777777">
      <w:pPr>
        <w:pStyle w:val="L1Para"/>
        <w:jc w:val="both"/>
        <w:rPr>
          <w:rFonts w:cs="Arial"/>
        </w:rPr>
      </w:pPr>
      <w:r w:rsidRPr="00807474">
        <w:rPr>
          <w:rFonts w:cs="Arial"/>
        </w:rPr>
        <w:t xml:space="preserve">The investment objective of the Fund is to seek to deliver long-term </w:t>
      </w:r>
      <w:r>
        <w:rPr>
          <w:rFonts w:cs="Arial"/>
        </w:rPr>
        <w:t xml:space="preserve">capital </w:t>
      </w:r>
      <w:r w:rsidRPr="00807474">
        <w:rPr>
          <w:rFonts w:cs="Arial"/>
        </w:rPr>
        <w:t>growth</w:t>
      </w:r>
      <w:r>
        <w:rPr>
          <w:rFonts w:cs="Arial"/>
        </w:rPr>
        <w:t xml:space="preserve">.  </w:t>
      </w:r>
    </w:p>
    <w:p w:rsidR="007F6172" w:rsidP="007F6172" w:rsidRDefault="007F6172" w14:paraId="10C8BB59" w14:textId="77777777"/>
    <w:p w:rsidR="007F6172" w:rsidP="007F6172" w:rsidRDefault="007F6172" w14:paraId="7FC8082A" w14:textId="77777777">
      <w:pPr>
        <w:ind w:left="709"/>
        <w:jc w:val="both"/>
      </w:pPr>
      <w:r w:rsidRPr="00520825">
        <w:t xml:space="preserve">The Fund will endeavour to achieve its investment objective by investing in </w:t>
      </w:r>
      <w:r>
        <w:t xml:space="preserve">a </w:t>
      </w:r>
      <w:r w:rsidRPr="008E650B">
        <w:t xml:space="preserve">range of asset classes as set out in the </w:t>
      </w:r>
      <w:r w:rsidRPr="00F05DCB">
        <w:rPr>
          <w:b/>
        </w:rPr>
        <w:t>Investment Policies</w:t>
      </w:r>
      <w:r w:rsidRPr="008E650B">
        <w:t xml:space="preserve"> section below</w:t>
      </w:r>
      <w:r w:rsidRPr="001359B9">
        <w:t xml:space="preserve"> while seeking to achieve </w:t>
      </w:r>
      <w:r>
        <w:t xml:space="preserve">returns resulting in </w:t>
      </w:r>
      <w:r w:rsidRPr="001359B9">
        <w:t>lower levels of volatility than that experienced in broader equity markets</w:t>
      </w:r>
      <w:r w:rsidRPr="00520825">
        <w:t>.</w:t>
      </w:r>
    </w:p>
    <w:p w:rsidR="007F6172" w:rsidP="007F6172" w:rsidRDefault="007F6172" w14:paraId="37EE345C" w14:textId="77777777">
      <w:pPr>
        <w:ind w:firstLine="720"/>
      </w:pPr>
    </w:p>
    <w:p w:rsidRPr="00520825" w:rsidR="007F6172" w:rsidP="007F6172" w:rsidRDefault="007F6172" w14:paraId="485B8610" w14:textId="77777777">
      <w:pPr>
        <w:ind w:firstLine="720"/>
      </w:pPr>
      <w:r w:rsidRPr="00520825">
        <w:t>There is no guarantee that the investment objective of the Fund will be achieved.</w:t>
      </w:r>
    </w:p>
    <w:p w:rsidRPr="00807474" w:rsidR="007F6172" w:rsidP="007F6172" w:rsidRDefault="007F6172" w14:paraId="7A32E914" w14:textId="77777777">
      <w:pPr>
        <w:jc w:val="both"/>
      </w:pPr>
    </w:p>
    <w:p w:rsidRPr="00EC5DBF" w:rsidR="007F6172" w:rsidP="007F6172" w:rsidRDefault="007F6172" w14:paraId="0E24993B" w14:textId="77777777">
      <w:pPr>
        <w:pStyle w:val="Heading2"/>
        <w:numPr>
          <w:ilvl w:val="1"/>
          <w:numId w:val="1"/>
        </w:numPr>
        <w:rPr>
          <w:b/>
        </w:rPr>
      </w:pPr>
      <w:r w:rsidRPr="00EC5DBF">
        <w:rPr>
          <w:b/>
        </w:rPr>
        <w:t>Investment Policy</w:t>
      </w:r>
    </w:p>
    <w:p w:rsidRPr="004A771A" w:rsidR="007F6172" w:rsidP="007F6172" w:rsidRDefault="007F6172" w14:paraId="2D1734BE" w14:textId="77777777"/>
    <w:p w:rsidR="007F6172" w:rsidP="007F6172" w:rsidRDefault="007F6172" w14:paraId="6E4F1B5C" w14:textId="77777777">
      <w:pPr>
        <w:ind w:left="720"/>
        <w:jc w:val="both"/>
        <w:rPr>
          <w:rFonts w:cs="Arial"/>
        </w:rPr>
      </w:pPr>
      <w:r w:rsidRPr="00520825">
        <w:rPr>
          <w:rFonts w:cs="Arial"/>
        </w:rPr>
        <w:t>The Fund may invest in or seek exposure to a range of asset classes, determined by the Investment Manager</w:t>
      </w:r>
      <w:r>
        <w:rPr>
          <w:rFonts w:cs="Arial"/>
        </w:rPr>
        <w:t xml:space="preserve"> as set out below</w:t>
      </w:r>
      <w:r w:rsidRPr="00DD597B">
        <w:rPr>
          <w:rFonts w:cs="Arial"/>
        </w:rPr>
        <w:t>, to seek to deliver attractive risk adjusted returns</w:t>
      </w:r>
      <w:r>
        <w:rPr>
          <w:rFonts w:cs="Arial"/>
        </w:rPr>
        <w:t>.</w:t>
      </w:r>
      <w:r w:rsidRPr="00520825">
        <w:rPr>
          <w:rFonts w:cs="Arial"/>
        </w:rPr>
        <w:t xml:space="preserve">  The Investment Manager will construct the portfolio of assets which it considers </w:t>
      </w:r>
      <w:r>
        <w:rPr>
          <w:rFonts w:cs="Arial"/>
        </w:rPr>
        <w:t xml:space="preserve">encompass </w:t>
      </w:r>
      <w:r w:rsidRPr="00520825">
        <w:rPr>
          <w:rFonts w:cs="Arial"/>
        </w:rPr>
        <w:t xml:space="preserve">the most advantageous asset classes, geographic regions, sectors and market capitalisations taking into consideration the macro environment (such as interest rates, </w:t>
      </w:r>
      <w:r>
        <w:rPr>
          <w:rFonts w:cs="Arial"/>
        </w:rPr>
        <w:t xml:space="preserve">performance of </w:t>
      </w:r>
      <w:r w:rsidRPr="00520825">
        <w:rPr>
          <w:rFonts w:cs="Arial"/>
        </w:rPr>
        <w:t>GDP, unemployment, monetary and fiscal trends) at the time of selection.  Accordingly, the allocation across the</w:t>
      </w:r>
      <w:r>
        <w:rPr>
          <w:rFonts w:cs="Arial"/>
        </w:rPr>
        <w:t xml:space="preserve"> below</w:t>
      </w:r>
      <w:r w:rsidRPr="00520825">
        <w:rPr>
          <w:rFonts w:cs="Arial"/>
        </w:rPr>
        <w:t xml:space="preserve"> asset classes at any time is determined by the Investment Manager on an unconstrained basis. </w:t>
      </w:r>
    </w:p>
    <w:p w:rsidR="007F6172" w:rsidP="007F6172" w:rsidRDefault="007F6172" w14:paraId="6BD99D6B" w14:textId="77777777">
      <w:pPr>
        <w:ind w:left="720"/>
        <w:jc w:val="both"/>
        <w:rPr>
          <w:rFonts w:cs="Arial"/>
        </w:rPr>
      </w:pPr>
    </w:p>
    <w:p w:rsidR="007F6172" w:rsidP="007F6172" w:rsidRDefault="007F6172" w14:paraId="1678FB99" w14:textId="77777777">
      <w:pPr>
        <w:ind w:left="720"/>
        <w:jc w:val="both"/>
        <w:rPr>
          <w:rFonts w:cs="Arial"/>
        </w:rPr>
      </w:pPr>
      <w:r>
        <w:rPr>
          <w:rFonts w:cs="Arial"/>
        </w:rPr>
        <w:t>T</w:t>
      </w:r>
      <w:r w:rsidRPr="00D54B48">
        <w:rPr>
          <w:rFonts w:cs="Arial"/>
        </w:rPr>
        <w:t xml:space="preserve">he Investment Manager will consider all securities and asset classes </w:t>
      </w:r>
      <w:r w:rsidRPr="001359B9">
        <w:rPr>
          <w:rFonts w:cs="Arial"/>
        </w:rPr>
        <w:t xml:space="preserve">(as detailed below) </w:t>
      </w:r>
      <w:r w:rsidRPr="00D54B48">
        <w:rPr>
          <w:rFonts w:cs="Arial"/>
        </w:rPr>
        <w:t xml:space="preserve">to best achieve the Fund's investment objective.  </w:t>
      </w:r>
      <w:r>
        <w:rPr>
          <w:rFonts w:cs="Arial"/>
        </w:rPr>
        <w:t xml:space="preserve">The Fund intends to achieve its objective by actively managing direct and indirect exposure, without limitation to the asset classes outlined below. </w:t>
      </w:r>
      <w:r w:rsidRPr="00D54B48">
        <w:rPr>
          <w:rFonts w:cs="Arial"/>
        </w:rPr>
        <w:t>In most market conditions (excluding exceptional market conditions) it is expected that the majority of Fund's assets will be invested in Collective Investment Schemes</w:t>
      </w:r>
      <w:r>
        <w:rPr>
          <w:rFonts w:cs="Arial"/>
        </w:rPr>
        <w:t>, O</w:t>
      </w:r>
      <w:r w:rsidRPr="00D54B48">
        <w:rPr>
          <w:rFonts w:cs="Arial"/>
        </w:rPr>
        <w:t>ther Transferable Securities</w:t>
      </w:r>
      <w:r>
        <w:rPr>
          <w:rFonts w:cs="Arial"/>
        </w:rPr>
        <w:t xml:space="preserve"> </w:t>
      </w:r>
      <w:r w:rsidRPr="00D54B48">
        <w:rPr>
          <w:rFonts w:cs="Arial"/>
        </w:rPr>
        <w:t>(as detailed below)</w:t>
      </w:r>
      <w:r>
        <w:rPr>
          <w:rFonts w:cs="Arial"/>
        </w:rPr>
        <w:t>,</w:t>
      </w:r>
      <w:r w:rsidRPr="00D54B48">
        <w:rPr>
          <w:rFonts w:cs="Arial"/>
        </w:rPr>
        <w:t xml:space="preserve"> </w:t>
      </w:r>
      <w:r w:rsidRPr="001359B9">
        <w:rPr>
          <w:rFonts w:cs="Arial"/>
        </w:rPr>
        <w:t>Debt Securities, Property and/or Liquid Assets (as detailed below)</w:t>
      </w:r>
      <w:r>
        <w:rPr>
          <w:rFonts w:cs="Arial"/>
        </w:rPr>
        <w:t>, as well as indirect exposure to other asset classes such as FX and commodities, all of which comply with the requirements of the Regulations and the Central Bank UCITS Regulations. T</w:t>
      </w:r>
      <w:r w:rsidRPr="00D54B48">
        <w:rPr>
          <w:rFonts w:cs="Arial"/>
        </w:rPr>
        <w:t xml:space="preserve">here is no geographic, economic or industry focus to the Fund. The Investment Manager believes that investing in such </w:t>
      </w:r>
      <w:r w:rsidRPr="00D54B48" w:rsidR="00627095">
        <w:rPr>
          <w:rFonts w:cs="Arial"/>
        </w:rPr>
        <w:t>Collective Investment Schemes</w:t>
      </w:r>
      <w:r w:rsidR="00627095">
        <w:rPr>
          <w:rFonts w:cs="Arial"/>
        </w:rPr>
        <w:t>, O</w:t>
      </w:r>
      <w:r w:rsidRPr="00D54B48" w:rsidR="00627095">
        <w:rPr>
          <w:rFonts w:cs="Arial"/>
        </w:rPr>
        <w:t>ther Transferable Securities</w:t>
      </w:r>
      <w:r w:rsidR="00627095">
        <w:rPr>
          <w:rFonts w:cs="Arial"/>
        </w:rPr>
        <w:t xml:space="preserve">, securities and asset classes </w:t>
      </w:r>
      <w:r w:rsidRPr="00D54B48">
        <w:rPr>
          <w:rFonts w:cs="Arial"/>
        </w:rPr>
        <w:t xml:space="preserve">is likely to be a more efficient way of achieving diversification of assets.  </w:t>
      </w:r>
    </w:p>
    <w:p w:rsidR="007F6172" w:rsidP="007F6172" w:rsidRDefault="007F6172" w14:paraId="3A58DB73" w14:textId="77777777">
      <w:pPr>
        <w:ind w:left="720"/>
        <w:jc w:val="both"/>
        <w:rPr>
          <w:rFonts w:cs="Arial"/>
        </w:rPr>
      </w:pPr>
    </w:p>
    <w:p w:rsidRPr="00020C65" w:rsidR="007F6172" w:rsidP="007F6172" w:rsidRDefault="007F6172" w14:paraId="7DE78D76" w14:textId="77777777">
      <w:pPr>
        <w:ind w:left="720"/>
        <w:jc w:val="both"/>
        <w:rPr>
          <w:rFonts w:cs="Arial"/>
        </w:rPr>
      </w:pPr>
      <w:r w:rsidRPr="00020C65">
        <w:rPr>
          <w:rFonts w:cs="Arial"/>
        </w:rPr>
        <w:t xml:space="preserve">The Investment Manager employs a top-down, asset allocation approach to investing the assets of the Fund.  The starting point is the overall macroeconomic environment.  Macro views will be formed through reading, analysing and assessing economic data from around the world from many different publishing sources.  The selection of appropriate asset classes will be made using both the Investment Managers’ long-term experience and through employing a rigorous approach to quantitative and qualitative research. </w:t>
      </w:r>
      <w:r w:rsidRPr="003F25B2">
        <w:rPr>
          <w:rFonts w:cs="Arial"/>
        </w:rPr>
        <w:t>Sources of quantitative research may include Bloomberg and FE Analytics</w:t>
      </w:r>
      <w:r w:rsidR="00C929E4">
        <w:rPr>
          <w:rFonts w:cs="Arial"/>
        </w:rPr>
        <w:t>.</w:t>
      </w:r>
    </w:p>
    <w:p w:rsidRPr="00020C65" w:rsidR="007F6172" w:rsidP="007F6172" w:rsidRDefault="007F6172" w14:paraId="372ADB08" w14:textId="77777777">
      <w:pPr>
        <w:ind w:left="720"/>
        <w:jc w:val="both"/>
        <w:rPr>
          <w:rFonts w:cs="Arial"/>
        </w:rPr>
      </w:pPr>
    </w:p>
    <w:p w:rsidRPr="00020C65" w:rsidR="007F6172" w:rsidP="007F6172" w:rsidRDefault="007F6172" w14:paraId="0221A2CB" w14:textId="77777777">
      <w:pPr>
        <w:ind w:left="720"/>
        <w:jc w:val="both"/>
        <w:rPr>
          <w:rFonts w:cs="Arial"/>
        </w:rPr>
      </w:pPr>
      <w:r w:rsidRPr="001359B9">
        <w:rPr>
          <w:rFonts w:cs="Arial"/>
        </w:rPr>
        <w:t>Through the top down, asset allocation approach,</w:t>
      </w:r>
      <w:r w:rsidRPr="00020C65">
        <w:rPr>
          <w:rFonts w:cs="Arial"/>
        </w:rPr>
        <w:t xml:space="preserve"> the Fund aims to achieve lower levels of volatility than that experienced in broader equity markets, as measured by the MSCI World Index, over a period of at least 36 months.  </w:t>
      </w:r>
      <w:r w:rsidRPr="001359B9">
        <w:rPr>
          <w:rFonts w:cs="Arial"/>
        </w:rPr>
        <w:t xml:space="preserve">MSCI World Index captures large and mid-cap representation across 23 developed market countries.  </w:t>
      </w:r>
      <w:r w:rsidRPr="00020C65">
        <w:rPr>
          <w:rFonts w:cs="Arial"/>
        </w:rPr>
        <w:t xml:space="preserve">Volatility refers to the amount of uncertainty or risk about the size of changes in a security's value. </w:t>
      </w:r>
      <w:r w:rsidRPr="008F7F72">
        <w:rPr>
          <w:rFonts w:cs="Arial"/>
        </w:rPr>
        <w:t>A lower volatility means that a security's value does not fluctuate dramatically, but changes in value at a lower rate than that experienced in broader equity markets.</w:t>
      </w:r>
    </w:p>
    <w:p w:rsidRPr="00020C65" w:rsidR="007F6172" w:rsidP="007F6172" w:rsidRDefault="007F6172" w14:paraId="5F6EF3E6" w14:textId="77777777">
      <w:pPr>
        <w:ind w:left="720"/>
        <w:jc w:val="both"/>
        <w:rPr>
          <w:rFonts w:cs="Arial"/>
        </w:rPr>
      </w:pPr>
    </w:p>
    <w:p w:rsidR="007F6172" w:rsidP="007F6172" w:rsidRDefault="007F6172" w14:paraId="3E8FBA90" w14:textId="77777777">
      <w:pPr>
        <w:ind w:left="720"/>
        <w:jc w:val="both"/>
        <w:rPr>
          <w:rFonts w:cs="Arial"/>
        </w:rPr>
      </w:pPr>
      <w:r w:rsidRPr="001359B9">
        <w:rPr>
          <w:rFonts w:cs="Arial"/>
        </w:rPr>
        <w:t>Such top down, asset allocation approach will target</w:t>
      </w:r>
      <w:r w:rsidRPr="00020C65">
        <w:rPr>
          <w:rFonts w:cs="Arial"/>
        </w:rPr>
        <w:t xml:space="preserve">, in most market conditions, investment in Collective Investment Schemes and Other Transferable Securities (as detailed below) to enable the Investment Manager to blend asset classes (which in turn have varying degrees of volatility) to </w:t>
      </w:r>
      <w:r>
        <w:rPr>
          <w:rFonts w:cs="Arial"/>
        </w:rPr>
        <w:t xml:space="preserve">aim to </w:t>
      </w:r>
      <w:r w:rsidRPr="00020C65">
        <w:rPr>
          <w:rFonts w:cs="Arial"/>
        </w:rPr>
        <w:t xml:space="preserve">achieve </w:t>
      </w:r>
      <w:r w:rsidRPr="00067150">
        <w:rPr>
          <w:rFonts w:cs="Arial"/>
        </w:rPr>
        <w:t xml:space="preserve">returns resulting in </w:t>
      </w:r>
      <w:r w:rsidRPr="00217557">
        <w:rPr>
          <w:rFonts w:cs="Arial"/>
        </w:rPr>
        <w:t>lower levels of volatility than that experienced in broader equity markets</w:t>
      </w:r>
      <w:r w:rsidRPr="00020C65">
        <w:rPr>
          <w:rFonts w:cs="Arial"/>
        </w:rPr>
        <w:t xml:space="preserve">.  </w:t>
      </w:r>
      <w:r w:rsidRPr="001359B9">
        <w:rPr>
          <w:rFonts w:cs="Arial"/>
        </w:rPr>
        <w:t xml:space="preserve">Collective Investment Schemes and Other Transferable Securities </w:t>
      </w:r>
      <w:r w:rsidRPr="00020C65">
        <w:rPr>
          <w:rFonts w:cs="Arial"/>
        </w:rPr>
        <w:t>which display lower levels of volatility compared to broader equity markets may form a large part of the asset allocation in order to achieve this objective.</w:t>
      </w:r>
    </w:p>
    <w:p w:rsidR="007F6172" w:rsidP="007F6172" w:rsidRDefault="007F6172" w14:paraId="2AF50865" w14:textId="77777777">
      <w:pPr>
        <w:ind w:left="720"/>
        <w:jc w:val="both"/>
        <w:rPr>
          <w:rFonts w:cs="Arial"/>
        </w:rPr>
      </w:pPr>
    </w:p>
    <w:p w:rsidR="00436277" w:rsidP="007F6172" w:rsidRDefault="007F6172" w14:paraId="154FDB9E" w14:textId="71264337">
      <w:pPr>
        <w:ind w:left="720"/>
        <w:jc w:val="both"/>
        <w:rPr>
          <w:rFonts w:cs="Arial"/>
        </w:rPr>
      </w:pPr>
      <w:r>
        <w:rPr>
          <w:rFonts w:cs="Arial"/>
        </w:rPr>
        <w:t>The Fund is actively managed. The reference benchmark for the Fund is Bank of England Base Rate and UK Consumer Price Index and is used for comparison purposes only. The Investment Manager uses its expertise to select investments for the Fund and has discretion to invest without constraint to the reference benchmark.</w:t>
      </w:r>
    </w:p>
    <w:p w:rsidR="00436277" w:rsidRDefault="00436277" w14:paraId="63ED88E5" w14:textId="77777777">
      <w:pPr>
        <w:widowControl/>
        <w:rPr>
          <w:rFonts w:cs="Arial"/>
        </w:rPr>
      </w:pPr>
      <w:r>
        <w:rPr>
          <w:rFonts w:cs="Arial"/>
        </w:rPr>
        <w:br w:type="page"/>
      </w:r>
    </w:p>
    <w:p w:rsidRPr="00965A49" w:rsidR="007F6172" w:rsidP="00965A49" w:rsidRDefault="007F6172" w14:paraId="5EE5AA20" w14:textId="5E8C09F7">
      <w:pPr>
        <w:pStyle w:val="Heading3"/>
        <w:numPr>
          <w:ilvl w:val="2"/>
          <w:numId w:val="1"/>
        </w:numPr>
      </w:pPr>
      <w:r w:rsidRPr="003C0E57">
        <w:lastRenderedPageBreak/>
        <w:t>Collective Investment Schemes</w:t>
      </w:r>
    </w:p>
    <w:p w:rsidR="00965A49" w:rsidP="00965A49" w:rsidRDefault="00965A49" w14:paraId="74860D48" w14:textId="77777777">
      <w:pPr>
        <w:tabs>
          <w:tab w:val="num" w:pos="720"/>
        </w:tabs>
        <w:spacing w:before="240"/>
        <w:ind w:left="720"/>
        <w:jc w:val="both"/>
        <w:rPr>
          <w:rFonts w:cs="Arial"/>
        </w:rPr>
      </w:pPr>
      <w:bookmarkStart w:name="_Hlk175148917" w:id="2"/>
      <w:r w:rsidRPr="00CB4C7F">
        <w:rPr>
          <w:rFonts w:cs="Arial"/>
        </w:rPr>
        <w:t xml:space="preserve">The Fund may invest up to 10% of its Net Asset Value in </w:t>
      </w:r>
      <w:r w:rsidRPr="00385F22">
        <w:rPr>
          <w:rFonts w:cs="Arial"/>
        </w:rPr>
        <w:t>collective investment schemes</w:t>
      </w:r>
      <w:r w:rsidRPr="00CB4C7F">
        <w:rPr>
          <w:rFonts w:cs="Arial"/>
        </w:rPr>
        <w:t>.</w:t>
      </w:r>
      <w:bookmarkEnd w:id="2"/>
    </w:p>
    <w:p w:rsidR="007F6172" w:rsidP="00965A49" w:rsidRDefault="007F6172" w14:paraId="2BBC7CE5" w14:textId="1F53FFB9">
      <w:pPr>
        <w:tabs>
          <w:tab w:val="num" w:pos="720"/>
        </w:tabs>
        <w:spacing w:before="240"/>
        <w:ind w:left="720"/>
        <w:jc w:val="both"/>
        <w:rPr>
          <w:rFonts w:cs="Arial"/>
        </w:rPr>
      </w:pPr>
      <w:r w:rsidRPr="00520825">
        <w:rPr>
          <w:rFonts w:cs="Arial"/>
        </w:rPr>
        <w:t xml:space="preserve">The Fund may be invested in the shares or units of other regulated collective investment schemes which are UCITS or </w:t>
      </w:r>
      <w:r>
        <w:rPr>
          <w:rFonts w:cs="Arial"/>
        </w:rPr>
        <w:t>alternative investment funds (</w:t>
      </w:r>
      <w:r w:rsidRPr="008272C6">
        <w:rPr>
          <w:rFonts w:cs="Arial"/>
          <w:b/>
        </w:rPr>
        <w:t>AIFs</w:t>
      </w:r>
      <w:r>
        <w:rPr>
          <w:rFonts w:cs="Arial"/>
        </w:rPr>
        <w:t>)</w:t>
      </w:r>
      <w:r w:rsidRPr="00520825">
        <w:rPr>
          <w:rFonts w:cs="Arial"/>
        </w:rPr>
        <w:t xml:space="preserve"> that satisfy the requirements of the Central Bank</w:t>
      </w:r>
      <w:r>
        <w:rPr>
          <w:rFonts w:cs="Arial"/>
        </w:rPr>
        <w:t xml:space="preserve">. </w:t>
      </w:r>
      <w:r w:rsidRPr="003C0E57">
        <w:rPr>
          <w:rFonts w:cs="Arial"/>
        </w:rPr>
        <w:t>The domicile of such collective investment schemes will be worldwide</w:t>
      </w:r>
      <w:r>
        <w:rPr>
          <w:rFonts w:cs="Arial"/>
        </w:rPr>
        <w:t>.  S</w:t>
      </w:r>
      <w:r w:rsidRPr="0063007A">
        <w:rPr>
          <w:rFonts w:cs="Arial"/>
        </w:rPr>
        <w:t>uch collective investment schemes include money market funds invested in for cash management purposes</w:t>
      </w:r>
      <w:r>
        <w:rPr>
          <w:rFonts w:cs="Arial"/>
        </w:rPr>
        <w:t xml:space="preserve"> mentioned under the heading "</w:t>
      </w:r>
      <w:r w:rsidRPr="005175A3">
        <w:rPr>
          <w:rFonts w:cs="Arial"/>
          <w:b/>
        </w:rPr>
        <w:t>Liquid Assets</w:t>
      </w:r>
      <w:r>
        <w:rPr>
          <w:rFonts w:cs="Arial"/>
        </w:rPr>
        <w:t>".</w:t>
      </w:r>
      <w:r w:rsidRPr="00306FF1">
        <w:t xml:space="preserve"> </w:t>
      </w:r>
    </w:p>
    <w:p w:rsidR="007F6172" w:rsidP="007F6172" w:rsidRDefault="007F6172" w14:paraId="79102CE9" w14:textId="77777777">
      <w:pPr>
        <w:ind w:left="720"/>
        <w:jc w:val="both"/>
        <w:rPr>
          <w:rFonts w:cs="Arial"/>
        </w:rPr>
      </w:pPr>
    </w:p>
    <w:p w:rsidR="007F6172" w:rsidP="007F6172" w:rsidRDefault="007F6172" w14:paraId="7C97F109" w14:textId="77777777">
      <w:pPr>
        <w:ind w:left="720"/>
        <w:jc w:val="both"/>
        <w:rPr>
          <w:rFonts w:cs="Arial"/>
        </w:rPr>
      </w:pPr>
      <w:r w:rsidRPr="00650C89">
        <w:rPr>
          <w:rFonts w:cs="Arial"/>
        </w:rPr>
        <w:t>The Fund may also invest in closed-ended collective investment schemes which fulfil the criteria for transferable securities and eligible assets under the Regulations including (i) liability of the Fund is limited to the amount invested in the closed-ended fund; (ii) the liquidity of the closed-ended fund does not compromise the ability of the Fund to satisfy redemption requests; (iii) reliable valuation and other information is available for the closed-ended fund; (iv) the closed-ended fund is subject to corporate governance mechanisms applied to companies; and (v) asset management activity is carried out by an entity subject to national regulation for the purpose of investor protection.  Such closed-ended collective investment schemes will be domiciled</w:t>
      </w:r>
      <w:r>
        <w:rPr>
          <w:rFonts w:cs="Arial"/>
        </w:rPr>
        <w:t xml:space="preserve"> </w:t>
      </w:r>
      <w:r w:rsidRPr="00650C89">
        <w:rPr>
          <w:rFonts w:cs="Arial"/>
        </w:rPr>
        <w:t>in a member state of the EEA, Jersey, Guernsey, Isle of Man</w:t>
      </w:r>
      <w:r>
        <w:rPr>
          <w:rFonts w:cs="Arial"/>
        </w:rPr>
        <w:t xml:space="preserve">, Australia, Singapore, Switzerland, United Kingdom </w:t>
      </w:r>
      <w:r w:rsidRPr="00650C89">
        <w:rPr>
          <w:rFonts w:cs="Arial"/>
        </w:rPr>
        <w:t>or the United States</w:t>
      </w:r>
      <w:r>
        <w:rPr>
          <w:rFonts w:cs="Arial"/>
        </w:rPr>
        <w:t>.</w:t>
      </w:r>
    </w:p>
    <w:p w:rsidR="007F6172" w:rsidP="007F6172" w:rsidRDefault="007F6172" w14:paraId="6C06D2FD" w14:textId="77777777">
      <w:pPr>
        <w:ind w:left="720"/>
        <w:jc w:val="both"/>
        <w:rPr>
          <w:rFonts w:cs="Arial"/>
        </w:rPr>
      </w:pPr>
    </w:p>
    <w:p w:rsidR="007F6172" w:rsidP="007F6172" w:rsidRDefault="007F6172" w14:paraId="5CD92354" w14:textId="77777777">
      <w:pPr>
        <w:ind w:left="720"/>
        <w:jc w:val="both"/>
        <w:rPr>
          <w:rFonts w:cs="Arial"/>
        </w:rPr>
      </w:pPr>
      <w:r w:rsidRPr="00520825">
        <w:rPr>
          <w:rFonts w:cs="Arial"/>
        </w:rPr>
        <w:t xml:space="preserve">The maximum annual management fee charged to such collective investment scheme will be no more than </w:t>
      </w:r>
      <w:r>
        <w:rPr>
          <w:rFonts w:cs="Arial"/>
        </w:rPr>
        <w:t>2</w:t>
      </w:r>
      <w:r w:rsidRPr="00520825">
        <w:rPr>
          <w:rFonts w:cs="Arial"/>
        </w:rPr>
        <w:t>% of its net asset value</w:t>
      </w:r>
      <w:r>
        <w:rPr>
          <w:rFonts w:cs="Arial"/>
        </w:rPr>
        <w:t xml:space="preserve">. It is expected that </w:t>
      </w:r>
      <w:r w:rsidRPr="00520825">
        <w:rPr>
          <w:rFonts w:cs="Arial"/>
        </w:rPr>
        <w:t xml:space="preserve">the Fund </w:t>
      </w:r>
      <w:r>
        <w:rPr>
          <w:rFonts w:cs="Arial"/>
        </w:rPr>
        <w:t>will</w:t>
      </w:r>
      <w:r w:rsidRPr="00520825">
        <w:rPr>
          <w:rFonts w:cs="Arial"/>
        </w:rPr>
        <w:t xml:space="preserve"> benefit from rebate arrangements which effectively reduce these fees.</w:t>
      </w:r>
    </w:p>
    <w:p w:rsidRPr="00A139A9" w:rsidR="007F6172" w:rsidP="007F6172" w:rsidRDefault="007F6172" w14:paraId="112D2B41" w14:textId="77777777">
      <w:pPr>
        <w:ind w:left="720"/>
        <w:jc w:val="both"/>
        <w:rPr>
          <w:rFonts w:cs="Arial"/>
        </w:rPr>
      </w:pPr>
    </w:p>
    <w:p w:rsidR="007F6172" w:rsidP="007F6172" w:rsidRDefault="007F6172" w14:paraId="0CE11902" w14:textId="77777777">
      <w:pPr>
        <w:ind w:left="720"/>
        <w:jc w:val="both"/>
        <w:rPr>
          <w:rFonts w:cs="Arial"/>
        </w:rPr>
      </w:pPr>
      <w:r w:rsidRPr="00A139A9">
        <w:rPr>
          <w:rFonts w:cs="Arial"/>
        </w:rPr>
        <w:t>The Fund may be invested in the above mentioned collective investment schemes to gain exposure to the asset classes listed in this Investment Policy.</w:t>
      </w:r>
    </w:p>
    <w:p w:rsidRPr="00520825" w:rsidR="007F6172" w:rsidP="007F6172" w:rsidRDefault="007F6172" w14:paraId="328924A4" w14:textId="77777777">
      <w:pPr>
        <w:ind w:left="720"/>
        <w:jc w:val="both"/>
        <w:rPr>
          <w:rFonts w:cs="Arial"/>
        </w:rPr>
      </w:pPr>
    </w:p>
    <w:p w:rsidRPr="003C0E57" w:rsidR="007F6172" w:rsidP="007F6172" w:rsidRDefault="007F6172" w14:paraId="524F62EC" w14:textId="77777777">
      <w:pPr>
        <w:pStyle w:val="Heading3"/>
        <w:numPr>
          <w:ilvl w:val="2"/>
          <w:numId w:val="1"/>
        </w:numPr>
      </w:pPr>
      <w:r w:rsidRPr="003C0E57">
        <w:t>Other Transferable Securities</w:t>
      </w:r>
    </w:p>
    <w:p w:rsidRPr="00520825" w:rsidR="007F6172" w:rsidP="007F6172" w:rsidRDefault="007F6172" w14:paraId="4A92CC2E" w14:textId="77777777">
      <w:pPr>
        <w:ind w:left="720"/>
        <w:jc w:val="both"/>
        <w:rPr>
          <w:rFonts w:cs="Arial"/>
        </w:rPr>
      </w:pPr>
    </w:p>
    <w:p w:rsidR="007F6172" w:rsidP="004C56CA" w:rsidRDefault="007F6172" w14:paraId="7CAFCF62" w14:textId="77777777">
      <w:pPr>
        <w:ind w:left="720"/>
        <w:jc w:val="both"/>
        <w:rPr>
          <w:rFonts w:cs="Arial"/>
        </w:rPr>
      </w:pPr>
      <w:r w:rsidRPr="00520825">
        <w:rPr>
          <w:rFonts w:cs="Arial"/>
        </w:rPr>
        <w:t>The Fund may invest in equity securities</w:t>
      </w:r>
      <w:r>
        <w:rPr>
          <w:rFonts w:cs="Arial"/>
        </w:rPr>
        <w:t>,</w:t>
      </w:r>
      <w:r w:rsidRPr="00520825">
        <w:rPr>
          <w:rFonts w:cs="Arial"/>
        </w:rPr>
        <w:t xml:space="preserve"> securities with equity characteristics</w:t>
      </w:r>
      <w:r>
        <w:rPr>
          <w:rFonts w:cs="Arial"/>
        </w:rPr>
        <w:t xml:space="preserve"> and securities providing indirect exposure to other asset classes such as FX and commodities.</w:t>
      </w:r>
      <w:r w:rsidRPr="00520825">
        <w:rPr>
          <w:rFonts w:cs="Arial"/>
        </w:rPr>
        <w:t xml:space="preserve"> </w:t>
      </w:r>
      <w:r>
        <w:rPr>
          <w:rFonts w:cs="Arial"/>
        </w:rPr>
        <w:t xml:space="preserve">These securities </w:t>
      </w:r>
      <w:r w:rsidRPr="00520825">
        <w:rPr>
          <w:rFonts w:cs="Arial"/>
        </w:rPr>
        <w:t>w</w:t>
      </w:r>
      <w:r>
        <w:rPr>
          <w:rFonts w:cs="Arial"/>
        </w:rPr>
        <w:t>ill be listed or traded on a Regulated</w:t>
      </w:r>
      <w:r w:rsidRPr="00520825">
        <w:rPr>
          <w:rFonts w:cs="Arial"/>
        </w:rPr>
        <w:t xml:space="preserve"> Market, save that the Fund may invest up to 10% of its Net Asset Value in unlisted securities.  </w:t>
      </w:r>
    </w:p>
    <w:p w:rsidRPr="00DA4E42" w:rsidR="007F6172" w:rsidP="007F6172" w:rsidRDefault="007F6172" w14:paraId="7FB3D829" w14:textId="77777777">
      <w:pPr>
        <w:ind w:left="720"/>
        <w:jc w:val="both"/>
        <w:rPr>
          <w:rFonts w:cs="Arial"/>
          <w:i/>
        </w:rPr>
      </w:pPr>
    </w:p>
    <w:p w:rsidRPr="00DA4E42" w:rsidR="007F6172" w:rsidP="007F6172" w:rsidRDefault="007F6172" w14:paraId="31789CF3" w14:textId="77777777">
      <w:pPr>
        <w:ind w:left="720"/>
        <w:jc w:val="both"/>
        <w:rPr>
          <w:rFonts w:cs="Arial"/>
          <w:i/>
        </w:rPr>
      </w:pPr>
      <w:r w:rsidRPr="00DA4E42">
        <w:rPr>
          <w:rFonts w:cs="Arial"/>
          <w:i/>
        </w:rPr>
        <w:t>Currency/FX</w:t>
      </w:r>
    </w:p>
    <w:p w:rsidRPr="00DA4E42" w:rsidR="007F6172" w:rsidP="007F6172" w:rsidRDefault="007F6172" w14:paraId="7B29DA16" w14:textId="77777777">
      <w:pPr>
        <w:ind w:left="720"/>
        <w:jc w:val="both"/>
        <w:rPr>
          <w:rFonts w:cs="Arial"/>
        </w:rPr>
      </w:pPr>
    </w:p>
    <w:p w:rsidR="007F6172" w:rsidP="007F6172" w:rsidRDefault="007F6172" w14:paraId="0FA06698" w14:textId="77777777">
      <w:pPr>
        <w:ind w:left="720"/>
        <w:jc w:val="both"/>
        <w:rPr>
          <w:rFonts w:cs="Arial"/>
        </w:rPr>
      </w:pPr>
      <w:r w:rsidRPr="00DA4E42">
        <w:rPr>
          <w:rFonts w:cs="Arial"/>
        </w:rPr>
        <w:t>The Fund, or entities in which the Fund invests, may invest in currencies</w:t>
      </w:r>
      <w:r>
        <w:rPr>
          <w:rFonts w:cs="Arial"/>
        </w:rPr>
        <w:t xml:space="preserve"> and/or currency forwards</w:t>
      </w:r>
      <w:r w:rsidRPr="00DA4E42">
        <w:rPr>
          <w:rFonts w:cs="Arial"/>
        </w:rPr>
        <w:t xml:space="preserve"> including the shorting of one currency against the purchase of another to help achieve the stated investment objective of the Fund to contribute to returns. Long/short strategies will be applied to the use of spot</w:t>
      </w:r>
      <w:r>
        <w:rPr>
          <w:rFonts w:cs="Arial"/>
        </w:rPr>
        <w:t xml:space="preserve"> or forward</w:t>
      </w:r>
      <w:r w:rsidRPr="00DA4E42">
        <w:rPr>
          <w:rFonts w:cs="Arial"/>
        </w:rPr>
        <w:t xml:space="preserve"> foreign exchange transactions where one currency long is offset by a short on the other. For example, in a long EUR/USD trade</w:t>
      </w:r>
      <w:r>
        <w:rPr>
          <w:rFonts w:cs="Arial"/>
        </w:rPr>
        <w:t>,</w:t>
      </w:r>
      <w:r w:rsidRPr="00DA4E42">
        <w:rPr>
          <w:rFonts w:cs="Arial"/>
        </w:rPr>
        <w:t xml:space="preserve"> the Fund would buy Euro and sell the equivalent amount in USD (i.e. go short on the USD). The currencies in which the Fund invests will be OECD denominated, very broadly traded with large daily and intra-day volume and highly liqu</w:t>
      </w:r>
      <w:r w:rsidR="00184F1B">
        <w:rPr>
          <w:rFonts w:cs="Arial"/>
        </w:rPr>
        <w:t>id.</w:t>
      </w:r>
    </w:p>
    <w:p w:rsidR="007F6172" w:rsidP="007F6172" w:rsidRDefault="007F6172" w14:paraId="178C9E94" w14:textId="77777777">
      <w:pPr>
        <w:ind w:left="720"/>
        <w:jc w:val="both"/>
        <w:rPr>
          <w:rFonts w:cs="Arial"/>
        </w:rPr>
      </w:pPr>
    </w:p>
    <w:p w:rsidRPr="00DA4E42" w:rsidR="007F6172" w:rsidP="007F6172" w:rsidRDefault="007F6172" w14:paraId="08AC4094" w14:textId="77777777">
      <w:pPr>
        <w:ind w:left="720"/>
        <w:jc w:val="both"/>
        <w:rPr>
          <w:rFonts w:cs="Arial"/>
          <w:i/>
        </w:rPr>
      </w:pPr>
      <w:r w:rsidRPr="00DA4E42">
        <w:rPr>
          <w:rFonts w:cs="Arial"/>
          <w:i/>
        </w:rPr>
        <w:t>Commodities</w:t>
      </w:r>
    </w:p>
    <w:p w:rsidRPr="00DA4E42" w:rsidR="007F6172" w:rsidP="007F6172" w:rsidRDefault="007F6172" w14:paraId="533612B4" w14:textId="77777777">
      <w:pPr>
        <w:ind w:left="720"/>
        <w:jc w:val="both"/>
        <w:rPr>
          <w:rFonts w:cs="Arial"/>
        </w:rPr>
      </w:pPr>
    </w:p>
    <w:p w:rsidRPr="00DA4E42" w:rsidR="007F6172" w:rsidP="007F6172" w:rsidRDefault="007F6172" w14:paraId="5C787248" w14:textId="77777777">
      <w:pPr>
        <w:ind w:left="720"/>
        <w:jc w:val="both"/>
        <w:rPr>
          <w:rFonts w:cs="Arial"/>
        </w:rPr>
      </w:pPr>
      <w:r w:rsidRPr="00DA4E42">
        <w:rPr>
          <w:rFonts w:cs="Arial"/>
        </w:rPr>
        <w:t>The Fund may seek indirect exposure to commodities by investing in commodity focused transferable securities, namely through listed shares such as mining stocks and by using instruments such as exchange traded notes or exchange traded funds (ETFs) and collective investment schemes, in compliance with all applicable investment restrictions. The ETFs that the Investment Manager envisages using will be UCITS ETFs. Due to the nature of this type of investment, the Investment Manager would expect that there would also be exposures to the underlying commodity prices by virtue of the relationship between the listed security price and the underlying commodity price in which the</w:t>
      </w:r>
      <w:r>
        <w:rPr>
          <w:rFonts w:cs="Arial"/>
        </w:rPr>
        <w:t xml:space="preserve"> company or companies operate.</w:t>
      </w:r>
      <w:r>
        <w:rPr>
          <w:rFonts w:cs="Arial"/>
          <w:b/>
        </w:rPr>
        <w:t xml:space="preserve"> </w:t>
      </w:r>
      <w:r>
        <w:rPr>
          <w:rFonts w:cs="Arial"/>
        </w:rPr>
        <w:t xml:space="preserve">It is not expected that the commodity exposure within the </w:t>
      </w:r>
      <w:r w:rsidR="00F553AF">
        <w:rPr>
          <w:rFonts w:cs="Arial"/>
        </w:rPr>
        <w:t xml:space="preserve">Fund </w:t>
      </w:r>
      <w:r w:rsidR="00F232E1">
        <w:rPr>
          <w:rFonts w:cs="Arial"/>
        </w:rPr>
        <w:t xml:space="preserve">will exceed </w:t>
      </w:r>
      <w:r>
        <w:rPr>
          <w:rFonts w:cs="Arial"/>
        </w:rPr>
        <w:t>20%</w:t>
      </w:r>
      <w:r w:rsidR="00F553AF">
        <w:rPr>
          <w:rFonts w:cs="Arial"/>
        </w:rPr>
        <w:t xml:space="preserve"> </w:t>
      </w:r>
      <w:r w:rsidRPr="00807474" w:rsidR="00F553AF">
        <w:t>of the Net Asset Value</w:t>
      </w:r>
      <w:r w:rsidR="00F553AF">
        <w:t xml:space="preserve"> of the Fund</w:t>
      </w:r>
      <w:r>
        <w:rPr>
          <w:rFonts w:cs="Arial"/>
        </w:rPr>
        <w:t>.</w:t>
      </w:r>
    </w:p>
    <w:p w:rsidR="007F6172" w:rsidP="007F6172" w:rsidRDefault="007F6172" w14:paraId="13C52DC5" w14:textId="77777777">
      <w:pPr>
        <w:ind w:left="720"/>
        <w:jc w:val="both"/>
        <w:rPr>
          <w:rFonts w:cs="Arial"/>
        </w:rPr>
      </w:pPr>
    </w:p>
    <w:p w:rsidRPr="00FA0E4D" w:rsidR="007F6172" w:rsidP="007F6172" w:rsidRDefault="007F6172" w14:paraId="0E798A7A" w14:textId="77777777">
      <w:pPr>
        <w:pStyle w:val="Heading3"/>
        <w:numPr>
          <w:ilvl w:val="2"/>
          <w:numId w:val="1"/>
        </w:numPr>
      </w:pPr>
      <w:r w:rsidRPr="00FA0E4D">
        <w:t>Debt Securities</w:t>
      </w:r>
    </w:p>
    <w:p w:rsidRPr="00FA0E4D" w:rsidR="007F6172" w:rsidP="007F6172" w:rsidRDefault="007F6172" w14:paraId="67C22EBA" w14:textId="77777777">
      <w:pPr>
        <w:ind w:left="720"/>
        <w:jc w:val="both"/>
        <w:rPr>
          <w:rFonts w:cs="Arial"/>
        </w:rPr>
      </w:pPr>
    </w:p>
    <w:p w:rsidRPr="00FA0E4D" w:rsidR="007F6172" w:rsidP="007F6172" w:rsidRDefault="007F6172" w14:paraId="1F878F8E" w14:textId="77777777">
      <w:pPr>
        <w:ind w:left="720"/>
        <w:jc w:val="both"/>
        <w:rPr>
          <w:rFonts w:cs="Arial"/>
        </w:rPr>
      </w:pPr>
      <w:r w:rsidRPr="00FA0E4D">
        <w:rPr>
          <w:rFonts w:cs="Arial"/>
        </w:rPr>
        <w:t xml:space="preserve">The Fund may invest in a broad range of debt securities of various types and maturities issued by government or corporate entities, including, for example, fixed rate, floating rate and variable rate notes, bonds, index linked debt securities and, in addition, convertible bonds (which will not embed derivatives and/or leverage, preferred stock, warrants, coupon-bearing and deferred interest instruments (such as </w:t>
      </w:r>
      <w:r w:rsidRPr="00FA0E4D">
        <w:rPr>
          <w:rFonts w:cs="Arial"/>
        </w:rPr>
        <w:lastRenderedPageBreak/>
        <w:t xml:space="preserve">zero coupon bonds).  Such debt securities may be fixed or floating rate and rated investment grade or below investment grade by a recognised rating agency such as Moody’s or Standard &amp; Poor’s or unrated. </w:t>
      </w:r>
    </w:p>
    <w:p w:rsidRPr="00FA0E4D" w:rsidR="007F6172" w:rsidP="007F6172" w:rsidRDefault="007F6172" w14:paraId="2E9B0956" w14:textId="77777777">
      <w:pPr>
        <w:ind w:left="720"/>
        <w:jc w:val="both"/>
        <w:rPr>
          <w:rFonts w:cs="Arial"/>
        </w:rPr>
      </w:pPr>
    </w:p>
    <w:p w:rsidR="007F6172" w:rsidP="007F6172" w:rsidRDefault="007F6172" w14:paraId="0CC1FE6A" w14:textId="77777777">
      <w:pPr>
        <w:ind w:left="720"/>
        <w:jc w:val="both"/>
        <w:rPr>
          <w:rFonts w:cs="Arial"/>
        </w:rPr>
      </w:pPr>
      <w:r w:rsidRPr="00FA0E4D">
        <w:rPr>
          <w:rFonts w:cs="Arial"/>
        </w:rPr>
        <w:t xml:space="preserve">The debt securities that the Fund acquires will be listed or traded on a Regulated Market, save that the Fund may invest up to 10% of its Net Asset Value in unlisted securities.  </w:t>
      </w:r>
    </w:p>
    <w:p w:rsidRPr="00520825" w:rsidR="007F6172" w:rsidP="007F6172" w:rsidRDefault="007F6172" w14:paraId="0949D7A4" w14:textId="77777777">
      <w:pPr>
        <w:ind w:left="720"/>
        <w:jc w:val="both"/>
        <w:rPr>
          <w:rFonts w:cs="Arial"/>
        </w:rPr>
      </w:pPr>
    </w:p>
    <w:p w:rsidR="007F6172" w:rsidP="007F6172" w:rsidRDefault="007F6172" w14:paraId="70E26BB8" w14:textId="77777777">
      <w:pPr>
        <w:pStyle w:val="Heading3"/>
        <w:numPr>
          <w:ilvl w:val="2"/>
          <w:numId w:val="1"/>
        </w:numPr>
      </w:pPr>
      <w:r w:rsidRPr="003C0E57">
        <w:t>Property</w:t>
      </w:r>
    </w:p>
    <w:p w:rsidR="007F6172" w:rsidP="007F6172" w:rsidRDefault="007F6172" w14:paraId="394B5413" w14:textId="77777777">
      <w:pPr>
        <w:ind w:left="720"/>
        <w:jc w:val="both"/>
        <w:rPr>
          <w:rFonts w:cs="Arial"/>
        </w:rPr>
      </w:pPr>
    </w:p>
    <w:p w:rsidR="007F6172" w:rsidP="007F6172" w:rsidRDefault="007F6172" w14:paraId="19E53BD7" w14:textId="77777777">
      <w:pPr>
        <w:autoSpaceDE w:val="0"/>
        <w:autoSpaceDN w:val="0"/>
        <w:adjustRightInd w:val="0"/>
        <w:ind w:left="709"/>
        <w:jc w:val="both"/>
        <w:rPr>
          <w:rFonts w:cs="Arial"/>
        </w:rPr>
      </w:pPr>
      <w:r>
        <w:rPr>
          <w:rFonts w:cs="Arial"/>
        </w:rPr>
        <w:t>The Fund may seek exposure to real property assets and, as the Fund cannot hold real property assets directly, such exposure will be achieved by investing in transferable securities including debt and/or equity securities issued by property holding companies (being companies that derive a majority of their value from property assets) such as asset backed securities, listed Real Estate Investment Trusts (REITs) and units or shares in closed-ended funds which predominantly invest in property, which in each case qualify as transferable securities pursuant to the Regulations and/or Central Bank UCITS Regulations, as applicable.</w:t>
      </w:r>
    </w:p>
    <w:p w:rsidR="007F6172" w:rsidP="007F6172" w:rsidRDefault="007F6172" w14:paraId="0A355FE8" w14:textId="77777777">
      <w:pPr>
        <w:autoSpaceDE w:val="0"/>
        <w:autoSpaceDN w:val="0"/>
        <w:adjustRightInd w:val="0"/>
        <w:ind w:left="709"/>
        <w:jc w:val="both"/>
        <w:rPr>
          <w:rFonts w:cs="Arial"/>
        </w:rPr>
      </w:pPr>
    </w:p>
    <w:p w:rsidR="007F6172" w:rsidP="007F6172" w:rsidRDefault="007F6172" w14:paraId="3CACEE9E" w14:textId="77777777">
      <w:pPr>
        <w:autoSpaceDE w:val="0"/>
        <w:autoSpaceDN w:val="0"/>
        <w:adjustRightInd w:val="0"/>
        <w:ind w:left="709"/>
        <w:jc w:val="both"/>
      </w:pPr>
      <w:r>
        <w:rPr>
          <w:rFonts w:cs="Arial"/>
        </w:rPr>
        <w:t>A REIT is a corporation or trust that uses the pooled capital of many investors to purchase and manage property. REITs are traded on major exchanges similar to equity and are therefore classed as transferable securities as they meet the requirements of liquidity, availability of price, availability of accurate and comprehensive information and transferability.</w:t>
      </w:r>
    </w:p>
    <w:p w:rsidR="007F6172" w:rsidP="007F6172" w:rsidRDefault="007F6172" w14:paraId="514B0B19" w14:textId="77777777">
      <w:pPr>
        <w:ind w:left="720"/>
        <w:jc w:val="both"/>
        <w:rPr>
          <w:rFonts w:cs="Arial"/>
        </w:rPr>
      </w:pPr>
    </w:p>
    <w:p w:rsidRPr="00520825" w:rsidR="007F6172" w:rsidP="007F6172" w:rsidRDefault="007F6172" w14:paraId="46F5A6E8" w14:textId="77777777">
      <w:pPr>
        <w:pStyle w:val="Heading3"/>
        <w:numPr>
          <w:ilvl w:val="2"/>
          <w:numId w:val="1"/>
        </w:numPr>
      </w:pPr>
      <w:r w:rsidRPr="003C0E57">
        <w:t>Liquid Assets</w:t>
      </w:r>
    </w:p>
    <w:p w:rsidRPr="00520825" w:rsidR="007F6172" w:rsidP="007F6172" w:rsidRDefault="007F6172" w14:paraId="5910F08A" w14:textId="77777777">
      <w:pPr>
        <w:ind w:left="720"/>
        <w:jc w:val="both"/>
        <w:rPr>
          <w:rFonts w:cs="Arial"/>
        </w:rPr>
      </w:pPr>
    </w:p>
    <w:p w:rsidR="007F6172" w:rsidP="007F6172" w:rsidRDefault="007F6172" w14:paraId="79E8CB4D" w14:textId="77777777">
      <w:pPr>
        <w:ind w:left="720"/>
        <w:jc w:val="both"/>
        <w:rPr>
          <w:rFonts w:cs="Arial"/>
        </w:rPr>
      </w:pPr>
      <w:r>
        <w:rPr>
          <w:rFonts w:cs="Arial"/>
        </w:rPr>
        <w:t>T</w:t>
      </w:r>
      <w:r w:rsidRPr="00520825">
        <w:rPr>
          <w:rFonts w:cs="Arial"/>
        </w:rPr>
        <w:t xml:space="preserve">he Fund may </w:t>
      </w:r>
      <w:r>
        <w:rPr>
          <w:rFonts w:cs="Arial"/>
        </w:rPr>
        <w:t>hold and invest in ancillary</w:t>
      </w:r>
      <w:r w:rsidRPr="00520825">
        <w:rPr>
          <w:rFonts w:cs="Arial"/>
        </w:rPr>
        <w:t xml:space="preserve"> liquid assets such as cash, bank deposits, money market instruments including but not limited to commercial paper and certificates of deposit, money market funds or equivalent short term paper including treasury bills</w:t>
      </w:r>
      <w:r>
        <w:rPr>
          <w:rFonts w:cs="Arial"/>
        </w:rPr>
        <w:t>.</w:t>
      </w:r>
    </w:p>
    <w:p w:rsidR="007F6172" w:rsidP="007F6172" w:rsidRDefault="007F6172" w14:paraId="72CC3BC3" w14:textId="77777777">
      <w:pPr>
        <w:ind w:left="720"/>
        <w:jc w:val="both"/>
        <w:rPr>
          <w:rFonts w:cs="Arial"/>
        </w:rPr>
      </w:pPr>
    </w:p>
    <w:p w:rsidR="007F6172" w:rsidP="007F6172" w:rsidRDefault="007F6172" w14:paraId="201D8C2C" w14:textId="77777777">
      <w:pPr>
        <w:ind w:left="720"/>
        <w:jc w:val="both"/>
        <w:rPr>
          <w:rFonts w:cs="Arial"/>
        </w:rPr>
      </w:pPr>
      <w:r w:rsidRPr="001764CA">
        <w:rPr>
          <w:rFonts w:cs="Arial"/>
        </w:rPr>
        <w:t>Such assets may be held: (i) because the Investment Manager is unable to identify sufficient suitable investment opportunities; (ii) to protect the value of the Fund and maintain liquidity at times in falling or volatile markets; or (</w:t>
      </w:r>
      <w:r>
        <w:rPr>
          <w:rFonts w:cs="Arial"/>
        </w:rPr>
        <w:t>iii</w:t>
      </w:r>
      <w:r w:rsidRPr="001764CA">
        <w:rPr>
          <w:rFonts w:cs="Arial"/>
        </w:rPr>
        <w:t>) as otherwise deemed appropriate by the Investment Manager. There is no maximum or minimum amount of liquid</w:t>
      </w:r>
      <w:r>
        <w:rPr>
          <w:rFonts w:cs="Arial"/>
        </w:rPr>
        <w:t xml:space="preserve"> assets</w:t>
      </w:r>
      <w:r w:rsidRPr="001764CA">
        <w:rPr>
          <w:rFonts w:cs="Arial"/>
        </w:rPr>
        <w:t xml:space="preserve"> that the Fund may hold at any one time</w:t>
      </w:r>
      <w:r>
        <w:rPr>
          <w:rFonts w:cs="Arial"/>
        </w:rPr>
        <w:t>.</w:t>
      </w:r>
    </w:p>
    <w:p w:rsidR="007F6172" w:rsidP="007F6172" w:rsidRDefault="007F6172" w14:paraId="28972FDB" w14:textId="77777777">
      <w:pPr>
        <w:ind w:left="720"/>
        <w:jc w:val="both"/>
        <w:rPr>
          <w:rFonts w:cs="Arial"/>
        </w:rPr>
      </w:pPr>
    </w:p>
    <w:p w:rsidR="007F6172" w:rsidP="007F6172" w:rsidRDefault="007F6172" w14:paraId="4B139D0E" w14:textId="77777777">
      <w:pPr>
        <w:jc w:val="both"/>
        <w:rPr>
          <w:rFonts w:cs="Arial"/>
        </w:rPr>
      </w:pPr>
    </w:p>
    <w:p w:rsidRPr="00807474" w:rsidR="007F6172" w:rsidP="007F6172" w:rsidRDefault="007F6172" w14:paraId="4A7CFA47" w14:textId="77777777">
      <w:pPr>
        <w:pStyle w:val="Heading1"/>
        <w:numPr>
          <w:ilvl w:val="0"/>
          <w:numId w:val="1"/>
        </w:numPr>
        <w:pBdr>
          <w:bottom w:val="single" w:color="auto" w:sz="12" w:space="1"/>
        </w:pBdr>
        <w:jc w:val="both"/>
        <w:rPr>
          <w:rFonts w:cs="Arial"/>
        </w:rPr>
      </w:pPr>
      <w:bookmarkStart w:name="_Toc166678724" w:id="3"/>
      <w:bookmarkStart w:name="_Ref396744781" w:id="4"/>
      <w:bookmarkStart w:name="_Ref396744938" w:id="5"/>
      <w:bookmarkStart w:name="_Ref396744953" w:id="6"/>
      <w:bookmarkStart w:name="_Ref396744954" w:id="7"/>
      <w:bookmarkStart w:name="_Ref396744972" w:id="8"/>
      <w:bookmarkStart w:name="_Ref396745027" w:id="9"/>
      <w:r w:rsidRPr="00807474">
        <w:rPr>
          <w:rFonts w:cs="Arial"/>
        </w:rPr>
        <w:t>DERIVATIVES AND EFFICIENT PORTFOLIO MANAGEMENT</w:t>
      </w:r>
      <w:bookmarkEnd w:id="3"/>
    </w:p>
    <w:p w:rsidRPr="00807474" w:rsidR="007F6172" w:rsidP="007F6172" w:rsidRDefault="007F6172" w14:paraId="379A479E" w14:textId="77777777">
      <w:pPr>
        <w:pStyle w:val="L1Para"/>
        <w:jc w:val="both"/>
      </w:pPr>
    </w:p>
    <w:p w:rsidR="007F6172" w:rsidP="007F6172" w:rsidRDefault="007F6172" w14:paraId="34BA395D" w14:textId="77777777">
      <w:pPr>
        <w:pStyle w:val="L1Para"/>
        <w:jc w:val="both"/>
      </w:pPr>
      <w:r w:rsidRPr="00807474">
        <w:t xml:space="preserve">The Fund may </w:t>
      </w:r>
      <w:r>
        <w:t>utilise</w:t>
      </w:r>
      <w:r w:rsidRPr="00807474">
        <w:t xml:space="preserve"> financial derivative instruments (</w:t>
      </w:r>
      <w:r w:rsidRPr="00807474">
        <w:rPr>
          <w:b/>
        </w:rPr>
        <w:t>FDIs</w:t>
      </w:r>
      <w:r w:rsidRPr="00807474">
        <w:t xml:space="preserve">) for </w:t>
      </w:r>
      <w:r>
        <w:t>investment purposes and</w:t>
      </w:r>
      <w:r w:rsidRPr="00807474">
        <w:t xml:space="preserve"> for the purposes of efficient portfolio management (</w:t>
      </w:r>
      <w:r w:rsidRPr="00807474">
        <w:rPr>
          <w:b/>
        </w:rPr>
        <w:t>EPM</w:t>
      </w:r>
      <w:r w:rsidRPr="00807474">
        <w:t xml:space="preserve">) and in order to hedge against exchange rate </w:t>
      </w:r>
      <w:r>
        <w:t>and/or interest rate</w:t>
      </w:r>
      <w:r w:rsidRPr="00807474">
        <w:t xml:space="preserve"> risk </w:t>
      </w:r>
      <w:r w:rsidRPr="00807474">
        <w:rPr>
          <w:rFonts w:cs="Arial"/>
        </w:rPr>
        <w:t xml:space="preserve">in accordance with the section entitled </w:t>
      </w:r>
      <w:r w:rsidRPr="00807474">
        <w:rPr>
          <w:rFonts w:cs="Arial"/>
          <w:b/>
          <w:bCs/>
        </w:rPr>
        <w:t xml:space="preserve">Utilisation of FDI and Efficient Portfolio Management </w:t>
      </w:r>
      <w:r w:rsidRPr="00807474">
        <w:rPr>
          <w:rFonts w:cs="Arial"/>
        </w:rPr>
        <w:t>in the Prospectus and as further described below</w:t>
      </w:r>
      <w:r w:rsidRPr="00807474">
        <w:t xml:space="preserve">. </w:t>
      </w:r>
      <w:r>
        <w:t>The</w:t>
      </w:r>
      <w:r w:rsidRPr="00807474">
        <w:t xml:space="preserve"> derivatives </w:t>
      </w:r>
      <w:r>
        <w:t xml:space="preserve">in which the Fund may invest will be </w:t>
      </w:r>
      <w:r w:rsidRPr="00807474">
        <w:t>dealt in or traded on</w:t>
      </w:r>
      <w:r>
        <w:t xml:space="preserve"> an eligible derivatives market and include</w:t>
      </w:r>
      <w:r w:rsidRPr="00807474">
        <w:t xml:space="preserve"> forward currency exchange transactions</w:t>
      </w:r>
      <w:r>
        <w:t xml:space="preserve">, on-exchange currency futures and/or </w:t>
      </w:r>
      <w:r w:rsidRPr="00807474">
        <w:t>warrant</w:t>
      </w:r>
      <w:r>
        <w:t>s.</w:t>
      </w:r>
      <w:r w:rsidRPr="00807474">
        <w:t xml:space="preserve">  Further details of each type of FDI are set out below.</w:t>
      </w:r>
    </w:p>
    <w:p w:rsidR="007F6172" w:rsidP="007F6172" w:rsidRDefault="007F6172" w14:paraId="67376AC4" w14:textId="77777777"/>
    <w:p w:rsidRPr="00A309BF" w:rsidR="007F6172" w:rsidP="007F6172" w:rsidRDefault="007F6172" w14:paraId="5407D411" w14:textId="77777777">
      <w:pPr>
        <w:ind w:left="720"/>
        <w:jc w:val="both"/>
      </w:pPr>
      <w:r>
        <w:t>The use of such FDI will at all times be in accordance with the conditions and limits laid down by the Central Bank from time to time. The Fund may enter into over-the-counter (</w:t>
      </w:r>
      <w:r w:rsidRPr="003D65D8">
        <w:rPr>
          <w:b/>
        </w:rPr>
        <w:t>OTC</w:t>
      </w:r>
      <w:r>
        <w:t>) FDI with counterparties belonging to categories approved by the Central Bank (</w:t>
      </w:r>
      <w:r w:rsidRPr="003D65D8">
        <w:rPr>
          <w:b/>
        </w:rPr>
        <w:t>Approved Counterparties</w:t>
      </w:r>
      <w:r>
        <w:t xml:space="preserve">). The Investment Manager will monitor counterparty exposure and where applicable, take into consideration any collateral held by the Fund in determining the Fund’s exposure. Where the Fund has entered into an OTC FDI with an Approved Counterparty and the value of the FDI is in favour of the Fund and the Approved Counterparty defaults on its obligation, there is a risk that the Fund will lose all or some of the value of that FDI. Please refer to the section of the Prospectus entitled </w:t>
      </w:r>
      <w:r w:rsidRPr="00F05DCB">
        <w:rPr>
          <w:b/>
        </w:rPr>
        <w:t xml:space="preserve">Risk Factors; Derivatives and Techniques and Instruments Risks; OTC Markets Risk </w:t>
      </w:r>
      <w:r>
        <w:t>for more details. In selecting OTC counterparties to trade with the Fund, the Investment Manager will exercise due care and will ensure that the counterparty satisfies the criteria set out in the Prospectus.</w:t>
      </w:r>
    </w:p>
    <w:p w:rsidRPr="00807474" w:rsidR="007F6172" w:rsidP="007F6172" w:rsidRDefault="007F6172" w14:paraId="4B5F7B79" w14:textId="77777777">
      <w:pPr>
        <w:pStyle w:val="L2Para"/>
        <w:jc w:val="both"/>
      </w:pPr>
    </w:p>
    <w:p w:rsidRPr="00807474" w:rsidR="007F6172" w:rsidP="007F6172" w:rsidRDefault="007F6172" w14:paraId="2910AEFE" w14:textId="77777777">
      <w:pPr>
        <w:pStyle w:val="L2Para"/>
        <w:jc w:val="both"/>
      </w:pPr>
      <w:r w:rsidRPr="00807474">
        <w:t>There is no limit on the amount of the assets which may be used for EPM, subject to the Fund’s total exposure including leverage (</w:t>
      </w:r>
      <w:r>
        <w:t>calculated as a sum of notional of exposure of FDI being utilised by the fund</w:t>
      </w:r>
      <w:r w:rsidRPr="00807474">
        <w:t xml:space="preserve">) </w:t>
      </w:r>
      <w:r>
        <w:t xml:space="preserve">being in the range of 200-500% and is not expected to exceed 500% </w:t>
      </w:r>
      <w:r w:rsidRPr="00807474">
        <w:t xml:space="preserve">of the Fund’s total Net Asset Value. </w:t>
      </w:r>
      <w:r w:rsidRPr="00807474">
        <w:rPr>
          <w:rFonts w:cs="Arial"/>
        </w:rPr>
        <w:t xml:space="preserve">The Fund will use the </w:t>
      </w:r>
      <w:r>
        <w:rPr>
          <w:rFonts w:cs="Arial"/>
        </w:rPr>
        <w:t xml:space="preserve">absolute VaR </w:t>
      </w:r>
      <w:r w:rsidRPr="00807474">
        <w:rPr>
          <w:rFonts w:cs="Arial"/>
        </w:rPr>
        <w:t xml:space="preserve">approach to </w:t>
      </w:r>
      <w:r>
        <w:rPr>
          <w:rFonts w:cs="Arial"/>
        </w:rPr>
        <w:t>measure global exposure</w:t>
      </w:r>
      <w:r w:rsidRPr="00807474">
        <w:rPr>
          <w:rFonts w:cs="Arial"/>
        </w:rPr>
        <w:t>.</w:t>
      </w:r>
    </w:p>
    <w:p w:rsidRPr="00807474" w:rsidR="007F6172" w:rsidP="007F6172" w:rsidRDefault="007F6172" w14:paraId="00161E8B" w14:textId="77777777">
      <w:pPr>
        <w:pStyle w:val="L2Para"/>
        <w:jc w:val="both"/>
      </w:pPr>
    </w:p>
    <w:p w:rsidRPr="00807474" w:rsidR="007F6172" w:rsidP="007F6172" w:rsidRDefault="007F6172" w14:paraId="6B9E6CEC" w14:textId="77777777">
      <w:pPr>
        <w:pStyle w:val="L2Para"/>
        <w:jc w:val="both"/>
      </w:pPr>
      <w:r w:rsidRPr="00807474">
        <w:t>In addition to the foregoing, the transactions must satisfy four broadly-based requirements:</w:t>
      </w:r>
    </w:p>
    <w:p w:rsidRPr="00807474" w:rsidR="007F6172" w:rsidP="007F6172" w:rsidRDefault="007F6172" w14:paraId="37C57CF1" w14:textId="77777777">
      <w:pPr>
        <w:ind w:left="2100" w:hanging="600"/>
        <w:jc w:val="both"/>
        <w:rPr>
          <w:rFonts w:cs="Arial"/>
        </w:rPr>
      </w:pPr>
    </w:p>
    <w:p w:rsidRPr="00807474" w:rsidR="007F6172" w:rsidP="007F6172" w:rsidRDefault="007F6172" w14:paraId="2E56FDB2" w14:textId="77777777">
      <w:pPr>
        <w:pStyle w:val="Stylei"/>
        <w:jc w:val="both"/>
      </w:pPr>
      <w:r w:rsidRPr="00807474">
        <w:t>Transactions for EPM purposes must be economically appropriate.</w:t>
      </w:r>
    </w:p>
    <w:p w:rsidR="007F6172" w:rsidP="007F6172" w:rsidRDefault="007F6172" w14:paraId="5A4F6ED4" w14:textId="77777777">
      <w:pPr>
        <w:pStyle w:val="Stylei"/>
        <w:numPr>
          <w:ilvl w:val="0"/>
          <w:numId w:val="0"/>
        </w:numPr>
        <w:ind w:left="1440"/>
        <w:jc w:val="both"/>
      </w:pPr>
    </w:p>
    <w:p w:rsidRPr="00EA2F5E" w:rsidR="007F6172" w:rsidP="007F6172" w:rsidRDefault="007F6172" w14:paraId="345B9AB3" w14:textId="77777777">
      <w:pPr>
        <w:pStyle w:val="Stylei"/>
        <w:jc w:val="both"/>
      </w:pPr>
      <w:r w:rsidRPr="00EA2F5E">
        <w:t>The purpose of an EPM transaction for the Fund must be to achieve one of the following in respect of the fund:</w:t>
      </w:r>
    </w:p>
    <w:p w:rsidRPr="00EA2F5E" w:rsidR="007F6172" w:rsidP="007F6172" w:rsidRDefault="007F6172" w14:paraId="394A9D25" w14:textId="77777777">
      <w:pPr>
        <w:pStyle w:val="ALGNo7"/>
        <w:ind w:left="1985" w:hanging="567"/>
        <w:rPr>
          <w:sz w:val="20"/>
          <w:szCs w:val="20"/>
        </w:rPr>
      </w:pPr>
      <w:r w:rsidRPr="00EA2F5E">
        <w:rPr>
          <w:sz w:val="20"/>
          <w:szCs w:val="20"/>
        </w:rPr>
        <w:t>reduction of risk and protection of capital;</w:t>
      </w:r>
    </w:p>
    <w:p w:rsidRPr="00EA2F5E" w:rsidR="007F6172" w:rsidP="007F6172" w:rsidRDefault="007F6172" w14:paraId="7E7B5F4B" w14:textId="77777777">
      <w:pPr>
        <w:pStyle w:val="ALGNo7"/>
        <w:ind w:left="1985" w:hanging="567"/>
        <w:rPr>
          <w:sz w:val="20"/>
          <w:szCs w:val="20"/>
        </w:rPr>
      </w:pPr>
      <w:r w:rsidRPr="00EA2F5E">
        <w:rPr>
          <w:sz w:val="20"/>
          <w:szCs w:val="20"/>
        </w:rPr>
        <w:t>reduction of cost; or</w:t>
      </w:r>
    </w:p>
    <w:p w:rsidRPr="00EA2F5E" w:rsidR="007F6172" w:rsidP="007F6172" w:rsidRDefault="007F6172" w14:paraId="5E03ABB1" w14:textId="77777777">
      <w:pPr>
        <w:pStyle w:val="ALGNo7"/>
        <w:ind w:left="1985" w:hanging="567"/>
        <w:rPr>
          <w:sz w:val="20"/>
          <w:szCs w:val="20"/>
        </w:rPr>
      </w:pPr>
      <w:r w:rsidRPr="00EA2F5E">
        <w:rPr>
          <w:sz w:val="20"/>
          <w:szCs w:val="20"/>
        </w:rPr>
        <w:t xml:space="preserve">the generation of additional capital or income for the Fund with no, or an acceptably low level of, risk.  </w:t>
      </w:r>
    </w:p>
    <w:p w:rsidRPr="00EA2F5E" w:rsidR="007F6172" w:rsidP="007F6172" w:rsidRDefault="007F6172" w14:paraId="4DDE916C" w14:textId="77777777">
      <w:pPr>
        <w:ind w:left="2100" w:hanging="600"/>
        <w:jc w:val="both"/>
        <w:rPr>
          <w:rFonts w:cs="Arial"/>
        </w:rPr>
      </w:pPr>
    </w:p>
    <w:p w:rsidRPr="00EA2F5E" w:rsidR="007F6172" w:rsidP="007F6172" w:rsidRDefault="007F6172" w14:paraId="6E7DBA31" w14:textId="77777777">
      <w:pPr>
        <w:pStyle w:val="Stylei"/>
        <w:jc w:val="both"/>
      </w:pPr>
      <w:r w:rsidRPr="00EA2F5E">
        <w:t xml:space="preserve">Each EPM transaction must be covered globally. </w:t>
      </w:r>
    </w:p>
    <w:p w:rsidRPr="00EA2F5E" w:rsidR="007F6172" w:rsidP="007F6172" w:rsidRDefault="007F6172" w14:paraId="685CE176" w14:textId="77777777">
      <w:pPr>
        <w:ind w:left="2100" w:hanging="600"/>
        <w:jc w:val="both"/>
        <w:rPr>
          <w:rFonts w:cs="Arial"/>
        </w:rPr>
      </w:pPr>
    </w:p>
    <w:p w:rsidRPr="00807474" w:rsidR="007F6172" w:rsidP="007F6172" w:rsidRDefault="007F6172" w14:paraId="4E4248DA" w14:textId="77777777">
      <w:pPr>
        <w:pStyle w:val="Stylei"/>
        <w:jc w:val="both"/>
      </w:pPr>
      <w:r w:rsidRPr="00EA2F5E">
        <w:t>They cannot result in a change to the Fund’s investment objective or add substantial supplementary risks in comparison</w:t>
      </w:r>
      <w:r w:rsidRPr="00807474">
        <w:t xml:space="preserve"> to the risks relative to the Fund identified in the Prospectus and this Supplement. </w:t>
      </w:r>
    </w:p>
    <w:p w:rsidRPr="00807474" w:rsidR="007F6172" w:rsidP="007F6172" w:rsidRDefault="007F6172" w14:paraId="5FF1BCFE" w14:textId="77777777">
      <w:pPr>
        <w:jc w:val="both"/>
        <w:rPr>
          <w:rFonts w:cs="Arial"/>
        </w:rPr>
      </w:pPr>
    </w:p>
    <w:p w:rsidRPr="00807474" w:rsidR="007F6172" w:rsidP="007F6172" w:rsidRDefault="007F6172" w14:paraId="57EC4865" w14:textId="77777777">
      <w:pPr>
        <w:pStyle w:val="L1Para"/>
        <w:jc w:val="both"/>
      </w:pPr>
      <w:r w:rsidRPr="00807474">
        <w:t xml:space="preserve">In particular the Fund may use FDI to reduce volatility, hedge currency or interest rates and reduce exposure to particular securities, asset classes or jurisdictions.  </w:t>
      </w:r>
    </w:p>
    <w:p w:rsidRPr="00807474" w:rsidR="007F6172" w:rsidP="007F6172" w:rsidRDefault="007F6172" w14:paraId="1EA228A7" w14:textId="77777777">
      <w:pPr>
        <w:jc w:val="both"/>
      </w:pPr>
    </w:p>
    <w:p w:rsidR="007F6172" w:rsidP="007F6172" w:rsidRDefault="007F6172" w14:paraId="4DFE5FF7" w14:textId="77777777">
      <w:pPr>
        <w:pStyle w:val="L1Para"/>
        <w:jc w:val="both"/>
      </w:pPr>
      <w:r w:rsidRPr="00807474">
        <w:t xml:space="preserve">The use of derivatives for the purposes of EPM is not otherwise expected to raise the risk profile of the Fund or result in higher volatility. </w:t>
      </w:r>
    </w:p>
    <w:p w:rsidR="007F6172" w:rsidP="007F6172" w:rsidRDefault="007F6172" w14:paraId="32B463A5" w14:textId="77777777"/>
    <w:p w:rsidRPr="007B7811" w:rsidR="007F6172" w:rsidP="007F6172" w:rsidRDefault="007F6172" w14:paraId="4D5F6D68" w14:textId="77777777">
      <w:pPr>
        <w:ind w:left="720"/>
        <w:jc w:val="both"/>
      </w:pPr>
      <w:r>
        <w:t xml:space="preserve">The Fund employs the absolute VaR approach to </w:t>
      </w:r>
      <w:r>
        <w:rPr>
          <w:rFonts w:cs="Arial"/>
        </w:rPr>
        <w:t>measure global exposure</w:t>
      </w:r>
      <w:r>
        <w:t>, which calculates the Fund's VaR as a percentage of the Net Asset Value of the Fund, which must not exceed an absolute limit of 20</w:t>
      </w:r>
      <w:r w:rsidRPr="007B7811">
        <w:t xml:space="preserve">% as defined by the Central Bank. The Central Bank requires that the calculation of VaR shall be carried out in accordance with the following parameters: </w:t>
      </w:r>
    </w:p>
    <w:p w:rsidRPr="007B7811" w:rsidR="007F6172" w:rsidP="007F6172" w:rsidRDefault="007F6172" w14:paraId="60F51F06" w14:textId="77777777">
      <w:pPr>
        <w:pStyle w:val="ALGNo4"/>
        <w:rPr>
          <w:sz w:val="20"/>
          <w:szCs w:val="20"/>
        </w:rPr>
      </w:pPr>
      <w:r w:rsidRPr="007B7811">
        <w:rPr>
          <w:sz w:val="20"/>
          <w:szCs w:val="20"/>
        </w:rPr>
        <w:t xml:space="preserve">one-tailed confidence interval of 99%; </w:t>
      </w:r>
    </w:p>
    <w:p w:rsidRPr="007B7811" w:rsidR="007F6172" w:rsidP="007F6172" w:rsidRDefault="007F6172" w14:paraId="36B406C4" w14:textId="77777777">
      <w:pPr>
        <w:pStyle w:val="ALGNo4"/>
        <w:rPr>
          <w:sz w:val="20"/>
          <w:szCs w:val="20"/>
        </w:rPr>
      </w:pPr>
      <w:r w:rsidRPr="007B7811">
        <w:rPr>
          <w:sz w:val="20"/>
          <w:szCs w:val="20"/>
        </w:rPr>
        <w:t xml:space="preserve">holding period equivalent to 1 month, calculated by taking the 1 day VaR and converting to a 20 business day VaR; </w:t>
      </w:r>
    </w:p>
    <w:p w:rsidRPr="007B7811" w:rsidR="007F6172" w:rsidP="007F6172" w:rsidRDefault="007F6172" w14:paraId="33746206" w14:textId="77777777">
      <w:pPr>
        <w:pStyle w:val="ALGNo4"/>
        <w:rPr>
          <w:sz w:val="20"/>
          <w:szCs w:val="20"/>
        </w:rPr>
      </w:pPr>
      <w:r w:rsidRPr="007B7811">
        <w:rPr>
          <w:sz w:val="20"/>
          <w:szCs w:val="20"/>
        </w:rPr>
        <w:t xml:space="preserve">effective observation period (history) of risk factors of at least 1 year (250 business days) unless a shorter observation period is justified by a significant increase in price volatility (for instance extreme market conditions); </w:t>
      </w:r>
    </w:p>
    <w:p w:rsidRPr="007B7811" w:rsidR="007F6172" w:rsidP="007F6172" w:rsidRDefault="007F6172" w14:paraId="12E14B56" w14:textId="77777777">
      <w:pPr>
        <w:pStyle w:val="ALGNo4"/>
        <w:rPr>
          <w:sz w:val="20"/>
          <w:szCs w:val="20"/>
        </w:rPr>
      </w:pPr>
      <w:r w:rsidRPr="007B7811">
        <w:rPr>
          <w:sz w:val="20"/>
          <w:szCs w:val="20"/>
        </w:rPr>
        <w:t xml:space="preserve">quarterly data set updates or more frequent when market prices are subject to material changes; and </w:t>
      </w:r>
    </w:p>
    <w:p w:rsidRPr="007B7811" w:rsidR="007F6172" w:rsidP="007F6172" w:rsidRDefault="007F6172" w14:paraId="6813DCD6" w14:textId="77777777">
      <w:pPr>
        <w:pStyle w:val="ALGNo4"/>
        <w:rPr>
          <w:sz w:val="20"/>
          <w:szCs w:val="20"/>
        </w:rPr>
      </w:pPr>
      <w:r w:rsidRPr="007B7811">
        <w:rPr>
          <w:sz w:val="20"/>
          <w:szCs w:val="20"/>
        </w:rPr>
        <w:t xml:space="preserve">at least daily calculation; </w:t>
      </w:r>
    </w:p>
    <w:p w:rsidRPr="007B7811" w:rsidR="007F6172" w:rsidP="007F6172" w:rsidRDefault="007F6172" w14:paraId="5D0BD93A" w14:textId="77777777">
      <w:pPr>
        <w:ind w:left="720"/>
        <w:jc w:val="both"/>
      </w:pPr>
    </w:p>
    <w:p w:rsidR="007F6172" w:rsidP="007F6172" w:rsidRDefault="007F6172" w14:paraId="2A997DF5" w14:textId="77777777">
      <w:pPr>
        <w:ind w:left="720"/>
        <w:jc w:val="both"/>
      </w:pPr>
      <w:r w:rsidRPr="007B7811">
        <w:t>PROVIDED THAT a confidence interval</w:t>
      </w:r>
      <w:r>
        <w:t xml:space="preserve"> and/or a holding period differing from the default parameters above may be used by the Fund on certain occasions provided the confidence interval is not below 95% and the holding period does not exceed 1 month (20 business days). </w:t>
      </w:r>
    </w:p>
    <w:p w:rsidR="007F6172" w:rsidP="007F6172" w:rsidRDefault="007F6172" w14:paraId="5D81EB75" w14:textId="77777777">
      <w:pPr>
        <w:ind w:left="720"/>
        <w:jc w:val="both"/>
      </w:pPr>
    </w:p>
    <w:p w:rsidR="007F6172" w:rsidP="007F6172" w:rsidRDefault="007F6172" w14:paraId="5C32BDF8" w14:textId="77777777">
      <w:pPr>
        <w:ind w:left="720"/>
        <w:jc w:val="both"/>
      </w:pPr>
      <w:r>
        <w:t xml:space="preserve">It should be noted that these are the current VaR limits required by the Central Bank. Should the Central Bank changes these limits, the Fund may avail of such new limits, in which case the revised limits will be included in an updated Supplement which will be sent to Shareholders. In such a case, the risk management process for the Fund will also be updated to reflect the new limits imposed by the Central Bank. </w:t>
      </w:r>
    </w:p>
    <w:p w:rsidR="007F6172" w:rsidP="007F6172" w:rsidRDefault="007F6172" w14:paraId="21AEC476" w14:textId="77777777">
      <w:pPr>
        <w:ind w:left="720"/>
        <w:jc w:val="both"/>
      </w:pPr>
    </w:p>
    <w:p w:rsidR="007F6172" w:rsidP="007F6172" w:rsidRDefault="007F6172" w14:paraId="48B3B5E3" w14:textId="77777777">
      <w:pPr>
        <w:ind w:left="720"/>
        <w:jc w:val="both"/>
      </w:pPr>
      <w:r>
        <w:t xml:space="preserve">VaR is a way of measuring the potential loss due to market risk with a given degree of confidence (i.e. probability) under normal market conditions. It is not an assurance that the Fund will experience a loss of any particular size and the Fund could be exposed to losses which are much greater than envisaged VaR, more so under abnormal market conditions. It should be noted that VaR does not explicitly measure leverage, and that VaR is a statistical risk measure and the actual loss of a particular transaction or to the Fund overall may materially exceed the loss indicated by the use of VaR. </w:t>
      </w:r>
    </w:p>
    <w:p w:rsidR="007F6172" w:rsidP="007F6172" w:rsidRDefault="007F6172" w14:paraId="3155A932" w14:textId="77777777">
      <w:pPr>
        <w:ind w:left="720"/>
        <w:jc w:val="both"/>
      </w:pPr>
    </w:p>
    <w:p w:rsidRPr="004D3E5B" w:rsidR="007F6172" w:rsidP="007F6172" w:rsidRDefault="007F6172" w14:paraId="3E48B3F0" w14:textId="77777777">
      <w:pPr>
        <w:ind w:left="720"/>
        <w:jc w:val="both"/>
      </w:pPr>
      <w:r>
        <w:t xml:space="preserve">There are limitations in using VaR as a statistical measure of risk because it does not directly limit the </w:t>
      </w:r>
      <w:r>
        <w:lastRenderedPageBreak/>
        <w:t>level of leverage in the Fund and only describes the risk of loss in prevailing market conditions and would not capture future significant changes in volatility.</w:t>
      </w:r>
    </w:p>
    <w:p w:rsidRPr="00807474" w:rsidR="007F6172" w:rsidP="007F6172" w:rsidRDefault="007F6172" w14:paraId="062BD0B0" w14:textId="77777777">
      <w:pPr>
        <w:jc w:val="both"/>
      </w:pPr>
    </w:p>
    <w:p w:rsidRPr="00807474" w:rsidR="007F6172" w:rsidP="007F6172" w:rsidRDefault="007F6172" w14:paraId="59F1A2E3" w14:textId="77777777">
      <w:pPr>
        <w:jc w:val="both"/>
        <w:rPr>
          <w:i/>
        </w:rPr>
      </w:pPr>
      <w:r w:rsidRPr="00807474">
        <w:tab/>
      </w:r>
      <w:r w:rsidRPr="00807474">
        <w:rPr>
          <w:i/>
        </w:rPr>
        <w:t>Financial Derivative Instruments (</w:t>
      </w:r>
      <w:r w:rsidRPr="00807474">
        <w:rPr>
          <w:b/>
          <w:i/>
        </w:rPr>
        <w:t>FDI</w:t>
      </w:r>
      <w:r w:rsidRPr="00807474">
        <w:rPr>
          <w:i/>
        </w:rPr>
        <w:t>)</w:t>
      </w:r>
    </w:p>
    <w:p w:rsidRPr="00807474" w:rsidR="007F6172" w:rsidP="007F6172" w:rsidRDefault="007F6172" w14:paraId="2602CC16" w14:textId="77777777">
      <w:pPr>
        <w:jc w:val="both"/>
      </w:pPr>
    </w:p>
    <w:p w:rsidR="007F6172" w:rsidP="007F6172" w:rsidRDefault="007F6172" w14:paraId="545C37DD" w14:textId="77777777">
      <w:pPr>
        <w:ind w:left="700"/>
        <w:jc w:val="both"/>
      </w:pPr>
      <w:r w:rsidRPr="00DD7098">
        <w:t>The following is a description of the types of FDI which may be used for investment purposes and for efficient portfolio management purposes by the Fund.</w:t>
      </w:r>
    </w:p>
    <w:p w:rsidR="007F6172" w:rsidP="007F6172" w:rsidRDefault="007F6172" w14:paraId="70D80B40" w14:textId="77777777">
      <w:pPr>
        <w:ind w:left="700"/>
        <w:jc w:val="both"/>
      </w:pPr>
    </w:p>
    <w:tbl>
      <w:tblPr>
        <w:tblW w:w="9356" w:type="dxa"/>
        <w:tblInd w:w="720" w:type="dxa"/>
        <w:tblLayout w:type="fixed"/>
        <w:tblCellMar>
          <w:left w:w="0" w:type="dxa"/>
          <w:right w:w="0" w:type="dxa"/>
        </w:tblCellMar>
        <w:tblLook w:val="04A0" w:firstRow="1" w:lastRow="0" w:firstColumn="1" w:lastColumn="0" w:noHBand="0" w:noVBand="1"/>
      </w:tblPr>
      <w:tblGrid>
        <w:gridCol w:w="1276"/>
        <w:gridCol w:w="1985"/>
        <w:gridCol w:w="2126"/>
        <w:gridCol w:w="1276"/>
        <w:gridCol w:w="805"/>
        <w:gridCol w:w="1888"/>
      </w:tblGrid>
      <w:tr w:rsidRPr="007F0D33" w:rsidR="007F6172" w:rsidTr="00055F04" w14:paraId="04C23C63" w14:textId="77777777">
        <w:trPr>
          <w:trHeight w:val="1142"/>
          <w:tblHeader/>
        </w:trPr>
        <w:tc>
          <w:tcPr>
            <w:tcW w:w="127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095B3A" w:rsidR="007F6172" w:rsidP="00055F04" w:rsidRDefault="007F6172" w14:paraId="2B347AA8" w14:textId="77777777">
            <w:pPr>
              <w:rPr>
                <w:rFonts w:eastAsia="Calibri"/>
                <w:b/>
              </w:rPr>
            </w:pPr>
            <w:r w:rsidRPr="00095B3A">
              <w:rPr>
                <w:b/>
              </w:rPr>
              <w:t>Derivative</w:t>
            </w:r>
          </w:p>
        </w:tc>
        <w:tc>
          <w:tcPr>
            <w:tcW w:w="1985" w:type="dxa"/>
            <w:tcBorders>
              <w:top w:val="single" w:color="auto" w:sz="8" w:space="0"/>
              <w:left w:val="nil"/>
              <w:bottom w:val="single" w:color="auto" w:sz="8" w:space="0"/>
              <w:right w:val="single" w:color="auto" w:sz="4" w:space="0"/>
            </w:tcBorders>
            <w:shd w:val="clear" w:color="auto" w:fill="D9D9D9" w:themeFill="background1" w:themeFillShade="D9"/>
            <w:vAlign w:val="center"/>
          </w:tcPr>
          <w:p w:rsidRPr="00095B3A" w:rsidR="007F6172" w:rsidP="00055F04" w:rsidRDefault="007F6172" w14:paraId="175241CC" w14:textId="77777777">
            <w:pPr>
              <w:ind w:left="142" w:right="142"/>
              <w:jc w:val="center"/>
              <w:rPr>
                <w:b/>
              </w:rPr>
            </w:pPr>
            <w:r w:rsidRPr="00095B3A">
              <w:rPr>
                <w:b/>
              </w:rPr>
              <w:t>Description</w:t>
            </w:r>
          </w:p>
        </w:tc>
        <w:tc>
          <w:tcPr>
            <w:tcW w:w="2126" w:type="dxa"/>
            <w:tcBorders>
              <w:top w:val="single" w:color="auto" w:sz="8" w:space="0"/>
              <w:left w:val="single" w:color="auto" w:sz="4"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095B3A" w:rsidR="007F6172" w:rsidP="00055F04" w:rsidRDefault="007F6172" w14:paraId="49B2DC84" w14:textId="77777777">
            <w:pPr>
              <w:rPr>
                <w:rFonts w:eastAsia="Calibri"/>
                <w:b/>
              </w:rPr>
            </w:pPr>
            <w:r w:rsidRPr="00095B3A">
              <w:rPr>
                <w:b/>
              </w:rPr>
              <w:t>Specific Use</w:t>
            </w:r>
          </w:p>
        </w:tc>
        <w:tc>
          <w:tcPr>
            <w:tcW w:w="1276" w:type="dxa"/>
            <w:tcBorders>
              <w:top w:val="single" w:color="auto" w:sz="8" w:space="0"/>
              <w:left w:val="nil"/>
              <w:bottom w:val="single" w:color="auto" w:sz="8" w:space="0"/>
              <w:right w:val="single" w:color="auto" w:sz="4" w:space="0"/>
            </w:tcBorders>
            <w:shd w:val="clear" w:color="auto" w:fill="D9D9D9" w:themeFill="background1" w:themeFillShade="D9"/>
            <w:tcMar>
              <w:top w:w="0" w:type="dxa"/>
              <w:left w:w="108" w:type="dxa"/>
              <w:bottom w:w="0" w:type="dxa"/>
              <w:right w:w="108" w:type="dxa"/>
            </w:tcMar>
            <w:vAlign w:val="center"/>
            <w:hideMark/>
          </w:tcPr>
          <w:p w:rsidRPr="00095B3A" w:rsidR="007F6172" w:rsidP="00055F04" w:rsidRDefault="007F6172" w14:paraId="6DC290A3" w14:textId="77777777">
            <w:pPr>
              <w:rPr>
                <w:rFonts w:eastAsia="Calibri"/>
                <w:b/>
              </w:rPr>
            </w:pPr>
            <w:r w:rsidRPr="00095B3A">
              <w:rPr>
                <w:b/>
              </w:rPr>
              <w:t xml:space="preserve">Where used for hedging purposes: risk being hedged </w:t>
            </w:r>
          </w:p>
        </w:tc>
        <w:tc>
          <w:tcPr>
            <w:tcW w:w="80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center"/>
            <w:hideMark/>
          </w:tcPr>
          <w:p w:rsidRPr="00095B3A" w:rsidR="007F6172" w:rsidP="00055F04" w:rsidRDefault="007F6172" w14:paraId="5C33B181" w14:textId="77777777">
            <w:pPr>
              <w:rPr>
                <w:rFonts w:eastAsia="Calibri"/>
                <w:b/>
              </w:rPr>
            </w:pPr>
            <w:r w:rsidRPr="00095B3A">
              <w:rPr>
                <w:b/>
              </w:rPr>
              <w:t>EPM?</w:t>
            </w:r>
          </w:p>
        </w:tc>
        <w:tc>
          <w:tcPr>
            <w:tcW w:w="1888" w:type="dxa"/>
            <w:tcBorders>
              <w:top w:val="single" w:color="auto" w:sz="8" w:space="0"/>
              <w:left w:val="single" w:color="auto" w:sz="4" w:space="0"/>
              <w:bottom w:val="single" w:color="auto" w:sz="8" w:space="0"/>
              <w:right w:val="single" w:color="auto" w:sz="8" w:space="0"/>
            </w:tcBorders>
            <w:shd w:val="clear" w:color="auto" w:fill="D9D9D9" w:themeFill="background1" w:themeFillShade="D9"/>
          </w:tcPr>
          <w:p w:rsidRPr="00095B3A" w:rsidR="007F6172" w:rsidP="00055F04" w:rsidRDefault="007F6172" w14:paraId="462D781B" w14:textId="77777777">
            <w:pPr>
              <w:ind w:left="154" w:right="142"/>
              <w:rPr>
                <w:rFonts w:eastAsia="Calibri"/>
                <w:b/>
              </w:rPr>
            </w:pPr>
          </w:p>
          <w:p w:rsidRPr="00095B3A" w:rsidR="007F6172" w:rsidP="00055F04" w:rsidRDefault="007F6172" w14:paraId="59658045" w14:textId="77777777">
            <w:pPr>
              <w:ind w:left="154" w:right="142"/>
              <w:rPr>
                <w:b/>
              </w:rPr>
            </w:pPr>
            <w:r w:rsidRPr="00095B3A">
              <w:rPr>
                <w:b/>
              </w:rPr>
              <w:t xml:space="preserve">How FDI will help achieve investment objective? </w:t>
            </w:r>
          </w:p>
          <w:p w:rsidRPr="00095B3A" w:rsidR="007F6172" w:rsidP="00055F04" w:rsidRDefault="007F6172" w14:paraId="25F6B674" w14:textId="77777777">
            <w:pPr>
              <w:ind w:left="154" w:right="142"/>
              <w:rPr>
                <w:rFonts w:eastAsia="Calibri"/>
                <w:b/>
              </w:rPr>
            </w:pPr>
          </w:p>
        </w:tc>
      </w:tr>
      <w:tr w:rsidRPr="007F0D33" w:rsidR="007F6172" w:rsidTr="00055F04" w14:paraId="363FEC0D" w14:textId="77777777">
        <w:trPr>
          <w:trHeight w:val="1114"/>
        </w:trPr>
        <w:tc>
          <w:tcPr>
            <w:tcW w:w="1276" w:type="dxa"/>
            <w:tcBorders>
              <w:top w:val="nil"/>
              <w:left w:val="single" w:color="auto" w:sz="8" w:space="0"/>
              <w:bottom w:val="nil"/>
              <w:right w:val="single" w:color="auto" w:sz="8" w:space="0"/>
            </w:tcBorders>
            <w:tcMar>
              <w:top w:w="0" w:type="dxa"/>
              <w:left w:w="108" w:type="dxa"/>
              <w:bottom w:w="0" w:type="dxa"/>
              <w:right w:w="108" w:type="dxa"/>
            </w:tcMar>
            <w:hideMark/>
          </w:tcPr>
          <w:p w:rsidRPr="007F0D33" w:rsidR="007F6172" w:rsidP="00055F04" w:rsidRDefault="007F6172" w14:paraId="2A9356F1" w14:textId="77777777">
            <w:pPr>
              <w:rPr>
                <w:rFonts w:cs="Arial"/>
              </w:rPr>
            </w:pPr>
            <w:r w:rsidRPr="007F0D33">
              <w:rPr>
                <w:rFonts w:cs="Arial"/>
              </w:rPr>
              <w:t xml:space="preserve">Forward currency contracts </w:t>
            </w:r>
          </w:p>
          <w:p w:rsidRPr="007F0D33" w:rsidR="007F6172" w:rsidP="00055F04" w:rsidRDefault="007F6172" w14:paraId="717B1F22" w14:textId="77777777">
            <w:pPr>
              <w:rPr>
                <w:rFonts w:eastAsia="Calibri" w:cs="Arial"/>
              </w:rPr>
            </w:pPr>
            <w:r w:rsidRPr="007F0D33">
              <w:rPr>
                <w:rFonts w:cs="Arial"/>
              </w:rPr>
              <w:t>(including forward equity and forward equity index contracts)</w:t>
            </w:r>
          </w:p>
        </w:tc>
        <w:tc>
          <w:tcPr>
            <w:tcW w:w="1985" w:type="dxa"/>
            <w:tcBorders>
              <w:top w:val="single" w:color="auto" w:sz="8" w:space="0"/>
              <w:left w:val="nil"/>
              <w:bottom w:val="nil"/>
              <w:right w:val="single" w:color="auto" w:sz="4" w:space="0"/>
            </w:tcBorders>
          </w:tcPr>
          <w:p w:rsidRPr="007F0D33" w:rsidR="007F6172" w:rsidP="00055F04" w:rsidRDefault="007F6172" w14:paraId="1B66556A" w14:textId="77777777">
            <w:pPr>
              <w:ind w:left="142" w:right="142"/>
              <w:rPr>
                <w:rFonts w:cs="Arial"/>
              </w:rPr>
            </w:pPr>
            <w:r w:rsidRPr="007F0D33">
              <w:rPr>
                <w:rFonts w:cs="Arial"/>
              </w:rPr>
              <w:t>Forward contracts lock-in the price at which an index or asset may be purchased or sold on a future date. In forward currency contracts, the contract holders are obligated to buy or sell the currency at a specified price, at a specified quantity and on a specified future date.</w:t>
            </w:r>
          </w:p>
          <w:p w:rsidRPr="007F0D33" w:rsidR="007F6172" w:rsidP="00055F04" w:rsidRDefault="007F6172" w14:paraId="3FE772F0" w14:textId="77777777">
            <w:pPr>
              <w:ind w:left="142" w:right="142"/>
              <w:rPr>
                <w:rFonts w:cs="Arial"/>
              </w:rPr>
            </w:pPr>
            <w:r w:rsidRPr="007F0D33">
              <w:rPr>
                <w:rFonts w:cs="Arial"/>
              </w:rPr>
              <w:t>Forward contracts may be cash settled between the parties.</w:t>
            </w:r>
          </w:p>
        </w:tc>
        <w:tc>
          <w:tcPr>
            <w:tcW w:w="2126" w:type="dxa"/>
            <w:tcBorders>
              <w:top w:val="nil"/>
              <w:left w:val="single" w:color="auto" w:sz="4" w:space="0"/>
              <w:bottom w:val="nil"/>
              <w:right w:val="single" w:color="auto" w:sz="8" w:space="0"/>
            </w:tcBorders>
            <w:tcMar>
              <w:top w:w="0" w:type="dxa"/>
              <w:left w:w="108" w:type="dxa"/>
              <w:bottom w:w="0" w:type="dxa"/>
              <w:right w:w="108" w:type="dxa"/>
            </w:tcMar>
            <w:hideMark/>
          </w:tcPr>
          <w:p w:rsidRPr="007F0D33" w:rsidR="007F6172" w:rsidP="00055F04" w:rsidRDefault="007F6172" w14:paraId="2D313A34" w14:textId="77777777">
            <w:pPr>
              <w:rPr>
                <w:rFonts w:cs="Arial"/>
              </w:rPr>
            </w:pPr>
            <w:r w:rsidRPr="007F0D33">
              <w:rPr>
                <w:rFonts w:cs="Arial"/>
              </w:rPr>
              <w:t>Hedge foreign currency exposure and prevent NAV fluctuations (caused by currency movements).</w:t>
            </w:r>
          </w:p>
          <w:p w:rsidRPr="007F0D33" w:rsidR="007F6172" w:rsidP="00055F04" w:rsidRDefault="007F6172" w14:paraId="5492AEA3" w14:textId="77777777">
            <w:pPr>
              <w:rPr>
                <w:rFonts w:cs="Arial"/>
              </w:rPr>
            </w:pPr>
          </w:p>
          <w:p w:rsidRPr="007F0D33" w:rsidR="007F6172" w:rsidP="00055F04" w:rsidRDefault="007F6172" w14:paraId="1A428393" w14:textId="77777777">
            <w:pPr>
              <w:pStyle w:val="BodyText"/>
              <w:rPr>
                <w:rFonts w:ascii="Arial" w:hAnsi="Arial" w:cs="Arial"/>
                <w:sz w:val="20"/>
              </w:rPr>
            </w:pPr>
            <w:r w:rsidRPr="007F0D33">
              <w:rPr>
                <w:rFonts w:ascii="Arial" w:hAnsi="Arial" w:cs="Arial"/>
                <w:sz w:val="20"/>
              </w:rPr>
              <w:t>The majority of the equities or Indices are expected to be denominated in Euro, Sterling and Dollars. The Investment Manager has the flexibility to mitigate the effect of fluctuations in the exchange rate between the Base Currency and the currencies of the equities or Indices by entering into forward currency contracts with financial counterparties in accordance with the terms of the Prospectus.</w:t>
            </w:r>
          </w:p>
        </w:tc>
        <w:tc>
          <w:tcPr>
            <w:tcW w:w="1276" w:type="dxa"/>
            <w:tcBorders>
              <w:top w:val="nil"/>
              <w:left w:val="nil"/>
              <w:bottom w:val="nil"/>
              <w:right w:val="single" w:color="auto" w:sz="8" w:space="0"/>
            </w:tcBorders>
            <w:tcMar>
              <w:top w:w="0" w:type="dxa"/>
              <w:left w:w="108" w:type="dxa"/>
              <w:bottom w:w="0" w:type="dxa"/>
              <w:right w:w="108" w:type="dxa"/>
            </w:tcMar>
            <w:hideMark/>
          </w:tcPr>
          <w:p w:rsidRPr="007F0D33" w:rsidR="007F6172" w:rsidP="00055F04" w:rsidRDefault="007F6172" w14:paraId="04BE6883" w14:textId="77777777">
            <w:pPr>
              <w:rPr>
                <w:rFonts w:eastAsia="Calibri" w:cs="Arial"/>
              </w:rPr>
            </w:pPr>
            <w:r w:rsidRPr="007F0D33">
              <w:rPr>
                <w:rFonts w:cs="Arial"/>
              </w:rPr>
              <w:t xml:space="preserve">Currency </w:t>
            </w:r>
          </w:p>
        </w:tc>
        <w:tc>
          <w:tcPr>
            <w:tcW w:w="805" w:type="dxa"/>
            <w:tcBorders>
              <w:top w:val="single" w:color="auto" w:sz="4" w:space="0"/>
              <w:left w:val="nil"/>
              <w:bottom w:val="nil"/>
              <w:right w:val="single" w:color="auto" w:sz="8" w:space="0"/>
            </w:tcBorders>
            <w:tcMar>
              <w:top w:w="0" w:type="dxa"/>
              <w:left w:w="108" w:type="dxa"/>
              <w:bottom w:w="0" w:type="dxa"/>
              <w:right w:w="108" w:type="dxa"/>
            </w:tcMar>
            <w:hideMark/>
          </w:tcPr>
          <w:p w:rsidRPr="007F0D33" w:rsidR="007F6172" w:rsidP="00055F04" w:rsidRDefault="007F6172" w14:paraId="17BC0F5B" w14:textId="77777777">
            <w:pPr>
              <w:rPr>
                <w:rFonts w:eastAsia="Calibri" w:cs="Arial"/>
              </w:rPr>
            </w:pPr>
            <w:r w:rsidRPr="007F0D33">
              <w:rPr>
                <w:rFonts w:cs="Arial"/>
              </w:rPr>
              <w:t>Yes</w:t>
            </w:r>
          </w:p>
        </w:tc>
        <w:tc>
          <w:tcPr>
            <w:tcW w:w="1888" w:type="dxa"/>
            <w:tcBorders>
              <w:top w:val="nil"/>
              <w:left w:val="nil"/>
              <w:bottom w:val="nil"/>
              <w:right w:val="single" w:color="auto" w:sz="8" w:space="0"/>
            </w:tcBorders>
            <w:hideMark/>
          </w:tcPr>
          <w:p w:rsidRPr="007F0D33" w:rsidR="007F6172" w:rsidP="00055F04" w:rsidRDefault="007F6172" w14:paraId="24A5DE84" w14:textId="77777777">
            <w:pPr>
              <w:ind w:left="154" w:right="142"/>
              <w:rPr>
                <w:rFonts w:cs="Arial"/>
              </w:rPr>
            </w:pPr>
            <w:r w:rsidRPr="007F0D33">
              <w:rPr>
                <w:rFonts w:cs="Arial"/>
              </w:rPr>
              <w:t>Hedge foreign currency exposure and prevent NAV fluctuations (caused by currency movements) which helps the Fund achieve its objective of long-term capital appreciation.</w:t>
            </w:r>
          </w:p>
          <w:p w:rsidRPr="007F0D33" w:rsidR="007F6172" w:rsidP="00055F04" w:rsidRDefault="007F6172" w14:paraId="0A563A3C" w14:textId="77777777">
            <w:pPr>
              <w:ind w:left="154" w:right="142"/>
              <w:rPr>
                <w:rFonts w:cs="Arial"/>
              </w:rPr>
            </w:pPr>
          </w:p>
          <w:p w:rsidRPr="007F0D33" w:rsidR="007F6172" w:rsidP="00055F04" w:rsidRDefault="007F6172" w14:paraId="2904BFD4" w14:textId="77777777">
            <w:pPr>
              <w:ind w:left="154" w:right="142"/>
              <w:rPr>
                <w:rFonts w:cs="Arial"/>
              </w:rPr>
            </w:pPr>
            <w:r w:rsidRPr="007F0D33">
              <w:rPr>
                <w:rFonts w:cs="Arial"/>
              </w:rPr>
              <w:t>In the event of a profit, the excess cash will be invested in order to help the Fund achieve its objective of long-term capital appreciation.</w:t>
            </w:r>
          </w:p>
        </w:tc>
      </w:tr>
      <w:tr w:rsidRPr="007F0D33" w:rsidR="007F6172" w:rsidTr="00055F04" w14:paraId="2D0412D8" w14:textId="77777777">
        <w:trPr>
          <w:trHeight w:val="80"/>
        </w:trPr>
        <w:tc>
          <w:tcPr>
            <w:tcW w:w="127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F0D33" w:rsidR="007F6172" w:rsidP="00055F04" w:rsidRDefault="007F6172" w14:paraId="4D4F85DD" w14:textId="77777777">
            <w:pPr>
              <w:rPr>
                <w:rFonts w:cs="Arial"/>
              </w:rPr>
            </w:pPr>
          </w:p>
        </w:tc>
        <w:tc>
          <w:tcPr>
            <w:tcW w:w="1985" w:type="dxa"/>
            <w:tcBorders>
              <w:top w:val="nil"/>
              <w:left w:val="nil"/>
              <w:bottom w:val="single" w:color="auto" w:sz="8" w:space="0"/>
              <w:right w:val="single" w:color="auto" w:sz="4" w:space="0"/>
            </w:tcBorders>
          </w:tcPr>
          <w:p w:rsidRPr="007F0D33" w:rsidR="007F6172" w:rsidP="00055F04" w:rsidRDefault="007F6172" w14:paraId="7ECF52A3" w14:textId="77777777">
            <w:pPr>
              <w:ind w:left="142" w:right="142"/>
              <w:rPr>
                <w:rFonts w:cs="Arial"/>
              </w:rPr>
            </w:pPr>
          </w:p>
        </w:tc>
        <w:tc>
          <w:tcPr>
            <w:tcW w:w="2126" w:type="dxa"/>
            <w:tcBorders>
              <w:top w:val="nil"/>
              <w:left w:val="single" w:color="auto" w:sz="4" w:space="0"/>
              <w:bottom w:val="single" w:color="auto" w:sz="8" w:space="0"/>
              <w:right w:val="single" w:color="auto" w:sz="8" w:space="0"/>
            </w:tcBorders>
            <w:tcMar>
              <w:top w:w="0" w:type="dxa"/>
              <w:left w:w="108" w:type="dxa"/>
              <w:bottom w:w="0" w:type="dxa"/>
              <w:right w:w="108" w:type="dxa"/>
            </w:tcMar>
          </w:tcPr>
          <w:p w:rsidRPr="007F0D33" w:rsidR="007F6172" w:rsidP="00055F04" w:rsidRDefault="007F6172" w14:paraId="72A231DF" w14:textId="77777777">
            <w:pPr>
              <w:rPr>
                <w:rFonts w:cs="Arial"/>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rsidRPr="007F0D33" w:rsidR="007F6172" w:rsidP="00055F04" w:rsidRDefault="007F6172" w14:paraId="53601F30" w14:textId="77777777">
            <w:pPr>
              <w:rPr>
                <w:rFonts w:cs="Arial"/>
              </w:rPr>
            </w:pPr>
          </w:p>
        </w:tc>
        <w:tc>
          <w:tcPr>
            <w:tcW w:w="805" w:type="dxa"/>
            <w:tcBorders>
              <w:top w:val="nil"/>
              <w:left w:val="nil"/>
              <w:bottom w:val="single" w:color="auto" w:sz="8" w:space="0"/>
              <w:right w:val="single" w:color="auto" w:sz="8" w:space="0"/>
            </w:tcBorders>
            <w:tcMar>
              <w:top w:w="0" w:type="dxa"/>
              <w:left w:w="108" w:type="dxa"/>
              <w:bottom w:w="0" w:type="dxa"/>
              <w:right w:w="108" w:type="dxa"/>
            </w:tcMar>
          </w:tcPr>
          <w:p w:rsidRPr="007F0D33" w:rsidR="007F6172" w:rsidP="00055F04" w:rsidRDefault="007F6172" w14:paraId="299952EC" w14:textId="77777777">
            <w:pPr>
              <w:rPr>
                <w:rFonts w:cs="Arial"/>
              </w:rPr>
            </w:pPr>
          </w:p>
        </w:tc>
        <w:tc>
          <w:tcPr>
            <w:tcW w:w="1888" w:type="dxa"/>
            <w:tcBorders>
              <w:top w:val="nil"/>
              <w:left w:val="nil"/>
              <w:bottom w:val="single" w:color="auto" w:sz="8" w:space="0"/>
              <w:right w:val="single" w:color="auto" w:sz="8" w:space="0"/>
            </w:tcBorders>
          </w:tcPr>
          <w:p w:rsidRPr="007F0D33" w:rsidR="007F6172" w:rsidP="00055F04" w:rsidRDefault="007F6172" w14:paraId="7A0F0372" w14:textId="77777777">
            <w:pPr>
              <w:ind w:left="154" w:right="142"/>
              <w:rPr>
                <w:rFonts w:cs="Arial"/>
              </w:rPr>
            </w:pPr>
          </w:p>
        </w:tc>
      </w:tr>
      <w:tr w:rsidRPr="007F0D33" w:rsidR="007F6172" w:rsidTr="00055F04" w14:paraId="645852FC" w14:textId="77777777">
        <w:trPr>
          <w:trHeight w:val="561"/>
        </w:trPr>
        <w:tc>
          <w:tcPr>
            <w:tcW w:w="127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rsidRPr="007F0D33" w:rsidR="007F6172" w:rsidP="00055F04" w:rsidRDefault="007F6172" w14:paraId="1053A7A3" w14:textId="77777777">
            <w:pPr>
              <w:rPr>
                <w:rFonts w:eastAsia="Calibri" w:cs="Arial"/>
              </w:rPr>
            </w:pPr>
            <w:bookmarkStart w:name="_Hlk475370916" w:id="10"/>
            <w:r w:rsidRPr="007F0D33">
              <w:rPr>
                <w:rFonts w:cs="Arial"/>
              </w:rPr>
              <w:t>Call options</w:t>
            </w:r>
          </w:p>
        </w:tc>
        <w:tc>
          <w:tcPr>
            <w:tcW w:w="1985" w:type="dxa"/>
            <w:tcBorders>
              <w:top w:val="single" w:color="auto" w:sz="8" w:space="0"/>
              <w:left w:val="nil"/>
              <w:bottom w:val="single" w:color="auto" w:sz="4" w:space="0"/>
              <w:right w:val="single" w:color="auto" w:sz="4" w:space="0"/>
            </w:tcBorders>
          </w:tcPr>
          <w:p w:rsidRPr="007F0D33" w:rsidR="007F6172" w:rsidP="00055F04" w:rsidRDefault="007F6172" w14:paraId="7452D068" w14:textId="77777777">
            <w:pPr>
              <w:ind w:left="142" w:right="142"/>
              <w:rPr>
                <w:rFonts w:eastAsia="Calibri" w:cs="Arial"/>
              </w:rPr>
            </w:pPr>
            <w:bookmarkStart w:name="OLE_LINK1" w:id="11"/>
            <w:r w:rsidRPr="007F0D33">
              <w:rPr>
                <w:rFonts w:eastAsia="Calibri" w:cs="Arial"/>
              </w:rPr>
              <w:t>Options provide the right to buy a specific quantity of a specific equity at a fixed price at or before a specified future date. Call options are contracts sold for a premium that give the buyer the right, but not the obligation, to buy from the seller a specified quantity of a particular equity at a specified price.</w:t>
            </w:r>
            <w:bookmarkEnd w:id="11"/>
          </w:p>
        </w:tc>
        <w:tc>
          <w:tcPr>
            <w:tcW w:w="212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tcPr>
          <w:p w:rsidRPr="007F0D33" w:rsidR="007F6172" w:rsidP="00055F04" w:rsidRDefault="007F6172" w14:paraId="28122ED4" w14:textId="77777777">
            <w:pPr>
              <w:rPr>
                <w:rFonts w:eastAsia="Calibri" w:cs="Arial"/>
              </w:rPr>
            </w:pPr>
            <w:r w:rsidRPr="007F0D33">
              <w:rPr>
                <w:rFonts w:eastAsia="Calibri" w:cs="Arial"/>
              </w:rPr>
              <w:t>For investment purposes and to hedge certain risks of investment positions.</w:t>
            </w:r>
          </w:p>
        </w:tc>
        <w:tc>
          <w:tcPr>
            <w:tcW w:w="1276"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7F0D33" w:rsidR="007F6172" w:rsidP="00055F04" w:rsidRDefault="007F6172" w14:paraId="5C9B3708" w14:textId="77777777">
            <w:pPr>
              <w:rPr>
                <w:rFonts w:eastAsia="Calibri" w:cs="Arial"/>
              </w:rPr>
            </w:pPr>
            <w:r w:rsidRPr="007F0D33">
              <w:rPr>
                <w:rFonts w:eastAsia="Calibri" w:cs="Arial"/>
              </w:rPr>
              <w:t xml:space="preserve">Market </w:t>
            </w:r>
          </w:p>
        </w:tc>
        <w:tc>
          <w:tcPr>
            <w:tcW w:w="805"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7F0D33" w:rsidR="007F6172" w:rsidP="00055F04" w:rsidRDefault="007F6172" w14:paraId="499B1AB4" w14:textId="77777777">
            <w:pPr>
              <w:rPr>
                <w:rFonts w:eastAsia="Calibri" w:cs="Arial"/>
              </w:rPr>
            </w:pPr>
            <w:r w:rsidRPr="007F0D33">
              <w:rPr>
                <w:rFonts w:eastAsia="Calibri" w:cs="Arial"/>
              </w:rPr>
              <w:t>Yes</w:t>
            </w:r>
          </w:p>
        </w:tc>
        <w:tc>
          <w:tcPr>
            <w:tcW w:w="1888" w:type="dxa"/>
            <w:tcBorders>
              <w:top w:val="single" w:color="auto" w:sz="8" w:space="0"/>
              <w:left w:val="nil"/>
              <w:bottom w:val="single" w:color="auto" w:sz="4" w:space="0"/>
              <w:right w:val="single" w:color="auto" w:sz="8" w:space="0"/>
            </w:tcBorders>
          </w:tcPr>
          <w:p w:rsidRPr="007F0D33" w:rsidR="007F6172" w:rsidP="00055F04" w:rsidRDefault="007F6172" w14:paraId="5E5C3B56" w14:textId="77777777">
            <w:pPr>
              <w:ind w:left="142" w:right="142"/>
              <w:rPr>
                <w:rFonts w:eastAsia="Calibri" w:cs="Arial"/>
              </w:rPr>
            </w:pPr>
            <w:bookmarkStart w:name="OLE_LINK7" w:id="12"/>
            <w:bookmarkStart w:name="OLE_LINK8" w:id="13"/>
            <w:r w:rsidRPr="007F0D33">
              <w:rPr>
                <w:rFonts w:eastAsia="Calibri" w:cs="Arial"/>
              </w:rPr>
              <w:t xml:space="preserve">The use of call options </w:t>
            </w:r>
            <w:bookmarkStart w:name="OLE_LINK15" w:id="14"/>
            <w:r w:rsidRPr="007F0D33">
              <w:rPr>
                <w:rFonts w:eastAsia="Calibri" w:cs="Arial"/>
              </w:rPr>
              <w:t>may be used to provide the Fund with additional income and may be used if the Investment Manager believes that the underlying</w:t>
            </w:r>
            <w:bookmarkEnd w:id="14"/>
            <w:r w:rsidRPr="007F0D33">
              <w:rPr>
                <w:rFonts w:eastAsia="Calibri" w:cs="Arial"/>
              </w:rPr>
              <w:t xml:space="preserve"> investments to which the call options are linked have limited growth potential.</w:t>
            </w:r>
            <w:bookmarkEnd w:id="12"/>
            <w:bookmarkEnd w:id="13"/>
            <w:r w:rsidRPr="007F0D33">
              <w:rPr>
                <w:rFonts w:eastAsia="Calibri" w:cs="Arial"/>
              </w:rPr>
              <w:t xml:space="preserve"> </w:t>
            </w:r>
          </w:p>
          <w:p w:rsidRPr="007F0D33" w:rsidR="007F6172" w:rsidP="00055F04" w:rsidRDefault="007F6172" w14:paraId="135D4B2E" w14:textId="77777777">
            <w:pPr>
              <w:ind w:left="142" w:right="142"/>
              <w:rPr>
                <w:rFonts w:eastAsia="Calibri" w:cs="Arial"/>
              </w:rPr>
            </w:pPr>
          </w:p>
          <w:p w:rsidRPr="007F0D33" w:rsidR="007F6172" w:rsidP="00055F04" w:rsidRDefault="007F6172" w14:paraId="7D19DDA1" w14:textId="77777777">
            <w:pPr>
              <w:ind w:left="142" w:right="142"/>
              <w:rPr>
                <w:rFonts w:eastAsia="Calibri" w:cs="Arial"/>
              </w:rPr>
            </w:pPr>
            <w:r w:rsidRPr="007F0D33">
              <w:rPr>
                <w:rFonts w:eastAsia="Calibri" w:cs="Arial"/>
              </w:rPr>
              <w:t xml:space="preserve">Conversely the use of call </w:t>
            </w:r>
            <w:r w:rsidRPr="007F0D33">
              <w:rPr>
                <w:rFonts w:eastAsia="Calibri" w:cs="Arial"/>
              </w:rPr>
              <w:lastRenderedPageBreak/>
              <w:t>options may be used to provide the Fund with exposure to the underlying equity, where the manager wishes to participate in any capital growth in the underlying equity, but is only prepared to risk the option premium, in the case where the underlying exhibits negative performance.</w:t>
            </w:r>
          </w:p>
        </w:tc>
      </w:tr>
      <w:tr w:rsidRPr="007F0D33" w:rsidR="007F6172" w:rsidTr="00055F04" w14:paraId="37C3AC19" w14:textId="77777777">
        <w:trPr>
          <w:trHeight w:val="1824"/>
        </w:trPr>
        <w:tc>
          <w:tcPr>
            <w:tcW w:w="1276" w:type="dxa"/>
            <w:tcBorders>
              <w:top w:val="single" w:color="auto" w:sz="4" w:space="0"/>
              <w:left w:val="single" w:color="auto" w:sz="8" w:space="0"/>
              <w:right w:val="single" w:color="auto" w:sz="8" w:space="0"/>
            </w:tcBorders>
            <w:tcMar>
              <w:top w:w="0" w:type="dxa"/>
              <w:left w:w="108" w:type="dxa"/>
              <w:bottom w:w="0" w:type="dxa"/>
              <w:right w:w="108" w:type="dxa"/>
            </w:tcMar>
          </w:tcPr>
          <w:p w:rsidRPr="007F0D33" w:rsidR="007F6172" w:rsidP="00055F04" w:rsidRDefault="007F6172" w14:paraId="2B748429" w14:textId="77777777">
            <w:pPr>
              <w:rPr>
                <w:rFonts w:cs="Arial"/>
              </w:rPr>
            </w:pPr>
            <w:bookmarkStart w:name="_Hlk475372698" w:id="15"/>
            <w:bookmarkEnd w:id="10"/>
            <w:r w:rsidRPr="007F0D33">
              <w:rPr>
                <w:rFonts w:cs="Arial"/>
              </w:rPr>
              <w:lastRenderedPageBreak/>
              <w:t>Put options</w:t>
            </w:r>
          </w:p>
        </w:tc>
        <w:tc>
          <w:tcPr>
            <w:tcW w:w="1985" w:type="dxa"/>
            <w:tcBorders>
              <w:top w:val="single" w:color="auto" w:sz="4" w:space="0"/>
              <w:left w:val="nil"/>
              <w:right w:val="single" w:color="auto" w:sz="4" w:space="0"/>
            </w:tcBorders>
          </w:tcPr>
          <w:p w:rsidRPr="007F0D33" w:rsidR="007F6172" w:rsidP="00055F04" w:rsidRDefault="007F6172" w14:paraId="2FFEE0FA" w14:textId="77777777">
            <w:pPr>
              <w:ind w:left="142" w:right="142"/>
              <w:rPr>
                <w:rFonts w:eastAsia="Calibri" w:cs="Arial"/>
              </w:rPr>
            </w:pPr>
            <w:r w:rsidRPr="007F0D33">
              <w:rPr>
                <w:rFonts w:eastAsia="Calibri" w:cs="Arial"/>
              </w:rPr>
              <w:t>Options provide the right to sell a specific quantity of a specific equity at a fixed price at or before a specified future date. Put options are contracts sold for a premium that give the buyer the right, but not the obligation, to sell to the seller a specified quantity of a particular equity at a specified price.</w:t>
            </w:r>
          </w:p>
        </w:tc>
        <w:tc>
          <w:tcPr>
            <w:tcW w:w="2126" w:type="dxa"/>
            <w:tcBorders>
              <w:top w:val="single" w:color="auto" w:sz="4" w:space="0"/>
              <w:left w:val="single" w:color="auto" w:sz="4" w:space="0"/>
              <w:right w:val="single" w:color="auto" w:sz="8" w:space="0"/>
            </w:tcBorders>
            <w:tcMar>
              <w:top w:w="0" w:type="dxa"/>
              <w:left w:w="108" w:type="dxa"/>
              <w:bottom w:w="0" w:type="dxa"/>
              <w:right w:w="108" w:type="dxa"/>
            </w:tcMar>
          </w:tcPr>
          <w:p w:rsidRPr="007F0D33" w:rsidR="007F6172" w:rsidP="00055F04" w:rsidRDefault="007F6172" w14:paraId="6009A69E" w14:textId="77777777">
            <w:pPr>
              <w:rPr>
                <w:rFonts w:eastAsia="Calibri" w:cs="Arial"/>
              </w:rPr>
            </w:pPr>
            <w:bookmarkStart w:name="OLE_LINK9" w:id="16"/>
            <w:bookmarkStart w:name="OLE_LINK10" w:id="17"/>
            <w:bookmarkStart w:name="OLE_LINK11" w:id="18"/>
            <w:r w:rsidRPr="007F0D33">
              <w:rPr>
                <w:rFonts w:eastAsia="Calibri" w:cs="Arial"/>
              </w:rPr>
              <w:t>For investment purposes and to hedge certain risks of investment positions.</w:t>
            </w:r>
            <w:bookmarkEnd w:id="16"/>
            <w:bookmarkEnd w:id="17"/>
            <w:bookmarkEnd w:id="18"/>
          </w:p>
        </w:tc>
        <w:tc>
          <w:tcPr>
            <w:tcW w:w="1276" w:type="dxa"/>
            <w:tcBorders>
              <w:top w:val="single" w:color="auto" w:sz="4" w:space="0"/>
              <w:left w:val="nil"/>
              <w:right w:val="single" w:color="auto" w:sz="8" w:space="0"/>
            </w:tcBorders>
            <w:tcMar>
              <w:top w:w="0" w:type="dxa"/>
              <w:left w:w="108" w:type="dxa"/>
              <w:bottom w:w="0" w:type="dxa"/>
              <w:right w:w="108" w:type="dxa"/>
            </w:tcMar>
          </w:tcPr>
          <w:p w:rsidRPr="007F0D33" w:rsidR="007F6172" w:rsidP="00055F04" w:rsidRDefault="007F6172" w14:paraId="6D49E665" w14:textId="77777777">
            <w:pPr>
              <w:rPr>
                <w:rFonts w:eastAsia="Calibri" w:cs="Arial"/>
              </w:rPr>
            </w:pPr>
            <w:bookmarkStart w:name="OLE_LINK4" w:id="19"/>
            <w:r w:rsidRPr="007F0D33">
              <w:rPr>
                <w:rFonts w:eastAsia="Calibri" w:cs="Arial"/>
              </w:rPr>
              <w:t xml:space="preserve">Market </w:t>
            </w:r>
            <w:bookmarkEnd w:id="19"/>
          </w:p>
        </w:tc>
        <w:tc>
          <w:tcPr>
            <w:tcW w:w="805" w:type="dxa"/>
            <w:tcBorders>
              <w:top w:val="single" w:color="auto" w:sz="4" w:space="0"/>
              <w:left w:val="nil"/>
              <w:right w:val="single" w:color="auto" w:sz="8" w:space="0"/>
            </w:tcBorders>
            <w:tcMar>
              <w:top w:w="0" w:type="dxa"/>
              <w:left w:w="108" w:type="dxa"/>
              <w:bottom w:w="0" w:type="dxa"/>
              <w:right w:w="108" w:type="dxa"/>
            </w:tcMar>
          </w:tcPr>
          <w:p w:rsidRPr="007F0D33" w:rsidR="007F6172" w:rsidP="00055F04" w:rsidRDefault="007F6172" w14:paraId="47189937" w14:textId="77777777">
            <w:pPr>
              <w:rPr>
                <w:rFonts w:eastAsia="Calibri" w:cs="Arial"/>
              </w:rPr>
            </w:pPr>
            <w:r w:rsidRPr="007F0D33">
              <w:rPr>
                <w:rFonts w:eastAsia="Calibri" w:cs="Arial"/>
              </w:rPr>
              <w:t>Yes</w:t>
            </w:r>
          </w:p>
        </w:tc>
        <w:tc>
          <w:tcPr>
            <w:tcW w:w="1888" w:type="dxa"/>
            <w:tcBorders>
              <w:top w:val="single" w:color="auto" w:sz="4" w:space="0"/>
              <w:left w:val="nil"/>
              <w:right w:val="single" w:color="auto" w:sz="8" w:space="0"/>
            </w:tcBorders>
          </w:tcPr>
          <w:p w:rsidRPr="007F0D33" w:rsidR="007F6172" w:rsidP="00055F04" w:rsidRDefault="007F6172" w14:paraId="15BABBCF" w14:textId="77777777">
            <w:pPr>
              <w:ind w:left="142" w:right="142"/>
              <w:rPr>
                <w:rFonts w:eastAsia="Calibri" w:cs="Arial"/>
              </w:rPr>
            </w:pPr>
            <w:r w:rsidRPr="007F0D33">
              <w:rPr>
                <w:rFonts w:eastAsia="Calibri" w:cs="Arial"/>
              </w:rPr>
              <w:t>The use of put options may be used to provide the Fund with income and may be used if the Investment Manager believes that the underlying investments to which the put option relates will exhibit negative performance significantly less than the strike level of the put options.</w:t>
            </w:r>
          </w:p>
        </w:tc>
      </w:tr>
      <w:bookmarkEnd w:id="15"/>
      <w:tr w:rsidRPr="007F0D33" w:rsidR="007F6172" w:rsidTr="00055F04" w14:paraId="29247C44" w14:textId="77777777">
        <w:trPr>
          <w:trHeight w:val="1563"/>
        </w:trPr>
        <w:tc>
          <w:tcPr>
            <w:tcW w:w="1276" w:type="dxa"/>
            <w:tcBorders>
              <w:top w:val="single" w:color="auto" w:sz="4" w:space="0"/>
              <w:left w:val="single" w:color="auto" w:sz="8" w:space="0"/>
              <w:right w:val="single" w:color="auto" w:sz="8" w:space="0"/>
            </w:tcBorders>
            <w:tcMar>
              <w:top w:w="0" w:type="dxa"/>
              <w:left w:w="108" w:type="dxa"/>
              <w:bottom w:w="0" w:type="dxa"/>
              <w:right w:w="108" w:type="dxa"/>
            </w:tcMar>
          </w:tcPr>
          <w:p w:rsidRPr="007F0D33" w:rsidR="007F6172" w:rsidP="00055F04" w:rsidRDefault="007F6172" w14:paraId="68AE01E3" w14:textId="77777777">
            <w:pPr>
              <w:rPr>
                <w:rFonts w:cs="Arial"/>
              </w:rPr>
            </w:pPr>
            <w:r w:rsidRPr="007F0D33">
              <w:rPr>
                <w:rFonts w:cs="Arial"/>
              </w:rPr>
              <w:t>Credit Default Swaps</w:t>
            </w:r>
          </w:p>
        </w:tc>
        <w:tc>
          <w:tcPr>
            <w:tcW w:w="1985" w:type="dxa"/>
            <w:tcBorders>
              <w:top w:val="single" w:color="auto" w:sz="4" w:space="0"/>
              <w:left w:val="nil"/>
              <w:right w:val="single" w:color="auto" w:sz="4" w:space="0"/>
            </w:tcBorders>
          </w:tcPr>
          <w:p w:rsidRPr="007F0D33" w:rsidR="007F6172" w:rsidP="00055F04" w:rsidRDefault="007F6172" w14:paraId="768B5441" w14:textId="77777777">
            <w:pPr>
              <w:ind w:left="142" w:right="142"/>
              <w:rPr>
                <w:rFonts w:eastAsia="Calibri" w:cs="Arial"/>
              </w:rPr>
            </w:pPr>
            <w:r w:rsidRPr="007F0D33">
              <w:rPr>
                <w:rFonts w:eastAsia="Calibri" w:cs="Arial"/>
              </w:rPr>
              <w:t xml:space="preserve">Credit Default Swaps provide the buyer with protection against the default of the underlying Sovereign or corporate in exchange for paying an on-going Credit Default Swap fee to the seller. In the event of default, the Credit Default Swap buyer will receive a payment from the seller </w:t>
            </w:r>
            <w:r w:rsidRPr="007F0D33">
              <w:rPr>
                <w:rFonts w:eastAsia="Calibri" w:cs="Arial"/>
              </w:rPr>
              <w:lastRenderedPageBreak/>
              <w:t>based upon the recovery value of the underlying Sovereign or corporate</w:t>
            </w:r>
            <w:r w:rsidR="00CF63B7">
              <w:rPr>
                <w:rFonts w:eastAsia="Calibri" w:cs="Arial"/>
              </w:rPr>
              <w:t>.</w:t>
            </w:r>
          </w:p>
        </w:tc>
        <w:tc>
          <w:tcPr>
            <w:tcW w:w="2126" w:type="dxa"/>
            <w:tcBorders>
              <w:top w:val="single" w:color="auto" w:sz="4" w:space="0"/>
              <w:left w:val="single" w:color="auto" w:sz="4" w:space="0"/>
              <w:right w:val="single" w:color="auto" w:sz="8" w:space="0"/>
            </w:tcBorders>
            <w:tcMar>
              <w:top w:w="0" w:type="dxa"/>
              <w:left w:w="108" w:type="dxa"/>
              <w:bottom w:w="0" w:type="dxa"/>
              <w:right w:w="108" w:type="dxa"/>
            </w:tcMar>
          </w:tcPr>
          <w:p w:rsidRPr="007F0D33" w:rsidR="007F6172" w:rsidP="00055F04" w:rsidRDefault="007F6172" w14:paraId="5A2C25F1" w14:textId="77777777">
            <w:pPr>
              <w:rPr>
                <w:rFonts w:eastAsia="Calibri" w:cs="Arial"/>
              </w:rPr>
            </w:pPr>
            <w:bookmarkStart w:name="OLE_LINK17" w:id="20"/>
            <w:r w:rsidRPr="007F0D33">
              <w:rPr>
                <w:rFonts w:eastAsia="Calibri" w:cs="Arial"/>
              </w:rPr>
              <w:lastRenderedPageBreak/>
              <w:t>For investment purposes and to hedge certain risks of investment positions.</w:t>
            </w:r>
            <w:bookmarkEnd w:id="20"/>
          </w:p>
        </w:tc>
        <w:tc>
          <w:tcPr>
            <w:tcW w:w="1276" w:type="dxa"/>
            <w:tcBorders>
              <w:top w:val="single" w:color="auto" w:sz="4" w:space="0"/>
              <w:left w:val="nil"/>
              <w:right w:val="single" w:color="auto" w:sz="8" w:space="0"/>
            </w:tcBorders>
            <w:tcMar>
              <w:top w:w="0" w:type="dxa"/>
              <w:left w:w="108" w:type="dxa"/>
              <w:bottom w:w="0" w:type="dxa"/>
              <w:right w:w="108" w:type="dxa"/>
            </w:tcMar>
          </w:tcPr>
          <w:p w:rsidRPr="007F0D33" w:rsidR="007F6172" w:rsidP="00055F04" w:rsidRDefault="007F6172" w14:paraId="6AB870C8" w14:textId="77777777">
            <w:pPr>
              <w:rPr>
                <w:rFonts w:eastAsia="Calibri" w:cs="Arial"/>
              </w:rPr>
            </w:pPr>
            <w:r w:rsidRPr="007F0D33">
              <w:rPr>
                <w:rFonts w:eastAsia="Calibri" w:cs="Arial"/>
              </w:rPr>
              <w:t xml:space="preserve">Market </w:t>
            </w:r>
          </w:p>
        </w:tc>
        <w:tc>
          <w:tcPr>
            <w:tcW w:w="805" w:type="dxa"/>
            <w:tcBorders>
              <w:top w:val="single" w:color="auto" w:sz="4" w:space="0"/>
              <w:left w:val="nil"/>
              <w:right w:val="single" w:color="auto" w:sz="8" w:space="0"/>
            </w:tcBorders>
            <w:tcMar>
              <w:top w:w="0" w:type="dxa"/>
              <w:left w:w="108" w:type="dxa"/>
              <w:bottom w:w="0" w:type="dxa"/>
              <w:right w:w="108" w:type="dxa"/>
            </w:tcMar>
          </w:tcPr>
          <w:p w:rsidRPr="007F0D33" w:rsidR="007F6172" w:rsidP="00055F04" w:rsidRDefault="007F6172" w14:paraId="40CB8784" w14:textId="77777777">
            <w:pPr>
              <w:rPr>
                <w:rFonts w:eastAsia="Calibri" w:cs="Arial"/>
              </w:rPr>
            </w:pPr>
            <w:r w:rsidRPr="007F0D33">
              <w:rPr>
                <w:rFonts w:eastAsia="Calibri" w:cs="Arial"/>
              </w:rPr>
              <w:t>Yes</w:t>
            </w:r>
          </w:p>
        </w:tc>
        <w:tc>
          <w:tcPr>
            <w:tcW w:w="1888" w:type="dxa"/>
            <w:tcBorders>
              <w:top w:val="single" w:color="auto" w:sz="4" w:space="0"/>
              <w:left w:val="nil"/>
              <w:right w:val="single" w:color="auto" w:sz="8" w:space="0"/>
            </w:tcBorders>
          </w:tcPr>
          <w:p w:rsidRPr="007F0D33" w:rsidR="007F6172" w:rsidP="00055F04" w:rsidRDefault="007F6172" w14:paraId="5B1AAB24" w14:textId="77777777">
            <w:pPr>
              <w:ind w:left="142" w:right="142"/>
              <w:rPr>
                <w:rFonts w:eastAsia="Calibri" w:cs="Arial"/>
              </w:rPr>
            </w:pPr>
            <w:r w:rsidRPr="007F0D33">
              <w:rPr>
                <w:rFonts w:eastAsia="Calibri" w:cs="Arial"/>
              </w:rPr>
              <w:t xml:space="preserve">The use of Credit Default Swaps may be used to provide the Fund with additional income and may be used if the Investment Manager believes that the underlying sovereign or corporate is highly unlikely to default. For example, there may be a situation where </w:t>
            </w:r>
            <w:r w:rsidRPr="007F0D33">
              <w:rPr>
                <w:rFonts w:eastAsia="Calibri" w:cs="Arial"/>
              </w:rPr>
              <w:lastRenderedPageBreak/>
              <w:t>the combination of long bonds plus short-duration Credit Default Swaps provide for a better return than being solely invested in the bond itself. The Credit Default Swaps may be used to purchase protection for the Fund on the underlying as described in the "Description" column to the left. Credit Default Swaps will also be far more liquid than the bon</w:t>
            </w:r>
            <w:r>
              <w:rPr>
                <w:rFonts w:eastAsia="Calibri" w:cs="Arial"/>
              </w:rPr>
              <w:t>d</w:t>
            </w:r>
            <w:r w:rsidRPr="007F0D33">
              <w:rPr>
                <w:rFonts w:eastAsia="Calibri" w:cs="Arial"/>
              </w:rPr>
              <w:t>.</w:t>
            </w:r>
          </w:p>
        </w:tc>
      </w:tr>
      <w:tr w:rsidRPr="007F0D33" w:rsidR="007F6172" w:rsidTr="00055F04" w14:paraId="26CACA14" w14:textId="77777777">
        <w:trPr>
          <w:trHeight w:val="6524"/>
        </w:trPr>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7F6172" w:rsidP="00055F04" w:rsidRDefault="00BC5C68" w14:paraId="77BFFDAA" w14:textId="5541A3E3">
            <w:pPr>
              <w:rPr>
                <w:rFonts w:cs="Arial"/>
              </w:rPr>
            </w:pPr>
            <w:bookmarkStart w:name="_Hlk475374013" w:id="21"/>
            <w:r w:rsidRPr="007F0D33">
              <w:rPr>
                <w:rFonts w:cs="Arial"/>
              </w:rPr>
              <w:lastRenderedPageBreak/>
              <w:t xml:space="preserve">Swaps (Total Return Swaps, Interest Rate Swaps, </w:t>
            </w:r>
            <w:r>
              <w:rPr>
                <w:rFonts w:cs="Arial"/>
              </w:rPr>
              <w:t xml:space="preserve">Interest Rate Caps, </w:t>
            </w:r>
            <w:r w:rsidRPr="007F0D33">
              <w:rPr>
                <w:rFonts w:cs="Arial"/>
              </w:rPr>
              <w:t>Swaptions</w:t>
            </w:r>
            <w:r>
              <w:rPr>
                <w:rFonts w:cs="Arial"/>
              </w:rPr>
              <w:t xml:space="preserve">, </w:t>
            </w:r>
            <w:r w:rsidRPr="00C57D36">
              <w:rPr>
                <w:rFonts w:cs="Arial"/>
              </w:rPr>
              <w:t>Cross Currency Basis Swaps</w:t>
            </w:r>
            <w:r w:rsidRPr="007F0D33">
              <w:rPr>
                <w:rFonts w:cs="Arial"/>
              </w:rPr>
              <w:t>)</w:t>
            </w:r>
          </w:p>
        </w:tc>
        <w:tc>
          <w:tcPr>
            <w:tcW w:w="1985" w:type="dxa"/>
            <w:tcBorders>
              <w:top w:val="single" w:color="auto" w:sz="4" w:space="0"/>
              <w:left w:val="single" w:color="auto" w:sz="4" w:space="0"/>
              <w:bottom w:val="single" w:color="auto" w:sz="4" w:space="0"/>
              <w:right w:val="single" w:color="auto" w:sz="4" w:space="0"/>
            </w:tcBorders>
          </w:tcPr>
          <w:p w:rsidRPr="007F0D33" w:rsidR="007F6172" w:rsidP="00CF63B7" w:rsidRDefault="007F6172" w14:paraId="1B734F1B" w14:textId="77777777">
            <w:pPr>
              <w:ind w:left="142" w:right="142"/>
              <w:rPr>
                <w:rFonts w:eastAsia="Calibri" w:cs="Arial"/>
              </w:rPr>
            </w:pPr>
            <w:r w:rsidRPr="007F0D33">
              <w:rPr>
                <w:rFonts w:eastAsia="Calibri" w:cs="Arial"/>
              </w:rPr>
              <w:t>A swap is a derivative contract between two parties where they agree to exchange the investment return on an underlying for the investment return on a different underlying or in exchange for receiving the investment return on an underlying, the party receiving that investment return pays the other party an on-going fee, both parties agree the monetary amount (notional), upon which the derivative is based.</w:t>
            </w:r>
            <w:r w:rsidR="00CF63B7">
              <w:t xml:space="preserve"> </w:t>
            </w:r>
          </w:p>
          <w:p w:rsidRPr="007F0D33" w:rsidR="007F6172" w:rsidP="00055F04" w:rsidRDefault="007F6172" w14:paraId="31AE8B76" w14:textId="77777777">
            <w:pPr>
              <w:ind w:left="142" w:right="142"/>
              <w:rPr>
                <w:rFonts w:eastAsia="Calibri" w:cs="Arial"/>
              </w:rPr>
            </w:pPr>
          </w:p>
          <w:p w:rsidRPr="007F0D33" w:rsidR="007F6172" w:rsidP="00055F04" w:rsidRDefault="007F6172" w14:paraId="102900BE" w14:textId="77777777">
            <w:pPr>
              <w:ind w:left="142" w:right="142"/>
              <w:rPr>
                <w:rFonts w:eastAsia="Calibri" w:cs="Arial"/>
              </w:rPr>
            </w:pPr>
            <w:r w:rsidRPr="007F0D33">
              <w:rPr>
                <w:rFonts w:eastAsia="Calibri" w:cs="Arial"/>
              </w:rPr>
              <w:t xml:space="preserve">Where a party agrees to receive the investment return on an underlying and that investment </w:t>
            </w:r>
            <w:r w:rsidRPr="007F0D33">
              <w:rPr>
                <w:rFonts w:eastAsia="Calibri" w:cs="Arial"/>
              </w:rPr>
              <w:lastRenderedPageBreak/>
              <w:t xml:space="preserve">depreciates in value, then at the maturity of the swap that party must make a payment to the other party equal to the negative performance of that underlying multiplied by the </w:t>
            </w:r>
            <w:bookmarkStart w:name="OLE_LINK16" w:id="22"/>
            <w:r w:rsidRPr="007F0D33">
              <w:rPr>
                <w:rFonts w:eastAsia="Calibri" w:cs="Arial"/>
              </w:rPr>
              <w:t>pre-agreed monetary amount (notional) upon which the derivative is based.</w:t>
            </w:r>
            <w:bookmarkEnd w:id="22"/>
          </w:p>
          <w:p w:rsidRPr="007F0D33" w:rsidR="007F6172" w:rsidP="00055F04" w:rsidRDefault="007F6172" w14:paraId="100E2875" w14:textId="77777777">
            <w:pPr>
              <w:ind w:left="142" w:right="142"/>
              <w:rPr>
                <w:rFonts w:eastAsia="Calibri" w:cs="Arial"/>
              </w:rPr>
            </w:pPr>
          </w:p>
          <w:p w:rsidR="007F6172" w:rsidP="00055F04" w:rsidRDefault="007F6172" w14:paraId="0A32C329" w14:textId="77777777">
            <w:pPr>
              <w:ind w:left="142" w:right="142"/>
              <w:rPr>
                <w:rFonts w:eastAsia="Calibri" w:cs="Arial"/>
              </w:rPr>
            </w:pPr>
            <w:r w:rsidRPr="007F0D33">
              <w:rPr>
                <w:rFonts w:eastAsia="Calibri" w:cs="Arial"/>
              </w:rPr>
              <w:t>Conversely where the underlying has appreciated in value that party will receive a payment amount from the other party, equal to the positive performance of the underlying multiplied by the pre-agreed monetary amount (notional) upon which the derivative is based.</w:t>
            </w:r>
          </w:p>
          <w:p w:rsidR="00CF63B7" w:rsidP="00055F04" w:rsidRDefault="00CF63B7" w14:paraId="5875A747" w14:textId="77777777">
            <w:pPr>
              <w:ind w:left="142" w:right="142"/>
              <w:rPr>
                <w:rFonts w:eastAsia="Calibri" w:cs="Arial"/>
              </w:rPr>
            </w:pPr>
          </w:p>
          <w:p w:rsidRPr="00CF63B7" w:rsidR="00CF63B7" w:rsidP="00CF63B7" w:rsidRDefault="00CF63B7" w14:paraId="349F2F27" w14:textId="77777777">
            <w:pPr>
              <w:ind w:left="142" w:right="142"/>
              <w:rPr>
                <w:rFonts w:eastAsia="Calibri" w:cs="Arial"/>
              </w:rPr>
            </w:pPr>
            <w:r w:rsidRPr="00CF63B7">
              <w:rPr>
                <w:rFonts w:eastAsia="Calibri" w:cs="Arial"/>
              </w:rPr>
              <w:t xml:space="preserve">Any type of assets </w:t>
            </w:r>
          </w:p>
          <w:p w:rsidRPr="00CF63B7" w:rsidR="00CF63B7" w:rsidP="00CF63B7" w:rsidRDefault="00CF63B7" w14:paraId="59E0B545" w14:textId="77777777">
            <w:pPr>
              <w:ind w:left="142" w:right="142"/>
              <w:rPr>
                <w:rFonts w:eastAsia="Calibri" w:cs="Arial"/>
              </w:rPr>
            </w:pPr>
            <w:r w:rsidRPr="00CF63B7">
              <w:rPr>
                <w:rFonts w:eastAsia="Calibri" w:cs="Arial"/>
              </w:rPr>
              <w:t xml:space="preserve">that may be held </w:t>
            </w:r>
          </w:p>
          <w:p w:rsidRPr="00CF63B7" w:rsidR="00CF63B7" w:rsidP="00CF63B7" w:rsidRDefault="00CF63B7" w14:paraId="1C970A8F" w14:textId="77777777">
            <w:pPr>
              <w:ind w:left="142" w:right="142"/>
              <w:rPr>
                <w:rFonts w:eastAsia="Calibri" w:cs="Arial"/>
              </w:rPr>
            </w:pPr>
            <w:r w:rsidRPr="00CF63B7">
              <w:rPr>
                <w:rFonts w:eastAsia="Calibri" w:cs="Arial"/>
              </w:rPr>
              <w:t xml:space="preserve">by the Fund in </w:t>
            </w:r>
          </w:p>
          <w:p w:rsidRPr="00CF63B7" w:rsidR="00CF63B7" w:rsidP="00CF63B7" w:rsidRDefault="00CF63B7" w14:paraId="697CD867" w14:textId="77777777">
            <w:pPr>
              <w:ind w:left="142" w:right="142"/>
              <w:rPr>
                <w:rFonts w:eastAsia="Calibri" w:cs="Arial"/>
              </w:rPr>
            </w:pPr>
            <w:r w:rsidRPr="00CF63B7">
              <w:rPr>
                <w:rFonts w:eastAsia="Calibri" w:cs="Arial"/>
              </w:rPr>
              <w:t xml:space="preserve">accordance with </w:t>
            </w:r>
          </w:p>
          <w:p w:rsidRPr="00CF63B7" w:rsidR="00CF63B7" w:rsidP="00CF63B7" w:rsidRDefault="00CF63B7" w14:paraId="7586DA0E" w14:textId="77777777">
            <w:pPr>
              <w:ind w:left="142" w:right="142"/>
              <w:rPr>
                <w:rFonts w:eastAsia="Calibri" w:cs="Arial"/>
              </w:rPr>
            </w:pPr>
            <w:r w:rsidRPr="00CF63B7">
              <w:rPr>
                <w:rFonts w:eastAsia="Calibri" w:cs="Arial"/>
              </w:rPr>
              <w:t xml:space="preserve">its investment </w:t>
            </w:r>
          </w:p>
          <w:p w:rsidRPr="00CF63B7" w:rsidR="00CF63B7" w:rsidP="00CF63B7" w:rsidRDefault="00CF63B7" w14:paraId="516847D7" w14:textId="77777777">
            <w:pPr>
              <w:ind w:left="142" w:right="142"/>
              <w:rPr>
                <w:rFonts w:eastAsia="Calibri" w:cs="Arial"/>
              </w:rPr>
            </w:pPr>
            <w:r w:rsidRPr="00CF63B7">
              <w:rPr>
                <w:rFonts w:eastAsia="Calibri" w:cs="Arial"/>
              </w:rPr>
              <w:t xml:space="preserve">objective and </w:t>
            </w:r>
          </w:p>
          <w:p w:rsidRPr="00CF63B7" w:rsidR="00CF63B7" w:rsidP="00CF63B7" w:rsidRDefault="00CF63B7" w14:paraId="2898ED95" w14:textId="77777777">
            <w:pPr>
              <w:ind w:left="142" w:right="142"/>
              <w:rPr>
                <w:rFonts w:eastAsia="Calibri" w:cs="Arial"/>
              </w:rPr>
            </w:pPr>
            <w:r w:rsidRPr="00CF63B7">
              <w:rPr>
                <w:rFonts w:eastAsia="Calibri" w:cs="Arial"/>
              </w:rPr>
              <w:t xml:space="preserve">policies may be </w:t>
            </w:r>
          </w:p>
          <w:p w:rsidRPr="00CF63B7" w:rsidR="00CF63B7" w:rsidP="00CF63B7" w:rsidRDefault="00CF63B7" w14:paraId="0DDF24E1" w14:textId="77777777">
            <w:pPr>
              <w:ind w:left="142" w:right="142"/>
              <w:rPr>
                <w:rFonts w:eastAsia="Calibri" w:cs="Arial"/>
              </w:rPr>
            </w:pPr>
            <w:r w:rsidRPr="00CF63B7">
              <w:rPr>
                <w:rFonts w:eastAsia="Calibri" w:cs="Arial"/>
              </w:rPr>
              <w:t xml:space="preserve">subject to total </w:t>
            </w:r>
          </w:p>
          <w:p w:rsidRPr="00CF63B7" w:rsidR="00CF63B7" w:rsidP="00CF63B7" w:rsidRDefault="00CF63B7" w14:paraId="4496849C" w14:textId="77777777">
            <w:pPr>
              <w:ind w:left="142" w:right="142"/>
              <w:rPr>
                <w:rFonts w:eastAsia="Calibri" w:cs="Arial"/>
              </w:rPr>
            </w:pPr>
            <w:r w:rsidRPr="00CF63B7">
              <w:rPr>
                <w:rFonts w:eastAsia="Calibri" w:cs="Arial"/>
              </w:rPr>
              <w:t xml:space="preserve">return swaps. Up </w:t>
            </w:r>
          </w:p>
          <w:p w:rsidRPr="00CF63B7" w:rsidR="00CF63B7" w:rsidP="00CF63B7" w:rsidRDefault="00CF63B7" w14:paraId="5D6A2957" w14:textId="77777777">
            <w:pPr>
              <w:ind w:left="142" w:right="142"/>
              <w:rPr>
                <w:rFonts w:eastAsia="Calibri" w:cs="Arial"/>
              </w:rPr>
            </w:pPr>
            <w:r w:rsidRPr="00CF63B7">
              <w:rPr>
                <w:rFonts w:eastAsia="Calibri" w:cs="Arial"/>
              </w:rPr>
              <w:t xml:space="preserve">to </w:t>
            </w:r>
            <w:r w:rsidR="00F232E1">
              <w:rPr>
                <w:rFonts w:eastAsia="Calibri" w:cs="Arial"/>
              </w:rPr>
              <w:t>250</w:t>
            </w:r>
            <w:r w:rsidRPr="00CF63B7">
              <w:rPr>
                <w:rFonts w:eastAsia="Calibri" w:cs="Arial"/>
              </w:rPr>
              <w:t xml:space="preserve">% of the </w:t>
            </w:r>
          </w:p>
          <w:p w:rsidRPr="00CF63B7" w:rsidR="00CF63B7" w:rsidP="00CF63B7" w:rsidRDefault="00CF63B7" w14:paraId="4CC0D22F" w14:textId="77777777">
            <w:pPr>
              <w:ind w:left="142" w:right="142"/>
              <w:rPr>
                <w:rFonts w:eastAsia="Calibri" w:cs="Arial"/>
              </w:rPr>
            </w:pPr>
            <w:r w:rsidRPr="00CF63B7">
              <w:rPr>
                <w:rFonts w:eastAsia="Calibri" w:cs="Arial"/>
              </w:rPr>
              <w:t xml:space="preserve">Fund’s total Net </w:t>
            </w:r>
          </w:p>
          <w:p w:rsidRPr="00CF63B7" w:rsidR="00CF63B7" w:rsidP="00CF63B7" w:rsidRDefault="00CF63B7" w14:paraId="1C4C3E47" w14:textId="77777777">
            <w:pPr>
              <w:ind w:left="142" w:right="142"/>
              <w:rPr>
                <w:rFonts w:eastAsia="Calibri" w:cs="Arial"/>
              </w:rPr>
            </w:pPr>
            <w:r w:rsidRPr="00CF63B7">
              <w:rPr>
                <w:rFonts w:eastAsia="Calibri" w:cs="Arial"/>
              </w:rPr>
              <w:t xml:space="preserve">Asset Value may </w:t>
            </w:r>
          </w:p>
          <w:p w:rsidRPr="00CF63B7" w:rsidR="00CF63B7" w:rsidP="00CF63B7" w:rsidRDefault="00CF63B7" w14:paraId="33FDDE2B" w14:textId="77777777">
            <w:pPr>
              <w:ind w:left="142" w:right="142"/>
              <w:rPr>
                <w:rFonts w:eastAsia="Calibri" w:cs="Arial"/>
              </w:rPr>
            </w:pPr>
            <w:r w:rsidRPr="00CF63B7">
              <w:rPr>
                <w:rFonts w:eastAsia="Calibri" w:cs="Arial"/>
              </w:rPr>
              <w:t xml:space="preserve">be subject to total </w:t>
            </w:r>
          </w:p>
          <w:p w:rsidRPr="00CF63B7" w:rsidR="00CF63B7" w:rsidP="00CF63B7" w:rsidRDefault="00CF63B7" w14:paraId="2D40F030" w14:textId="77777777">
            <w:pPr>
              <w:ind w:left="142" w:right="142"/>
              <w:rPr>
                <w:rFonts w:eastAsia="Calibri" w:cs="Arial"/>
              </w:rPr>
            </w:pPr>
            <w:r w:rsidRPr="00CF63B7">
              <w:rPr>
                <w:rFonts w:eastAsia="Calibri" w:cs="Arial"/>
              </w:rPr>
              <w:t xml:space="preserve">return swaps at </w:t>
            </w:r>
          </w:p>
          <w:p w:rsidRPr="00CF63B7" w:rsidR="00CF63B7" w:rsidP="00CF63B7" w:rsidRDefault="00CF63B7" w14:paraId="2F4B2FBD" w14:textId="77777777">
            <w:pPr>
              <w:ind w:left="142" w:right="142"/>
              <w:rPr>
                <w:rFonts w:eastAsia="Calibri" w:cs="Arial"/>
              </w:rPr>
            </w:pPr>
            <w:r w:rsidRPr="00CF63B7">
              <w:rPr>
                <w:rFonts w:eastAsia="Calibri" w:cs="Arial"/>
              </w:rPr>
              <w:t xml:space="preserve">any given time, </w:t>
            </w:r>
          </w:p>
          <w:p w:rsidRPr="00CF63B7" w:rsidR="00CF63B7" w:rsidP="00CF63B7" w:rsidRDefault="00CF63B7" w14:paraId="72733861" w14:textId="77777777">
            <w:pPr>
              <w:ind w:left="142" w:right="142"/>
              <w:rPr>
                <w:rFonts w:eastAsia="Calibri" w:cs="Arial"/>
              </w:rPr>
            </w:pPr>
            <w:r w:rsidRPr="00CF63B7">
              <w:rPr>
                <w:rFonts w:eastAsia="Calibri" w:cs="Arial"/>
              </w:rPr>
              <w:t xml:space="preserve">though this </w:t>
            </w:r>
          </w:p>
          <w:p w:rsidRPr="00CF63B7" w:rsidR="00CF63B7" w:rsidP="00CF63B7" w:rsidRDefault="00CF63B7" w14:paraId="4946CF75" w14:textId="77777777">
            <w:pPr>
              <w:ind w:left="142" w:right="142"/>
              <w:rPr>
                <w:rFonts w:eastAsia="Calibri" w:cs="Arial"/>
              </w:rPr>
            </w:pPr>
            <w:r w:rsidRPr="00CF63B7">
              <w:rPr>
                <w:rFonts w:eastAsia="Calibri" w:cs="Arial"/>
              </w:rPr>
              <w:t xml:space="preserve">amount is not </w:t>
            </w:r>
          </w:p>
          <w:p w:rsidRPr="00CF63B7" w:rsidR="00CF63B7" w:rsidP="00CF63B7" w:rsidRDefault="00CF63B7" w14:paraId="3C919CD6" w14:textId="77777777">
            <w:pPr>
              <w:ind w:left="142" w:right="142"/>
              <w:rPr>
                <w:rFonts w:eastAsia="Calibri" w:cs="Arial"/>
              </w:rPr>
            </w:pPr>
            <w:r w:rsidRPr="00CF63B7">
              <w:rPr>
                <w:rFonts w:eastAsia="Calibri" w:cs="Arial"/>
              </w:rPr>
              <w:t xml:space="preserve">expected to </w:t>
            </w:r>
          </w:p>
          <w:p w:rsidRPr="00CF63B7" w:rsidR="00CF63B7" w:rsidP="00CF63B7" w:rsidRDefault="00CF63B7" w14:paraId="393A95B5" w14:textId="77777777">
            <w:pPr>
              <w:ind w:left="142" w:right="142"/>
              <w:rPr>
                <w:rFonts w:eastAsia="Calibri" w:cs="Arial"/>
              </w:rPr>
            </w:pPr>
            <w:r w:rsidRPr="00CF63B7">
              <w:rPr>
                <w:rFonts w:eastAsia="Calibri" w:cs="Arial"/>
              </w:rPr>
              <w:t xml:space="preserve">exceed </w:t>
            </w:r>
            <w:r w:rsidR="00F232E1">
              <w:rPr>
                <w:rFonts w:eastAsia="Calibri" w:cs="Arial"/>
              </w:rPr>
              <w:t>150</w:t>
            </w:r>
            <w:r w:rsidRPr="00CF63B7">
              <w:rPr>
                <w:rFonts w:eastAsia="Calibri" w:cs="Arial"/>
              </w:rPr>
              <w:t xml:space="preserve">% of </w:t>
            </w:r>
          </w:p>
          <w:p w:rsidRPr="00CF63B7" w:rsidR="00CF63B7" w:rsidP="00CF63B7" w:rsidRDefault="00CF63B7" w14:paraId="178E2409" w14:textId="77777777">
            <w:pPr>
              <w:ind w:left="142" w:right="142"/>
              <w:rPr>
                <w:rFonts w:eastAsia="Calibri" w:cs="Arial"/>
              </w:rPr>
            </w:pPr>
            <w:r w:rsidRPr="00CF63B7">
              <w:rPr>
                <w:rFonts w:eastAsia="Calibri" w:cs="Arial"/>
              </w:rPr>
              <w:lastRenderedPageBreak/>
              <w:t xml:space="preserve">the Fund’s total </w:t>
            </w:r>
          </w:p>
          <w:p w:rsidRPr="00CF63B7" w:rsidR="00CF63B7" w:rsidP="00CF63B7" w:rsidRDefault="00CF63B7" w14:paraId="43093A98" w14:textId="77777777">
            <w:pPr>
              <w:ind w:left="142" w:right="142"/>
              <w:rPr>
                <w:rFonts w:eastAsia="Calibri" w:cs="Arial"/>
              </w:rPr>
            </w:pPr>
            <w:r w:rsidRPr="00CF63B7">
              <w:rPr>
                <w:rFonts w:eastAsia="Calibri" w:cs="Arial"/>
              </w:rPr>
              <w:t>Net Asset Value.</w:t>
            </w:r>
          </w:p>
          <w:p w:rsidRPr="007F0D33" w:rsidR="00CF63B7" w:rsidP="00055F04" w:rsidRDefault="00CF63B7" w14:paraId="5419C471" w14:textId="77777777">
            <w:pPr>
              <w:ind w:left="142" w:right="142"/>
              <w:rPr>
                <w:rFonts w:eastAsia="Calibri" w:cs="Arial"/>
              </w:rPr>
            </w:pP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7F6172" w:rsidP="00055F04" w:rsidRDefault="007F6172" w14:paraId="7B91FA1D" w14:textId="77777777">
            <w:pPr>
              <w:rPr>
                <w:rFonts w:eastAsia="Calibri" w:cs="Arial"/>
              </w:rPr>
            </w:pPr>
            <w:r w:rsidRPr="007F0D33">
              <w:rPr>
                <w:rFonts w:eastAsia="Calibri" w:cs="Arial"/>
              </w:rPr>
              <w:lastRenderedPageBreak/>
              <w:t>For investment purposes and to hedge certain risks of investment positions.</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7F6172" w:rsidP="00055F04" w:rsidRDefault="007F6172" w14:paraId="2A352D49" w14:textId="77777777">
            <w:pPr>
              <w:rPr>
                <w:rFonts w:eastAsia="Calibri" w:cs="Arial"/>
              </w:rPr>
            </w:pPr>
            <w:r w:rsidRPr="007F0D33">
              <w:rPr>
                <w:rFonts w:eastAsia="Calibri" w:cs="Arial"/>
              </w:rPr>
              <w:t xml:space="preserve">Market </w:t>
            </w:r>
          </w:p>
        </w:tc>
        <w:tc>
          <w:tcPr>
            <w:tcW w:w="8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7F6172" w:rsidP="00055F04" w:rsidRDefault="007F6172" w14:paraId="55172202" w14:textId="77777777">
            <w:pPr>
              <w:rPr>
                <w:rFonts w:eastAsia="Calibri" w:cs="Arial"/>
              </w:rPr>
            </w:pPr>
            <w:r w:rsidRPr="007F0D33">
              <w:rPr>
                <w:rFonts w:eastAsia="Calibri" w:cs="Arial"/>
              </w:rPr>
              <w:t xml:space="preserve">Yes </w:t>
            </w:r>
          </w:p>
        </w:tc>
        <w:tc>
          <w:tcPr>
            <w:tcW w:w="1888" w:type="dxa"/>
            <w:tcBorders>
              <w:top w:val="single" w:color="auto" w:sz="4" w:space="0"/>
              <w:left w:val="single" w:color="auto" w:sz="4" w:space="0"/>
              <w:bottom w:val="single" w:color="auto" w:sz="4" w:space="0"/>
              <w:right w:val="single" w:color="auto" w:sz="4" w:space="0"/>
            </w:tcBorders>
          </w:tcPr>
          <w:p w:rsidRPr="007F0D33" w:rsidR="007F6172" w:rsidP="00055F04" w:rsidRDefault="007F6172" w14:paraId="7380946B" w14:textId="77777777">
            <w:pPr>
              <w:ind w:left="154"/>
              <w:rPr>
                <w:rFonts w:eastAsia="Calibri" w:cs="Arial"/>
              </w:rPr>
            </w:pPr>
            <w:r w:rsidRPr="007F0D33">
              <w:rPr>
                <w:rFonts w:eastAsia="Calibri" w:cs="Arial"/>
              </w:rPr>
              <w:t xml:space="preserve">The use of </w:t>
            </w:r>
            <w:r w:rsidRPr="007F0D33">
              <w:rPr>
                <w:rFonts w:cs="Arial"/>
              </w:rPr>
              <w:t xml:space="preserve">Swaps </w:t>
            </w:r>
            <w:r w:rsidRPr="007F0D33">
              <w:rPr>
                <w:rFonts w:eastAsia="Calibri" w:cs="Arial"/>
              </w:rPr>
              <w:t xml:space="preserve">may be used to provide the Fund with more efficient exposure to the underlying investment(s) than investing directly and / or via a fund such as an </w:t>
            </w:r>
            <w:r w:rsidRPr="00B24214">
              <w:rPr>
                <w:rFonts w:eastAsia="Calibri" w:cs="Arial"/>
              </w:rPr>
              <w:t xml:space="preserve">exchange-traded fund </w:t>
            </w:r>
            <w:r>
              <w:rPr>
                <w:rFonts w:eastAsia="Calibri" w:cs="Arial"/>
              </w:rPr>
              <w:t>(</w:t>
            </w:r>
            <w:r w:rsidRPr="00B24214">
              <w:rPr>
                <w:rFonts w:eastAsia="Calibri" w:cs="Arial"/>
                <w:b/>
              </w:rPr>
              <w:t>ETF</w:t>
            </w:r>
            <w:r>
              <w:rPr>
                <w:rFonts w:eastAsia="Calibri" w:cs="Arial"/>
              </w:rPr>
              <w:t>)</w:t>
            </w:r>
            <w:r w:rsidRPr="007F0D33">
              <w:rPr>
                <w:rFonts w:eastAsia="Calibri" w:cs="Arial"/>
              </w:rPr>
              <w:t>.</w:t>
            </w:r>
          </w:p>
        </w:tc>
      </w:tr>
      <w:bookmarkEnd w:id="21"/>
      <w:tr w:rsidRPr="007F0D33" w:rsidR="007F6172" w:rsidTr="00055F04" w14:paraId="72FD9831" w14:textId="77777777">
        <w:trPr>
          <w:trHeight w:val="1824"/>
        </w:trPr>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7F6172" w:rsidP="00055F04" w:rsidRDefault="007F6172" w14:paraId="4CB728D2" w14:textId="77777777">
            <w:r w:rsidRPr="007F0D33">
              <w:lastRenderedPageBreak/>
              <w:t>Futures</w:t>
            </w:r>
          </w:p>
        </w:tc>
        <w:tc>
          <w:tcPr>
            <w:tcW w:w="1985" w:type="dxa"/>
            <w:tcBorders>
              <w:top w:val="single" w:color="auto" w:sz="4" w:space="0"/>
              <w:left w:val="single" w:color="auto" w:sz="4" w:space="0"/>
              <w:bottom w:val="single" w:color="auto" w:sz="4" w:space="0"/>
              <w:right w:val="single" w:color="auto" w:sz="4" w:space="0"/>
            </w:tcBorders>
          </w:tcPr>
          <w:p w:rsidRPr="007F0D33" w:rsidR="007F6172" w:rsidP="00055F04" w:rsidRDefault="007F6172" w14:paraId="29A5EC0A" w14:textId="77777777">
            <w:pPr>
              <w:ind w:left="142" w:right="142"/>
              <w:rPr>
                <w:rFonts w:eastAsia="Calibri"/>
              </w:rPr>
            </w:pPr>
            <w:r>
              <w:t xml:space="preserve">Futures </w:t>
            </w:r>
            <w:r w:rsidRPr="007F0D33">
              <w:t>means contracts to buy or sell a standard quantity of a specific asset (or, in some cases, receive or pay cash based on the performance of an underlying asset, instrument or index) at a pre-determined future date and at a price agreed through a transaction undertaken on an exchange. Futures contracts allow the Fund to hedge against market risk or gain exposure to the underlying market</w:t>
            </w:r>
            <w:r>
              <w:t>.</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7F6172" w:rsidP="00055F04" w:rsidRDefault="007F6172" w14:paraId="5D5CF6C0" w14:textId="77777777">
            <w:pPr>
              <w:rPr>
                <w:rFonts w:eastAsia="Calibri"/>
              </w:rPr>
            </w:pPr>
            <w:r w:rsidRPr="007F0D33">
              <w:rPr>
                <w:rFonts w:eastAsia="Calibri"/>
              </w:rPr>
              <w:t>For investment purposes and to hedge certain risks of investment positions.</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7F6172" w:rsidP="00055F04" w:rsidRDefault="007F6172" w14:paraId="527309A7" w14:textId="77777777">
            <w:pPr>
              <w:rPr>
                <w:rFonts w:eastAsia="Calibri"/>
              </w:rPr>
            </w:pPr>
            <w:r w:rsidRPr="007F0D33">
              <w:rPr>
                <w:rFonts w:eastAsia="Calibri"/>
              </w:rPr>
              <w:t xml:space="preserve">Market </w:t>
            </w:r>
          </w:p>
        </w:tc>
        <w:tc>
          <w:tcPr>
            <w:tcW w:w="8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7F0D33" w:rsidR="007F6172" w:rsidP="00055F04" w:rsidRDefault="007F6172" w14:paraId="224626B5" w14:textId="77777777">
            <w:pPr>
              <w:rPr>
                <w:rFonts w:eastAsia="Calibri"/>
              </w:rPr>
            </w:pPr>
            <w:r w:rsidRPr="007F0D33">
              <w:rPr>
                <w:rFonts w:eastAsia="Calibri"/>
              </w:rPr>
              <w:t xml:space="preserve">Yes </w:t>
            </w:r>
          </w:p>
        </w:tc>
        <w:tc>
          <w:tcPr>
            <w:tcW w:w="1888" w:type="dxa"/>
            <w:tcBorders>
              <w:top w:val="single" w:color="auto" w:sz="4" w:space="0"/>
              <w:left w:val="single" w:color="auto" w:sz="4" w:space="0"/>
              <w:bottom w:val="single" w:color="auto" w:sz="4" w:space="0"/>
              <w:right w:val="single" w:color="auto" w:sz="4" w:space="0"/>
            </w:tcBorders>
          </w:tcPr>
          <w:p w:rsidRPr="007F0D33" w:rsidR="007F6172" w:rsidP="00055F04" w:rsidRDefault="007F6172" w14:paraId="7847BBD3" w14:textId="77777777">
            <w:pPr>
              <w:ind w:left="154"/>
              <w:rPr>
                <w:rFonts w:eastAsia="Calibri"/>
              </w:rPr>
            </w:pPr>
            <w:r w:rsidRPr="007F0D33">
              <w:rPr>
                <w:rFonts w:eastAsia="Calibri"/>
              </w:rPr>
              <w:t xml:space="preserve">The use of </w:t>
            </w:r>
            <w:r w:rsidRPr="007F0D33">
              <w:t xml:space="preserve">Futures </w:t>
            </w:r>
            <w:r w:rsidRPr="007F0D33">
              <w:rPr>
                <w:rFonts w:eastAsia="Calibri"/>
              </w:rPr>
              <w:t>may be used to provide the Fund with more efficient exposure to the underlying investment(s) than investing directly and / or via a fund such as an ETF.</w:t>
            </w:r>
          </w:p>
        </w:tc>
      </w:tr>
    </w:tbl>
    <w:p w:rsidR="001C5DD8" w:rsidP="007F6172" w:rsidRDefault="001C5DD8" w14:paraId="05C48A76" w14:textId="721E0780">
      <w:pPr>
        <w:ind w:left="700"/>
        <w:jc w:val="both"/>
      </w:pPr>
    </w:p>
    <w:p w:rsidRPr="001C5DD8" w:rsidR="007F6172" w:rsidP="001C5DD8" w:rsidRDefault="001C5DD8" w14:paraId="600091AE" w14:textId="28D9DF15">
      <w:pPr>
        <w:widowControl/>
      </w:pPr>
      <w:r>
        <w:br w:type="page"/>
      </w:r>
    </w:p>
    <w:p w:rsidRPr="00807474" w:rsidR="007F6172" w:rsidP="007F6172" w:rsidRDefault="007F6172" w14:paraId="10E19EA0" w14:textId="77777777">
      <w:pPr>
        <w:pStyle w:val="Heading2"/>
        <w:numPr>
          <w:ilvl w:val="1"/>
          <w:numId w:val="6"/>
        </w:numPr>
        <w:jc w:val="both"/>
        <w:rPr>
          <w:b/>
        </w:rPr>
      </w:pPr>
      <w:r>
        <w:rPr>
          <w:b/>
        </w:rPr>
        <w:lastRenderedPageBreak/>
        <w:t>Lending of Securities</w:t>
      </w:r>
    </w:p>
    <w:p w:rsidRPr="00807474" w:rsidR="007F6172" w:rsidP="007F6172" w:rsidRDefault="007F6172" w14:paraId="3A8F0E82" w14:textId="77777777">
      <w:pPr>
        <w:ind w:left="700"/>
        <w:jc w:val="both"/>
        <w:rPr>
          <w:rFonts w:cs="Arial"/>
          <w:b/>
          <w:color w:val="000000"/>
        </w:rPr>
      </w:pPr>
    </w:p>
    <w:p w:rsidR="007F6172" w:rsidP="007F6172" w:rsidRDefault="007F6172" w14:paraId="1D2C556A" w14:textId="77777777">
      <w:pPr>
        <w:pStyle w:val="L2Para"/>
        <w:jc w:val="both"/>
      </w:pPr>
      <w:r>
        <w:t xml:space="preserve">The Fund may lend its securities to brokers, dealers and other financial institutions needing to borrow securities to complete certain transactions. The Fund continues to be entitled to payments of amounts equal to the interest, dividends or other distributions payable in respect of the loaned securities, which affords the Fund an opportunity to earn interest on the amount of the loan and on the loaned securities’ collateral. In connection with any such transaction, the Fund will receive collateral that will be marked to market on a daily basis and maintained at all times in an amount equal or exceeding 100% of the current market value of the loaned securities at all times. However, the Fund might experience loss if the institution with which the Fund has engaged in a portfolio loan transaction breaches its agreement with the Fund. This may occur if the counterparty were to default at a time when the value of securities lent increased. In this case it is possible that the collateral held by the Fund would not cover the value of securities lost. </w:t>
      </w:r>
    </w:p>
    <w:p w:rsidR="007F6172" w:rsidP="007F6172" w:rsidRDefault="007F6172" w14:paraId="48D58239" w14:textId="77777777">
      <w:pPr>
        <w:pStyle w:val="L2Para"/>
        <w:jc w:val="both"/>
      </w:pPr>
    </w:p>
    <w:p w:rsidRPr="00E83B3B" w:rsidR="007F6172" w:rsidP="007F6172" w:rsidRDefault="007F6172" w14:paraId="41F19FD2" w14:textId="77777777">
      <w:pPr>
        <w:ind w:left="700"/>
        <w:jc w:val="both"/>
        <w:rPr>
          <w:rFonts w:cs="Arial"/>
          <w:b/>
          <w:color w:val="000000"/>
        </w:rPr>
      </w:pPr>
      <w:r w:rsidRPr="00411566">
        <w:rPr>
          <w:b/>
          <w:bCs/>
        </w:rPr>
        <w:t>The Fund will, on request, provide supplementary information to Shareholders relating to the risk management methods employed, including the quantitative limits that are applied and any recent developments in the risk and yield characteristics of the main categories of investments.</w:t>
      </w:r>
    </w:p>
    <w:p w:rsidRPr="00807474" w:rsidR="007F6172" w:rsidP="007F6172" w:rsidRDefault="007F6172" w14:paraId="6D8D1055" w14:textId="77777777">
      <w:pPr>
        <w:pStyle w:val="Heading2"/>
        <w:numPr>
          <w:ilvl w:val="1"/>
          <w:numId w:val="1"/>
        </w:numPr>
        <w:spacing w:before="240"/>
        <w:jc w:val="both"/>
        <w:rPr>
          <w:b/>
        </w:rPr>
      </w:pPr>
      <w:r w:rsidRPr="00807474">
        <w:rPr>
          <w:b/>
        </w:rPr>
        <w:t>Collateral</w:t>
      </w:r>
    </w:p>
    <w:p w:rsidRPr="00807474" w:rsidR="007F6172" w:rsidP="007F6172" w:rsidRDefault="007F6172" w14:paraId="57B86CF0" w14:textId="77777777">
      <w:pPr>
        <w:jc w:val="both"/>
      </w:pPr>
    </w:p>
    <w:p w:rsidRPr="006650C9" w:rsidR="007F6172" w:rsidP="007F6172" w:rsidRDefault="0005031F" w14:paraId="593807EE" w14:textId="77777777">
      <w:pPr>
        <w:ind w:left="720"/>
        <w:jc w:val="both"/>
        <w:rPr>
          <w:rFonts w:cs="Arial"/>
        </w:rPr>
      </w:pPr>
      <w:r>
        <w:rPr>
          <w:rFonts w:cs="Arial"/>
        </w:rPr>
        <w:t>The Approved Counterparties</w:t>
      </w:r>
      <w:r w:rsidRPr="006650C9" w:rsidR="007F6172">
        <w:rPr>
          <w:rFonts w:cs="Arial"/>
        </w:rPr>
        <w:t xml:space="preserve"> may provide collateral to the Fund, including cash, US treasury bills and other high-quality government bonds with a maturity of up to 7 years, in accordance with the requirements of the Central Bank </w:t>
      </w:r>
      <w:r w:rsidR="007F6172">
        <w:rPr>
          <w:rFonts w:cs="Arial"/>
        </w:rPr>
        <w:t xml:space="preserve">UCITS </w:t>
      </w:r>
      <w:r w:rsidRPr="006650C9" w:rsidR="007F6172">
        <w:rPr>
          <w:rFonts w:cs="Arial"/>
        </w:rPr>
        <w:t>Regulations, in order to ensure that the Fund's risk expos</w:t>
      </w:r>
      <w:r>
        <w:rPr>
          <w:rFonts w:cs="Arial"/>
        </w:rPr>
        <w:t>ure to the Approved Counterparties</w:t>
      </w:r>
      <w:r w:rsidRPr="006650C9" w:rsidR="007F6172">
        <w:rPr>
          <w:rFonts w:cs="Arial"/>
        </w:rPr>
        <w:t xml:space="preserve"> does not exceed the counterparty exposure limits set out in the Regulations. All collateral must comply with the criteria described in </w:t>
      </w:r>
      <w:r w:rsidRPr="00F71F46" w:rsidR="007F6172">
        <w:rPr>
          <w:rFonts w:cs="Arial"/>
        </w:rPr>
        <w:t xml:space="preserve">section of </w:t>
      </w:r>
      <w:r w:rsidR="007F6172">
        <w:rPr>
          <w:rFonts w:cs="Arial"/>
        </w:rPr>
        <w:t>section of</w:t>
      </w:r>
      <w:r w:rsidRPr="00F71F46" w:rsidR="007F6172">
        <w:rPr>
          <w:rFonts w:cs="Arial"/>
        </w:rPr>
        <w:t xml:space="preserve"> the </w:t>
      </w:r>
      <w:r w:rsidR="007F6172">
        <w:rPr>
          <w:rFonts w:cs="Arial"/>
        </w:rPr>
        <w:t xml:space="preserve">Prospectus entitled </w:t>
      </w:r>
      <w:r w:rsidRPr="00F71F46" w:rsidR="007F6172">
        <w:rPr>
          <w:rFonts w:cs="Arial"/>
          <w:b/>
        </w:rPr>
        <w:t>Collateral Policy</w:t>
      </w:r>
      <w:r w:rsidR="007F6172">
        <w:rPr>
          <w:rFonts w:cs="Arial"/>
        </w:rPr>
        <w:t>.</w:t>
      </w:r>
      <w:r w:rsidRPr="006650C9" w:rsidR="007F6172">
        <w:rPr>
          <w:rFonts w:cs="Arial"/>
        </w:rPr>
        <w:t xml:space="preserve"> The fees p</w:t>
      </w:r>
      <w:r>
        <w:rPr>
          <w:rFonts w:cs="Arial"/>
        </w:rPr>
        <w:t>aid to the Approved Counterparties</w:t>
      </w:r>
      <w:r w:rsidRPr="006650C9" w:rsidR="007F6172">
        <w:rPr>
          <w:rFonts w:cs="Arial"/>
        </w:rPr>
        <w:t xml:space="preserve"> will be at normal commercial rates. All collateral received under any swap entered into by the Fund will comply with the collateral provisions set out in the Prospectus. All of the revenue generated by the swaps will be returned to the</w:t>
      </w:r>
      <w:r w:rsidR="007F6172">
        <w:rPr>
          <w:rFonts w:cs="Arial"/>
        </w:rPr>
        <w:t xml:space="preserve"> </w:t>
      </w:r>
      <w:r w:rsidRPr="006650C9" w:rsidR="007F6172">
        <w:rPr>
          <w:rFonts w:cs="Arial"/>
        </w:rPr>
        <w:t>Fund. All costs and fees of the counterparty, in relation to any such swap will be payable at normal commercial terms. No counterparty is a related party to the Investment Manager.</w:t>
      </w:r>
    </w:p>
    <w:p w:rsidRPr="00807474" w:rsidR="007F6172" w:rsidP="007F6172" w:rsidRDefault="007F6172" w14:paraId="55952002" w14:textId="77777777">
      <w:pPr>
        <w:ind w:firstLine="720"/>
        <w:jc w:val="both"/>
      </w:pPr>
      <w:r>
        <w:t xml:space="preserve"> </w:t>
      </w:r>
    </w:p>
    <w:p w:rsidRPr="00807474" w:rsidR="007F6172" w:rsidP="007F6172" w:rsidRDefault="007F6172" w14:paraId="54F9D1CE" w14:textId="77777777">
      <w:pPr>
        <w:pStyle w:val="Heading2"/>
        <w:numPr>
          <w:ilvl w:val="1"/>
          <w:numId w:val="1"/>
        </w:numPr>
        <w:jc w:val="both"/>
        <w:rPr>
          <w:b/>
        </w:rPr>
      </w:pPr>
      <w:r w:rsidRPr="00807474">
        <w:rPr>
          <w:b/>
        </w:rPr>
        <w:t>Risk Management Process</w:t>
      </w:r>
    </w:p>
    <w:p w:rsidRPr="00807474" w:rsidR="007F6172" w:rsidP="007F6172" w:rsidRDefault="007F6172" w14:paraId="0EF2A6F4" w14:textId="77777777">
      <w:pPr>
        <w:ind w:left="700"/>
        <w:jc w:val="both"/>
        <w:rPr>
          <w:rFonts w:cs="Arial"/>
          <w:b/>
          <w:color w:val="000000"/>
        </w:rPr>
      </w:pPr>
    </w:p>
    <w:p w:rsidRPr="00807474" w:rsidR="007F6172" w:rsidP="007F6172" w:rsidRDefault="007F6172" w14:paraId="0DFB8D53" w14:textId="77777777">
      <w:pPr>
        <w:ind w:left="700"/>
        <w:jc w:val="both"/>
        <w:rPr>
          <w:rFonts w:cs="Arial"/>
        </w:rPr>
      </w:pPr>
      <w:r w:rsidRPr="00807474">
        <w:rPr>
          <w:rFonts w:cs="Arial"/>
        </w:rPr>
        <w:t xml:space="preserve">The Company on behalf of the Fund employs a risk management process which helps it to accurately measure, monitor and manage the various risks associated with FDIs. The Fund will use the </w:t>
      </w:r>
      <w:r w:rsidR="003E41FB">
        <w:rPr>
          <w:rFonts w:cs="Arial"/>
        </w:rPr>
        <w:t xml:space="preserve">absolute VaR </w:t>
      </w:r>
      <w:r w:rsidRPr="00807474" w:rsidR="003E41FB">
        <w:rPr>
          <w:rFonts w:cs="Arial"/>
        </w:rPr>
        <w:t xml:space="preserve">approach </w:t>
      </w:r>
      <w:r w:rsidRPr="00807474">
        <w:rPr>
          <w:rFonts w:cs="Arial"/>
        </w:rPr>
        <w:t>to measure global exposure.</w:t>
      </w:r>
      <w:r w:rsidRPr="00807474">
        <w:rPr>
          <w:rFonts w:cs="Arial"/>
        </w:rPr>
        <w:br/>
      </w:r>
      <w:r w:rsidRPr="00807474">
        <w:rPr>
          <w:rFonts w:cs="Arial"/>
        </w:rPr>
        <w:br/>
        <w:t>The Company will, on request, provide supplementary information to Shareholders relating to the risk management methods employed, including the quantitative limits that are applied and any recent developments in the risk and yield characteristics of the main categories of investments.</w:t>
      </w:r>
    </w:p>
    <w:p w:rsidRPr="00807474" w:rsidR="007F6172" w:rsidP="007F6172" w:rsidRDefault="007F6172" w14:paraId="066962DA" w14:textId="77777777">
      <w:pPr>
        <w:jc w:val="both"/>
        <w:rPr>
          <w:rFonts w:cs="Arial"/>
        </w:rPr>
      </w:pPr>
    </w:p>
    <w:p w:rsidR="007F6172" w:rsidP="007F6172" w:rsidRDefault="007F6172" w14:paraId="1401F36E" w14:textId="77777777">
      <w:pPr>
        <w:pStyle w:val="L2Para"/>
        <w:jc w:val="both"/>
      </w:pPr>
      <w:r>
        <w:t>The Fund will only utilis</w:t>
      </w:r>
      <w:r w:rsidRPr="00807474">
        <w:t>e FDIs which have been included in the risk management process report that has been cleared by the Central Bank.</w:t>
      </w:r>
    </w:p>
    <w:p w:rsidR="007F6172" w:rsidP="007F6172" w:rsidRDefault="007F6172" w14:paraId="29E47936" w14:textId="77777777"/>
    <w:p w:rsidR="007F6172" w:rsidP="007F6172" w:rsidRDefault="007F6172" w14:paraId="3D0AD393" w14:textId="77777777"/>
    <w:p w:rsidRPr="00807474" w:rsidR="007F6172" w:rsidP="007F6172" w:rsidRDefault="007F6172" w14:paraId="636388C4" w14:textId="77777777">
      <w:pPr>
        <w:pStyle w:val="Heading1"/>
        <w:numPr>
          <w:ilvl w:val="0"/>
          <w:numId w:val="1"/>
        </w:numPr>
        <w:pBdr>
          <w:bottom w:val="single" w:color="auto" w:sz="12" w:space="1"/>
        </w:pBdr>
        <w:jc w:val="both"/>
        <w:rPr>
          <w:rFonts w:cs="Arial"/>
          <w:spacing w:val="-9"/>
        </w:rPr>
      </w:pPr>
      <w:bookmarkStart w:name="_Toc166678725" w:id="23"/>
      <w:r w:rsidRPr="00807474">
        <w:rPr>
          <w:rFonts w:cs="Arial"/>
          <w:spacing w:val="-9"/>
        </w:rPr>
        <w:t>BORROWING</w:t>
      </w:r>
      <w:bookmarkEnd w:id="4"/>
      <w:bookmarkEnd w:id="5"/>
      <w:bookmarkEnd w:id="6"/>
      <w:bookmarkEnd w:id="7"/>
      <w:bookmarkEnd w:id="8"/>
      <w:bookmarkEnd w:id="9"/>
      <w:bookmarkEnd w:id="23"/>
    </w:p>
    <w:p w:rsidRPr="00807474" w:rsidR="007F6172" w:rsidP="007F6172" w:rsidRDefault="007F6172" w14:paraId="7C82A349" w14:textId="77777777">
      <w:pPr>
        <w:pStyle w:val="L1Para"/>
        <w:jc w:val="both"/>
        <w:rPr>
          <w:rFonts w:cs="Arial"/>
        </w:rPr>
      </w:pPr>
    </w:p>
    <w:p w:rsidR="007F6172" w:rsidP="007F6172" w:rsidRDefault="007F6172" w14:paraId="3ABF30CA" w14:textId="77777777">
      <w:pPr>
        <w:pStyle w:val="L1Para"/>
        <w:jc w:val="both"/>
      </w:pPr>
      <w:r w:rsidRPr="00807474">
        <w:rPr>
          <w:rFonts w:cs="Arial"/>
        </w:rPr>
        <w:t xml:space="preserve">In accordance with the general provisions set out in the Prospectus under the heading Borrowing and Lending Powers and Restrictions, the Company on behalf of the Fund may borrow up to </w:t>
      </w:r>
      <w:r>
        <w:rPr>
          <w:rFonts w:cs="Arial"/>
        </w:rPr>
        <w:t>10</w:t>
      </w:r>
      <w:r w:rsidRPr="00807474">
        <w:rPr>
          <w:rFonts w:cs="Arial"/>
        </w:rPr>
        <w:t>% of the total Net Asset Value of the Fund on a temporary basis a</w:t>
      </w:r>
      <w:r>
        <w:rPr>
          <w:rFonts w:cs="Arial"/>
        </w:rPr>
        <w:t xml:space="preserve">nd not for speculative purposes </w:t>
      </w:r>
      <w:r w:rsidRPr="00807474">
        <w:t>and may secure such borrowings by granting securi</w:t>
      </w:r>
      <w:r>
        <w:t>ty over the assets of the Fund.</w:t>
      </w:r>
    </w:p>
    <w:p w:rsidRPr="007E07D3" w:rsidR="007F6172" w:rsidP="007F6172" w:rsidRDefault="007F6172" w14:paraId="53BF863B" w14:textId="77777777"/>
    <w:p w:rsidRPr="00807474" w:rsidR="007F6172" w:rsidP="007F6172" w:rsidRDefault="007F6172" w14:paraId="758D5EE5" w14:textId="77777777">
      <w:pPr>
        <w:jc w:val="both"/>
        <w:rPr>
          <w:rFonts w:cs="Arial"/>
        </w:rPr>
      </w:pPr>
    </w:p>
    <w:p w:rsidRPr="00807474" w:rsidR="007F6172" w:rsidP="007F6172" w:rsidRDefault="007F6172" w14:paraId="4B7E72BF" w14:textId="77777777">
      <w:pPr>
        <w:pStyle w:val="Heading1"/>
        <w:numPr>
          <w:ilvl w:val="0"/>
          <w:numId w:val="1"/>
        </w:numPr>
        <w:pBdr>
          <w:bottom w:val="single" w:color="auto" w:sz="12" w:space="1"/>
        </w:pBdr>
        <w:jc w:val="both"/>
        <w:rPr>
          <w:rFonts w:cs="Arial"/>
          <w:spacing w:val="-8"/>
        </w:rPr>
      </w:pPr>
      <w:bookmarkStart w:name="_Toc166678726" w:id="24"/>
      <w:r w:rsidRPr="00807474">
        <w:rPr>
          <w:rFonts w:cs="Arial"/>
          <w:spacing w:val="-8"/>
        </w:rPr>
        <w:t>INVESTMENT RESTRICTIONS</w:t>
      </w:r>
      <w:bookmarkEnd w:id="24"/>
    </w:p>
    <w:p w:rsidRPr="00807474" w:rsidR="007F6172" w:rsidP="007F6172" w:rsidRDefault="007F6172" w14:paraId="4D04F775" w14:textId="77777777">
      <w:pPr>
        <w:pStyle w:val="L1Para"/>
        <w:jc w:val="both"/>
        <w:rPr>
          <w:rFonts w:cs="Arial"/>
        </w:rPr>
      </w:pPr>
    </w:p>
    <w:p w:rsidR="007F6172" w:rsidP="007F6172" w:rsidRDefault="007F6172" w14:paraId="529616D3" w14:textId="77777777">
      <w:pPr>
        <w:pStyle w:val="L1Para"/>
        <w:jc w:val="both"/>
      </w:pPr>
      <w:r w:rsidRPr="00807474">
        <w:t xml:space="preserve">The investment restrictions as set out in the section of the Prospectus entitled </w:t>
      </w:r>
      <w:r w:rsidRPr="00807474">
        <w:rPr>
          <w:b/>
        </w:rPr>
        <w:t>Investment Restrictions</w:t>
      </w:r>
      <w:r w:rsidRPr="00807474">
        <w:t xml:space="preserve"> shall apply. </w:t>
      </w:r>
    </w:p>
    <w:p w:rsidR="007F6172" w:rsidP="007F6172" w:rsidRDefault="007F6172" w14:paraId="62F675E4" w14:textId="77777777"/>
    <w:p w:rsidR="007F6172" w:rsidP="007F6172" w:rsidRDefault="007F6172" w14:paraId="2415927B" w14:textId="77777777">
      <w:pPr>
        <w:ind w:left="709"/>
      </w:pPr>
      <w:r>
        <w:t xml:space="preserve">In addition: </w:t>
      </w:r>
    </w:p>
    <w:p w:rsidR="007F6172" w:rsidP="007F6172" w:rsidRDefault="007F6172" w14:paraId="6AA14CAD" w14:textId="77777777">
      <w:pPr>
        <w:ind w:left="709"/>
      </w:pPr>
    </w:p>
    <w:p w:rsidRPr="004B5ACA" w:rsidR="007F6172" w:rsidP="006E6303" w:rsidRDefault="007F6172" w14:paraId="49077A70" w14:textId="77777777">
      <w:pPr>
        <w:pStyle w:val="ListParagraph"/>
        <w:numPr>
          <w:ilvl w:val="0"/>
          <w:numId w:val="7"/>
        </w:numPr>
        <w:jc w:val="both"/>
        <w:rPr>
          <w:rFonts w:ascii="Arial" w:hAnsi="Arial" w:cs="Arial"/>
          <w:sz w:val="20"/>
          <w:szCs w:val="20"/>
          <w:lang w:val="en-IE"/>
        </w:rPr>
      </w:pPr>
      <w:r w:rsidRPr="004B5ACA">
        <w:rPr>
          <w:rFonts w:ascii="Arial" w:hAnsi="Arial" w:cs="Arial"/>
          <w:sz w:val="20"/>
          <w:szCs w:val="20"/>
          <w:lang w:val="en-IE"/>
        </w:rPr>
        <w:t xml:space="preserve">The Fund will not invest more than 20% of its Net Asset Value in sub-investment grade debt securities, which the Investment Manager considers to be debt securities with a credit rating </w:t>
      </w:r>
      <w:r w:rsidRPr="004B5ACA">
        <w:rPr>
          <w:rFonts w:ascii="Arial" w:hAnsi="Arial" w:cs="Arial"/>
          <w:sz w:val="20"/>
          <w:szCs w:val="20"/>
          <w:lang w:val="en-IE"/>
        </w:rPr>
        <w:lastRenderedPageBreak/>
        <w:t>below BBB as defined by Standard and Poor's (or equivalent rating by another credit rating agency).</w:t>
      </w:r>
    </w:p>
    <w:p w:rsidRPr="004B5ACA" w:rsidR="007F6172" w:rsidP="006E6303" w:rsidRDefault="007F6172" w14:paraId="3EF1029D" w14:textId="77777777">
      <w:pPr>
        <w:pStyle w:val="ListParagraph"/>
        <w:ind w:left="1429"/>
        <w:jc w:val="both"/>
        <w:rPr>
          <w:rFonts w:ascii="Arial" w:hAnsi="Arial" w:cs="Arial"/>
          <w:sz w:val="20"/>
          <w:szCs w:val="20"/>
          <w:lang w:val="en-IE"/>
        </w:rPr>
      </w:pPr>
    </w:p>
    <w:p w:rsidRPr="004B5ACA" w:rsidR="007F6172" w:rsidP="006E6303" w:rsidRDefault="007F6172" w14:paraId="3EFE1867" w14:textId="77777777">
      <w:pPr>
        <w:pStyle w:val="ListParagraph"/>
        <w:numPr>
          <w:ilvl w:val="0"/>
          <w:numId w:val="7"/>
        </w:numPr>
        <w:spacing w:after="0"/>
        <w:jc w:val="both"/>
        <w:rPr>
          <w:rFonts w:ascii="Arial" w:hAnsi="Arial" w:cs="Arial"/>
          <w:sz w:val="20"/>
          <w:szCs w:val="20"/>
          <w:lang w:val="en-IE"/>
        </w:rPr>
      </w:pPr>
      <w:r w:rsidRPr="004B5ACA">
        <w:rPr>
          <w:rFonts w:ascii="Arial" w:hAnsi="Arial" w:cs="Arial"/>
          <w:sz w:val="20"/>
          <w:szCs w:val="20"/>
          <w:lang w:val="en-IE"/>
        </w:rPr>
        <w:t xml:space="preserve">The Fund will not invest more than 20% of its Net Asset Value in securities issued by entities domiciled in countries considered by the Investment Manager to be emerging market countries. </w:t>
      </w:r>
    </w:p>
    <w:p w:rsidRPr="0054097D" w:rsidR="007F6172" w:rsidP="007F6172" w:rsidRDefault="007F6172" w14:paraId="34FAF951" w14:textId="77777777">
      <w:pPr>
        <w:rPr>
          <w:rFonts w:cs="Arial"/>
        </w:rPr>
      </w:pPr>
    </w:p>
    <w:p w:rsidRPr="00807474" w:rsidR="007F6172" w:rsidP="007F6172" w:rsidRDefault="007F6172" w14:paraId="1B3B605C" w14:textId="77777777">
      <w:pPr>
        <w:tabs>
          <w:tab w:val="left" w:pos="1788"/>
        </w:tabs>
        <w:jc w:val="both"/>
        <w:rPr>
          <w:rFonts w:cs="Arial"/>
        </w:rPr>
      </w:pPr>
      <w:r>
        <w:rPr>
          <w:rFonts w:cs="Arial"/>
        </w:rPr>
        <w:tab/>
      </w:r>
    </w:p>
    <w:p w:rsidRPr="00807474" w:rsidR="007F6172" w:rsidP="007F6172" w:rsidRDefault="007F6172" w14:paraId="4FEC6B48" w14:textId="77777777">
      <w:pPr>
        <w:pStyle w:val="Heading1"/>
        <w:numPr>
          <w:ilvl w:val="0"/>
          <w:numId w:val="1"/>
        </w:numPr>
        <w:pBdr>
          <w:bottom w:val="single" w:color="auto" w:sz="12" w:space="1"/>
        </w:pBdr>
        <w:jc w:val="both"/>
        <w:rPr>
          <w:rFonts w:cs="Arial"/>
        </w:rPr>
      </w:pPr>
      <w:bookmarkStart w:name="_Toc166678727" w:id="25"/>
      <w:r w:rsidRPr="00807474">
        <w:rPr>
          <w:rFonts w:cs="Arial"/>
        </w:rPr>
        <w:t>PROFILE OF A TYPICAL INVESTOR</w:t>
      </w:r>
      <w:bookmarkEnd w:id="25"/>
    </w:p>
    <w:p w:rsidRPr="00807474" w:rsidR="007F6172" w:rsidP="007F6172" w:rsidRDefault="007F6172" w14:paraId="3BDC9C66" w14:textId="77777777">
      <w:pPr>
        <w:jc w:val="both"/>
      </w:pPr>
    </w:p>
    <w:p w:rsidR="007F6172" w:rsidP="007F6172" w:rsidRDefault="007F6172" w14:paraId="1968B678" w14:textId="77777777">
      <w:pPr>
        <w:ind w:left="709"/>
        <w:jc w:val="both"/>
        <w:rPr>
          <w:rFonts w:cs="Arial"/>
        </w:rPr>
      </w:pPr>
      <w:r w:rsidRPr="001F3B64">
        <w:rPr>
          <w:rFonts w:cs="Arial"/>
        </w:rPr>
        <w:t xml:space="preserve">A typical investor in the Fund would be seeking </w:t>
      </w:r>
      <w:r>
        <w:rPr>
          <w:rFonts w:cs="Arial"/>
        </w:rPr>
        <w:t xml:space="preserve">long-term growth </w:t>
      </w:r>
      <w:r w:rsidRPr="001F3B64">
        <w:rPr>
          <w:rFonts w:cs="Arial"/>
        </w:rPr>
        <w:t>by investing in an actively managed portfolio. Th</w:t>
      </w:r>
      <w:r>
        <w:rPr>
          <w:rFonts w:cs="Arial"/>
        </w:rPr>
        <w:t>e</w:t>
      </w:r>
      <w:r w:rsidRPr="001F3B64">
        <w:rPr>
          <w:rFonts w:cs="Arial"/>
        </w:rPr>
        <w:t xml:space="preserve"> diversified nature </w:t>
      </w:r>
      <w:r>
        <w:rPr>
          <w:rFonts w:cs="Arial"/>
        </w:rPr>
        <w:t xml:space="preserve">of the investments </w:t>
      </w:r>
      <w:r w:rsidRPr="001F3B64">
        <w:rPr>
          <w:rFonts w:cs="Arial"/>
        </w:rPr>
        <w:t>makes the Fund suitable for investors wishing to achieve a broad spread of exposure to asset classes. The Fund may be suited to medium to high net-worth retail investo</w:t>
      </w:r>
      <w:r>
        <w:rPr>
          <w:rFonts w:cs="Arial"/>
        </w:rPr>
        <w:t xml:space="preserve">rs and institutional investors </w:t>
      </w:r>
      <w:r w:rsidRPr="001F3B64">
        <w:rPr>
          <w:rFonts w:cs="Arial"/>
        </w:rPr>
        <w:t xml:space="preserve">who are </w:t>
      </w:r>
      <w:r>
        <w:rPr>
          <w:rFonts w:cs="Arial"/>
        </w:rPr>
        <w:t xml:space="preserve">seeking long-term capital appreciation. The Fund expects to have </w:t>
      </w:r>
      <w:r w:rsidRPr="001F3B64">
        <w:rPr>
          <w:rFonts w:cs="Arial"/>
        </w:rPr>
        <w:t xml:space="preserve">a </w:t>
      </w:r>
      <w:r>
        <w:rPr>
          <w:rFonts w:cs="Arial"/>
        </w:rPr>
        <w:t>low to</w:t>
      </w:r>
      <w:r w:rsidRPr="001F3B64">
        <w:rPr>
          <w:rFonts w:cs="Arial"/>
        </w:rPr>
        <w:t xml:space="preserve"> medium degree of volatility.</w:t>
      </w:r>
    </w:p>
    <w:p w:rsidRPr="00807474" w:rsidR="007F6172" w:rsidP="007F6172" w:rsidRDefault="007F6172" w14:paraId="612CE306" w14:textId="77777777">
      <w:pPr>
        <w:ind w:left="709"/>
        <w:jc w:val="both"/>
        <w:rPr>
          <w:rFonts w:cs="Arial"/>
        </w:rPr>
      </w:pPr>
    </w:p>
    <w:p w:rsidRPr="00807474" w:rsidR="007F6172" w:rsidP="007F6172" w:rsidRDefault="007F6172" w14:paraId="120E3752" w14:textId="77777777">
      <w:pPr>
        <w:jc w:val="both"/>
        <w:rPr>
          <w:rFonts w:cs="Arial"/>
        </w:rPr>
      </w:pPr>
    </w:p>
    <w:p w:rsidRPr="00807474" w:rsidR="007F6172" w:rsidP="007F6172" w:rsidRDefault="007F6172" w14:paraId="466D0BF9" w14:textId="77777777">
      <w:pPr>
        <w:pStyle w:val="Heading1"/>
        <w:numPr>
          <w:ilvl w:val="0"/>
          <w:numId w:val="1"/>
        </w:numPr>
        <w:pBdr>
          <w:bottom w:val="single" w:color="auto" w:sz="12" w:space="1"/>
        </w:pBdr>
        <w:jc w:val="both"/>
        <w:rPr>
          <w:rFonts w:cs="Arial"/>
          <w:spacing w:val="-6"/>
        </w:rPr>
      </w:pPr>
      <w:bookmarkStart w:name="_Toc166678728" w:id="26"/>
      <w:r w:rsidRPr="00807474">
        <w:rPr>
          <w:rFonts w:cs="Arial"/>
          <w:spacing w:val="-6"/>
        </w:rPr>
        <w:t>RISK FACTORS</w:t>
      </w:r>
      <w:bookmarkEnd w:id="26"/>
    </w:p>
    <w:p w:rsidRPr="00807474" w:rsidR="007F6172" w:rsidP="007F6172" w:rsidRDefault="007F6172" w14:paraId="6071185C" w14:textId="77777777">
      <w:pPr>
        <w:jc w:val="both"/>
      </w:pPr>
    </w:p>
    <w:p w:rsidR="007F6172" w:rsidP="00C51719" w:rsidRDefault="007F6172" w14:paraId="6DC07782" w14:textId="77777777">
      <w:pPr>
        <w:ind w:left="720"/>
        <w:jc w:val="both"/>
        <w:rPr>
          <w:rFonts w:cs="Arial"/>
          <w:color w:val="000000"/>
          <w:lang w:val="en-US"/>
        </w:rPr>
      </w:pPr>
      <w:r w:rsidRPr="00807474">
        <w:rPr>
          <w:rFonts w:cs="Arial"/>
          <w:color w:val="000000"/>
          <w:lang w:val="en-US"/>
        </w:rPr>
        <w:t xml:space="preserve">The general risk factors set out in the </w:t>
      </w:r>
      <w:r w:rsidRPr="00807474">
        <w:rPr>
          <w:rFonts w:cs="Arial"/>
          <w:b/>
          <w:color w:val="000000"/>
          <w:lang w:val="en-US"/>
        </w:rPr>
        <w:t>Risk Factors</w:t>
      </w:r>
      <w:r w:rsidRPr="00807474">
        <w:rPr>
          <w:rFonts w:cs="Arial"/>
          <w:color w:val="000000"/>
          <w:lang w:val="en-US"/>
        </w:rPr>
        <w:t xml:space="preserve"> section of the Prospectus apply to the Fund.</w:t>
      </w:r>
      <w:r>
        <w:rPr>
          <w:rFonts w:cs="Arial"/>
          <w:color w:val="000000"/>
          <w:lang w:val="en-US"/>
        </w:rPr>
        <w:t xml:space="preserve"> </w:t>
      </w:r>
      <w:r w:rsidRPr="00067B64">
        <w:rPr>
          <w:rFonts w:cs="Arial"/>
          <w:color w:val="000000"/>
          <w:lang w:val="en-US"/>
        </w:rPr>
        <w:t>In addition, the risk factors below apply to the Fund.</w:t>
      </w:r>
    </w:p>
    <w:p w:rsidR="007F6172" w:rsidP="007F6172" w:rsidRDefault="007F6172" w14:paraId="0BB59A42" w14:textId="77777777">
      <w:pPr>
        <w:pStyle w:val="Heading2"/>
        <w:numPr>
          <w:ilvl w:val="1"/>
          <w:numId w:val="1"/>
        </w:numPr>
        <w:spacing w:before="240"/>
        <w:rPr>
          <w:b/>
        </w:rPr>
      </w:pPr>
      <w:r>
        <w:rPr>
          <w:b/>
        </w:rPr>
        <w:t>Currency/FX Risk</w:t>
      </w:r>
    </w:p>
    <w:p w:rsidRPr="00DA4E42" w:rsidR="007F6172" w:rsidP="007F6172" w:rsidRDefault="007F6172" w14:paraId="50EB9C55" w14:textId="77777777">
      <w:pPr>
        <w:spacing w:before="240"/>
        <w:ind w:left="720"/>
        <w:jc w:val="both"/>
      </w:pPr>
      <w:r w:rsidRPr="00DA4E42">
        <w:t xml:space="preserve">Investment in currency </w:t>
      </w:r>
      <w:r w:rsidRPr="00807474">
        <w:t xml:space="preserve">for </w:t>
      </w:r>
      <w:r>
        <w:t>investment purposes may subject a Fund to greater volatility than investments in traditional securities.</w:t>
      </w:r>
      <w:r w:rsidRPr="00DA4E42">
        <w:t xml:space="preserve"> </w:t>
      </w:r>
      <w:r>
        <w:t>Currency exchange rates may fluctuate significantly over short periods due to a variety of factors affecting the value of the Fund's investments in such currencies.</w:t>
      </w:r>
    </w:p>
    <w:p w:rsidRPr="00067B64" w:rsidR="007F6172" w:rsidP="007F6172" w:rsidRDefault="007F6172" w14:paraId="79D95838" w14:textId="77777777">
      <w:pPr>
        <w:pStyle w:val="Heading2"/>
        <w:numPr>
          <w:ilvl w:val="1"/>
          <w:numId w:val="1"/>
        </w:numPr>
        <w:spacing w:before="240"/>
        <w:rPr>
          <w:b/>
        </w:rPr>
      </w:pPr>
      <w:r w:rsidRPr="00067B64">
        <w:rPr>
          <w:b/>
        </w:rPr>
        <w:t>Commodities Exposure Risk</w:t>
      </w:r>
    </w:p>
    <w:p w:rsidR="00F40623" w:rsidP="00F40623" w:rsidRDefault="007F6172" w14:paraId="3DC19BC9" w14:textId="77777777">
      <w:pPr>
        <w:spacing w:before="240"/>
        <w:ind w:left="720"/>
        <w:jc w:val="both"/>
      </w:pPr>
      <w:r>
        <w:t>Indirect exposure to the commodities markets may subject a Fund to greater volatility than investments in traditional securities. Prices of commodities may fluctuate significantly over short periods due to a variety of factors, including: changes in supply and demand relationships, changes in interest or currency exchange rates, population growth and changing demographics and factors affecting a particular industry or commodity. Further, a lack of liquidity, participation of speculators and government regulation and intervention, among other factors, may subject commodity markets to temporary distortions or other disruptions, which may, in turn, involve a degree of loss in s</w:t>
      </w:r>
      <w:r w:rsidR="00CF6F85">
        <w:t>uch investments.</w:t>
      </w:r>
    </w:p>
    <w:p w:rsidRPr="00F40623" w:rsidR="00F40623" w:rsidP="00F40623" w:rsidRDefault="00F40623" w14:paraId="7DE0D925" w14:textId="6343DEA7">
      <w:pPr>
        <w:pStyle w:val="Heading2"/>
        <w:spacing w:before="240"/>
        <w:rPr>
          <w:b/>
          <w:bCs w:val="0"/>
        </w:rPr>
      </w:pPr>
      <w:r w:rsidRPr="00F40623">
        <w:rPr>
          <w:b/>
          <w:bCs w:val="0"/>
          <w:lang w:val="en-US"/>
        </w:rPr>
        <w:t xml:space="preserve">Sub-Investment Grade Bond Risk </w:t>
      </w:r>
    </w:p>
    <w:p w:rsidRPr="00DD1BD7" w:rsidR="00F40623" w:rsidP="00F40623" w:rsidRDefault="00F40623" w14:paraId="35F759E7" w14:textId="77777777">
      <w:pPr>
        <w:rPr>
          <w:lang w:val="en-US"/>
        </w:rPr>
      </w:pPr>
    </w:p>
    <w:p w:rsidRPr="00DD1BD7" w:rsidR="00F40623" w:rsidP="00F40623" w:rsidRDefault="00F40623" w14:paraId="6D40B753" w14:textId="77777777">
      <w:pPr>
        <w:ind w:left="720"/>
        <w:jc w:val="both"/>
      </w:pPr>
      <w:r w:rsidRPr="00DD1BD7">
        <w:t>The Fund may invest in or be exposed to the performance of bonds that are rated sub-investment grade or are unrated, which may be more volatile than higher-rated bonds of similar maturity. High yield bonds of this nature may also be subject to greater levels of credit or default risk than higher rated bonds. The value of high yield bonds can be adversely affected by overall economic conditions, such as an economic downturn or a period of rising interest rates, and high yield bonds may be less liquid and more difficult to value or sell at an advantageous time or price than higher rated bonds. In particular, high yield bonds are often issued by smaller, less creditworthy companies or by highly leveraged (indebted) firms, which are generally less able than more financially stable firms to make scheduled payments of interest and principal. Potential investors in the Fund should consider the relative risks of investing in the Fund carefully and understand that high yield bonds are generally not meant for short-term investing. Prices for high yield bonds may be affected by a sudden lack of market liquidity, legislative and/or regulatory developments which could adversely affect the performance of the Fund.</w:t>
      </w:r>
    </w:p>
    <w:p w:rsidRPr="00807474" w:rsidR="007F6172" w:rsidP="007F6172" w:rsidRDefault="007F6172" w14:paraId="67E47E09" w14:textId="77777777">
      <w:pPr>
        <w:ind w:left="720"/>
        <w:jc w:val="both"/>
        <w:rPr>
          <w:rFonts w:cs="Arial"/>
          <w:color w:val="000000"/>
          <w:lang w:val="en-US"/>
        </w:rPr>
      </w:pPr>
    </w:p>
    <w:p w:rsidRPr="00807474" w:rsidR="007F6172" w:rsidP="007F6172" w:rsidRDefault="007F6172" w14:paraId="43C41342" w14:textId="77777777">
      <w:pPr>
        <w:ind w:left="720"/>
        <w:jc w:val="both"/>
        <w:rPr>
          <w:rFonts w:cs="Arial"/>
          <w:b/>
          <w:color w:val="000000"/>
          <w:lang w:val="en-US"/>
        </w:rPr>
      </w:pPr>
      <w:r w:rsidRPr="00807474">
        <w:rPr>
          <w:rFonts w:cs="Arial"/>
          <w:b/>
          <w:color w:val="000000"/>
          <w:lang w:val="en-US"/>
        </w:rPr>
        <w:t>AN INVESTMENT IN THE SHARES OF THE FUND IS SPECULATIVE AND INVOLVES A DEGREE OF RISK. ACCORDINGLY, PROSPECTIVE INVESTORS SHOULD CONSIDER THE RISK FACTORS. THESE RISK FACTORS MAY NOT BE A COMPLETE LIST OF ALL RISK FACTORS ASSOCIATED WITH AN INVESTMENT IN THE FUND.</w:t>
      </w:r>
    </w:p>
    <w:p w:rsidRPr="00807474" w:rsidR="007F6172" w:rsidP="007F6172" w:rsidRDefault="007F6172" w14:paraId="5423ABB5" w14:textId="77777777">
      <w:pPr>
        <w:ind w:left="720"/>
        <w:jc w:val="both"/>
        <w:rPr>
          <w:rFonts w:cs="Arial"/>
          <w:b/>
          <w:color w:val="000000"/>
          <w:lang w:val="en-US"/>
        </w:rPr>
      </w:pPr>
    </w:p>
    <w:p w:rsidRPr="00807474" w:rsidR="007F6172" w:rsidP="007F6172" w:rsidRDefault="007F6172" w14:paraId="777F2BB2" w14:textId="77777777">
      <w:pPr>
        <w:ind w:left="720"/>
        <w:jc w:val="both"/>
        <w:rPr>
          <w:rFonts w:cs="Arial"/>
          <w:b/>
          <w:color w:val="000000"/>
          <w:lang w:val="en-US"/>
        </w:rPr>
      </w:pPr>
      <w:r w:rsidRPr="00807474">
        <w:rPr>
          <w:rFonts w:cs="Arial"/>
          <w:b/>
          <w:color w:val="000000"/>
          <w:lang w:val="en-US"/>
        </w:rPr>
        <w:t>BEFORE DETERMINING TO INVEST IN THE FUND, PROSPECTIVE INVESTORS SHOULD EVALUATE WHETHER THEY ACCEPT THE RISKS WHICH THEY WILL ASSUME BY BUYING SHARES OF THE FUND. THE LIST OF RISK FACTORS DOES NOT PURPORT TO BE A COMPLETE EXPLANATION OF THE RISKS INVOLVED IN THIS OFFERING.</w:t>
      </w:r>
    </w:p>
    <w:p w:rsidRPr="00807474" w:rsidR="007F6172" w:rsidP="007F6172" w:rsidRDefault="007F6172" w14:paraId="64BC4FE9" w14:textId="77777777">
      <w:pPr>
        <w:ind w:left="720"/>
        <w:jc w:val="both"/>
        <w:rPr>
          <w:rFonts w:cs="Arial"/>
          <w:b/>
          <w:color w:val="000000"/>
          <w:lang w:val="en-US"/>
        </w:rPr>
      </w:pPr>
    </w:p>
    <w:p w:rsidRPr="00807474" w:rsidR="007F6172" w:rsidP="007F6172" w:rsidRDefault="007F6172" w14:paraId="27528E6A" w14:textId="77777777">
      <w:pPr>
        <w:ind w:left="720"/>
        <w:jc w:val="both"/>
        <w:rPr>
          <w:rFonts w:cs="Arial"/>
          <w:b/>
          <w:color w:val="000000"/>
          <w:lang w:val="en-US"/>
        </w:rPr>
      </w:pPr>
      <w:r w:rsidRPr="00807474">
        <w:rPr>
          <w:rFonts w:cs="Arial"/>
          <w:b/>
          <w:color w:val="000000"/>
          <w:lang w:val="en-US"/>
        </w:rPr>
        <w:t xml:space="preserve">PROSPECTIVE INVESTORS SHOULD READ THE ENTIRE PROSPECTUS AND THIS SUPPLEMENT AND FULLY EVALUATE ALL OTHER INFORMATION THAT THEY DEEM TO BE NECESSARY BEFORE DETERMINING TO INVEST IN THE FUND.  </w:t>
      </w:r>
      <w:r w:rsidRPr="00807474">
        <w:rPr>
          <w:b/>
          <w:color w:val="000000"/>
          <w:lang w:val="en-GB"/>
        </w:rPr>
        <w:t>AN INVESTMENT IN THE FUND MAY NOT BE APPROPRIATE FOR ALL INVESTORS.</w:t>
      </w:r>
    </w:p>
    <w:p w:rsidR="007F6172" w:rsidP="007F6172" w:rsidRDefault="007F6172" w14:paraId="252E3A26" w14:textId="77777777">
      <w:pPr>
        <w:tabs>
          <w:tab w:val="left" w:pos="945"/>
        </w:tabs>
        <w:jc w:val="both"/>
        <w:rPr>
          <w:rFonts w:cs="Arial"/>
        </w:rPr>
      </w:pPr>
      <w:r>
        <w:rPr>
          <w:rFonts w:cs="Arial"/>
        </w:rPr>
        <w:tab/>
      </w:r>
    </w:p>
    <w:p w:rsidRPr="00807474" w:rsidR="007F6172" w:rsidP="007F6172" w:rsidRDefault="007F6172" w14:paraId="79797BC6" w14:textId="77777777">
      <w:pPr>
        <w:jc w:val="both"/>
        <w:rPr>
          <w:rFonts w:cs="Arial"/>
        </w:rPr>
      </w:pPr>
    </w:p>
    <w:p w:rsidRPr="00807474" w:rsidR="007F6172" w:rsidP="007F6172" w:rsidRDefault="007F6172" w14:paraId="448E4F12" w14:textId="77777777">
      <w:pPr>
        <w:pStyle w:val="Heading1"/>
        <w:numPr>
          <w:ilvl w:val="0"/>
          <w:numId w:val="1"/>
        </w:numPr>
        <w:pBdr>
          <w:bottom w:val="single" w:color="auto" w:sz="12" w:space="1"/>
        </w:pBdr>
        <w:jc w:val="both"/>
        <w:rPr>
          <w:rFonts w:cs="Arial"/>
        </w:rPr>
      </w:pPr>
      <w:bookmarkStart w:name="_Toc166678729" w:id="27"/>
      <w:r w:rsidRPr="00807474">
        <w:rPr>
          <w:rFonts w:cs="Arial"/>
        </w:rPr>
        <w:t>DIVIDEND POLICY</w:t>
      </w:r>
      <w:bookmarkEnd w:id="27"/>
    </w:p>
    <w:p w:rsidRPr="00807474" w:rsidR="007F6172" w:rsidP="007F6172" w:rsidRDefault="007F6172" w14:paraId="227C2DFF" w14:textId="77777777">
      <w:pPr>
        <w:jc w:val="both"/>
      </w:pPr>
    </w:p>
    <w:p w:rsidRPr="00807474" w:rsidR="007F6172" w:rsidP="007F6172" w:rsidRDefault="007F6172" w14:paraId="10FD5BEB" w14:textId="77777777">
      <w:pPr>
        <w:ind w:left="720"/>
        <w:jc w:val="both"/>
      </w:pPr>
      <w:r w:rsidRPr="00807474">
        <w:t xml:space="preserve">No dividends are payable in respect of the Shares.  The net income attributable to the Shares will be retained within the Fund and the Net Asset Value per Share shall be increased by the amount of net income earned.  </w:t>
      </w:r>
    </w:p>
    <w:p w:rsidRPr="00807474" w:rsidR="007F6172" w:rsidP="007F6172" w:rsidRDefault="007F6172" w14:paraId="62BBF666" w14:textId="77777777">
      <w:pPr>
        <w:ind w:left="720"/>
        <w:jc w:val="both"/>
      </w:pPr>
    </w:p>
    <w:p w:rsidRPr="00807474" w:rsidR="007F6172" w:rsidP="007F6172" w:rsidRDefault="007F6172" w14:paraId="5FE89174" w14:textId="77777777">
      <w:pPr>
        <w:ind w:left="720"/>
        <w:jc w:val="both"/>
      </w:pPr>
      <w:r w:rsidRPr="00807474">
        <w:t xml:space="preserve">The Fund </w:t>
      </w:r>
      <w:r>
        <w:t xml:space="preserve">is seeking </w:t>
      </w:r>
      <w:r w:rsidRPr="00807474">
        <w:t>approv</w:t>
      </w:r>
      <w:r>
        <w:t>al</w:t>
      </w:r>
      <w:r w:rsidRPr="00807474">
        <w:t xml:space="preserve"> by HM Revenue and Customs as a ‘reporting fund’ for UK taxation purposes. The Fund shall endeavour to satisfy the conditions in order to maintain reporting fund status unless the Directors determine otherwise. Although the Directors will endeavour to ensure that appropriate conditions for reporting fund status to apply are met, there can be no guarantee that they will be obtained or so met, or that once obtained or met, they will continue to be obtained or met for future accounting periods. Where an ‘offshore fund’ (such as the Fund) has been certified as a reporting fund for each accounting period during which a shareholder has held his interest in the offshore fund, any gain arising will be calculated and taxed as a capital gain, rather than as an offshore income gain, and such shareholder may be eligible for applicable capital gains exemptions and/or reliefs.</w:t>
      </w:r>
    </w:p>
    <w:p w:rsidRPr="00807474" w:rsidR="007F6172" w:rsidP="007F6172" w:rsidRDefault="007F6172" w14:paraId="7820E647" w14:textId="77777777">
      <w:pPr>
        <w:ind w:left="720"/>
        <w:jc w:val="both"/>
      </w:pPr>
    </w:p>
    <w:p w:rsidR="007F6172" w:rsidP="007F6172" w:rsidRDefault="007F6172" w14:paraId="212F3B83" w14:textId="77777777">
      <w:pPr>
        <w:ind w:left="720"/>
        <w:jc w:val="both"/>
        <w:rPr>
          <w:b/>
        </w:rPr>
      </w:pPr>
      <w:r w:rsidRPr="00807474">
        <w:t>If the Directors propose to change the dividend policy of the Fund full details will be provided in an updated Supplement and all Shareholders will be notified in advance.</w:t>
      </w:r>
    </w:p>
    <w:p w:rsidRPr="00807474" w:rsidR="007F6172" w:rsidP="007F6172" w:rsidRDefault="007F6172" w14:paraId="2C0AE509" w14:textId="77777777">
      <w:pPr>
        <w:ind w:left="720"/>
        <w:jc w:val="both"/>
        <w:rPr>
          <w:b/>
        </w:rPr>
      </w:pPr>
    </w:p>
    <w:p w:rsidRPr="00807474" w:rsidR="007F6172" w:rsidP="007F6172" w:rsidRDefault="007F6172" w14:paraId="390158F2" w14:textId="77777777">
      <w:pPr>
        <w:ind w:left="720"/>
        <w:jc w:val="both"/>
        <w:rPr>
          <w:rFonts w:cs="Arial"/>
          <w:color w:val="000000"/>
        </w:rPr>
      </w:pPr>
    </w:p>
    <w:p w:rsidRPr="00807474" w:rsidR="007F6172" w:rsidP="007F6172" w:rsidRDefault="007F6172" w14:paraId="03BE0B1E" w14:textId="77777777">
      <w:pPr>
        <w:pStyle w:val="Heading1"/>
        <w:numPr>
          <w:ilvl w:val="0"/>
          <w:numId w:val="1"/>
        </w:numPr>
        <w:pBdr>
          <w:bottom w:val="single" w:color="auto" w:sz="12" w:space="1"/>
        </w:pBdr>
        <w:jc w:val="both"/>
        <w:rPr>
          <w:rFonts w:cs="Arial"/>
        </w:rPr>
      </w:pPr>
      <w:bookmarkStart w:name="_Toc166678730" w:id="28"/>
      <w:r w:rsidRPr="00807474">
        <w:rPr>
          <w:rFonts w:cs="Arial"/>
        </w:rPr>
        <w:t>KEY INFORMATION FOR SUBSCRIBING AND REDEEMING</w:t>
      </w:r>
      <w:bookmarkEnd w:id="28"/>
    </w:p>
    <w:p w:rsidRPr="00807474" w:rsidR="007F6172" w:rsidP="007F6172" w:rsidRDefault="007F6172" w14:paraId="2CBD3127" w14:textId="77777777">
      <w:pPr>
        <w:jc w:val="both"/>
        <w:rPr>
          <w:rFonts w:cs="Arial"/>
        </w:rPr>
      </w:pPr>
    </w:p>
    <w:p w:rsidRPr="00807474" w:rsidR="007F6172" w:rsidP="007F6172" w:rsidRDefault="007F6172" w14:paraId="711361EF" w14:textId="77777777">
      <w:pPr>
        <w:pStyle w:val="L1Para"/>
        <w:jc w:val="both"/>
        <w:rPr>
          <w:rFonts w:cs="Arial"/>
          <w:b/>
        </w:rPr>
      </w:pPr>
      <w:r w:rsidRPr="00807474">
        <w:rPr>
          <w:rFonts w:cs="Arial"/>
          <w:b/>
        </w:rPr>
        <w:t xml:space="preserve">Available Share Classes </w:t>
      </w:r>
    </w:p>
    <w:p w:rsidRPr="00807474" w:rsidR="007F6172" w:rsidP="007F6172" w:rsidRDefault="007F6172" w14:paraId="0FA0F395" w14:textId="77777777">
      <w:pPr>
        <w:widowControl/>
        <w:suppressAutoHyphens/>
        <w:jc w:val="both"/>
        <w:rPr>
          <w:rFonts w:cs="Arial"/>
          <w:b/>
          <w:bCs/>
          <w:color w:val="000000"/>
        </w:rPr>
      </w:pPr>
    </w:p>
    <w:p w:rsidRPr="00D16EF5" w:rsidR="007F6172" w:rsidP="007F6172" w:rsidRDefault="007F6172" w14:paraId="2CAD4205" w14:textId="77777777">
      <w:pPr>
        <w:pStyle w:val="L1Para"/>
        <w:jc w:val="both"/>
        <w:rPr>
          <w:rFonts w:cs="Arial"/>
          <w:b/>
          <w:bCs/>
        </w:rPr>
      </w:pPr>
      <w:r w:rsidRPr="00807474">
        <w:rPr>
          <w:rFonts w:cs="Arial"/>
        </w:rPr>
        <w:t>The Company may issue Shares in each of the Share Classes set out in the table below.</w:t>
      </w:r>
    </w:p>
    <w:tbl>
      <w:tblPr>
        <w:tblpPr w:leftFromText="180" w:rightFromText="180" w:vertAnchor="text" w:horzAnchor="page" w:tblpX="1777" w:tblpY="187"/>
        <w:tblW w:w="9077" w:type="dxa"/>
        <w:tblLayout w:type="fixed"/>
        <w:tblCellMar>
          <w:left w:w="0" w:type="dxa"/>
          <w:right w:w="0" w:type="dxa"/>
        </w:tblCellMar>
        <w:tblLook w:val="0000" w:firstRow="0" w:lastRow="0" w:firstColumn="0" w:lastColumn="0" w:noHBand="0" w:noVBand="0"/>
      </w:tblPr>
      <w:tblGrid>
        <w:gridCol w:w="1848"/>
        <w:gridCol w:w="1701"/>
        <w:gridCol w:w="2268"/>
        <w:gridCol w:w="1985"/>
        <w:gridCol w:w="1275"/>
      </w:tblGrid>
      <w:tr w:rsidRPr="00807474" w:rsidR="007F6172" w:rsidTr="00055F04" w14:paraId="7B28EB94" w14:textId="77777777">
        <w:trPr>
          <w:cantSplit/>
        </w:trPr>
        <w:tc>
          <w:tcPr>
            <w:tcW w:w="1848" w:type="dxa"/>
            <w:tcBorders>
              <w:top w:val="single" w:color="000000" w:sz="4" w:space="0"/>
              <w:left w:val="single" w:color="000000" w:sz="4" w:space="0"/>
              <w:bottom w:val="single" w:color="000000" w:sz="4" w:space="0"/>
              <w:right w:val="single" w:color="000000" w:sz="4" w:space="0"/>
            </w:tcBorders>
          </w:tcPr>
          <w:p w:rsidR="007F6172" w:rsidP="00055F04" w:rsidRDefault="007F6172" w14:paraId="0DCA77B6" w14:textId="77777777">
            <w:pPr>
              <w:widowControl/>
              <w:ind w:left="200"/>
              <w:jc w:val="center"/>
              <w:rPr>
                <w:rFonts w:cs="Arial"/>
                <w:b/>
                <w:bCs/>
                <w:color w:val="000000"/>
              </w:rPr>
            </w:pPr>
          </w:p>
          <w:p w:rsidRPr="00807474" w:rsidR="007F6172" w:rsidP="00055F04" w:rsidRDefault="007F6172" w14:paraId="2B5F35F1" w14:textId="77777777">
            <w:pPr>
              <w:widowControl/>
              <w:ind w:left="200"/>
              <w:jc w:val="center"/>
              <w:rPr>
                <w:rFonts w:cs="Arial"/>
                <w:b/>
                <w:bCs/>
                <w:color w:val="000000"/>
              </w:rPr>
            </w:pPr>
            <w:r w:rsidRPr="00807474">
              <w:rPr>
                <w:rFonts w:cs="Arial"/>
                <w:b/>
                <w:bCs/>
                <w:color w:val="000000"/>
              </w:rPr>
              <w:t>Share Class</w:t>
            </w:r>
          </w:p>
        </w:tc>
        <w:tc>
          <w:tcPr>
            <w:tcW w:w="1701" w:type="dxa"/>
            <w:tcBorders>
              <w:top w:val="single" w:color="000000" w:sz="4" w:space="0"/>
              <w:left w:val="single" w:color="000000" w:sz="4" w:space="0"/>
              <w:bottom w:val="single" w:color="000000" w:sz="4" w:space="0"/>
              <w:right w:val="single" w:color="000000" w:sz="4" w:space="0"/>
            </w:tcBorders>
          </w:tcPr>
          <w:p w:rsidR="007F6172" w:rsidP="00055F04" w:rsidRDefault="007F6172" w14:paraId="7EA53A8F" w14:textId="77777777">
            <w:pPr>
              <w:widowControl/>
              <w:ind w:left="142"/>
              <w:jc w:val="center"/>
              <w:rPr>
                <w:rFonts w:cs="Arial"/>
                <w:b/>
                <w:color w:val="000000"/>
              </w:rPr>
            </w:pPr>
          </w:p>
          <w:p w:rsidRPr="00807474" w:rsidR="007F6172" w:rsidP="00055F04" w:rsidRDefault="007F6172" w14:paraId="23C48240" w14:textId="77777777">
            <w:pPr>
              <w:widowControl/>
              <w:ind w:left="142"/>
              <w:jc w:val="center"/>
              <w:rPr>
                <w:rFonts w:cs="Arial"/>
                <w:b/>
                <w:color w:val="000000"/>
              </w:rPr>
            </w:pPr>
            <w:r w:rsidRPr="00807474">
              <w:rPr>
                <w:rFonts w:cs="Arial"/>
                <w:b/>
                <w:color w:val="000000"/>
              </w:rPr>
              <w:t>Minimum Shareholding*</w:t>
            </w:r>
          </w:p>
        </w:tc>
        <w:tc>
          <w:tcPr>
            <w:tcW w:w="2268" w:type="dxa"/>
            <w:tcBorders>
              <w:top w:val="single" w:color="000000" w:sz="4" w:space="0"/>
              <w:left w:val="single" w:color="000000" w:sz="4" w:space="0"/>
              <w:bottom w:val="single" w:color="000000" w:sz="4" w:space="0"/>
              <w:right w:val="single" w:color="000000" w:sz="4" w:space="0"/>
            </w:tcBorders>
          </w:tcPr>
          <w:p w:rsidR="007F6172" w:rsidP="00055F04" w:rsidRDefault="007F6172" w14:paraId="44C5A64B" w14:textId="77777777">
            <w:pPr>
              <w:widowControl/>
              <w:ind w:left="300"/>
              <w:jc w:val="center"/>
              <w:rPr>
                <w:rFonts w:cs="Arial"/>
                <w:b/>
                <w:color w:val="000000"/>
              </w:rPr>
            </w:pPr>
          </w:p>
          <w:p w:rsidRPr="00807474" w:rsidR="007F6172" w:rsidP="00055F04" w:rsidRDefault="007F6172" w14:paraId="6D896B4D" w14:textId="77777777">
            <w:pPr>
              <w:widowControl/>
              <w:ind w:left="300"/>
              <w:jc w:val="center"/>
              <w:rPr>
                <w:rFonts w:cs="Arial"/>
                <w:b/>
                <w:color w:val="000000"/>
              </w:rPr>
            </w:pPr>
            <w:r w:rsidRPr="00807474">
              <w:rPr>
                <w:rFonts w:cs="Arial"/>
                <w:b/>
                <w:color w:val="000000"/>
              </w:rPr>
              <w:t xml:space="preserve">Minimum Initial Investment </w:t>
            </w:r>
            <w:r>
              <w:rPr>
                <w:rFonts w:cs="Arial"/>
                <w:b/>
                <w:color w:val="000000"/>
              </w:rPr>
              <w:t>A</w:t>
            </w:r>
            <w:r w:rsidRPr="00807474">
              <w:rPr>
                <w:rFonts w:cs="Arial"/>
                <w:b/>
                <w:color w:val="000000"/>
              </w:rPr>
              <w:t>mount*</w:t>
            </w:r>
          </w:p>
        </w:tc>
        <w:tc>
          <w:tcPr>
            <w:tcW w:w="1985" w:type="dxa"/>
            <w:tcBorders>
              <w:top w:val="single" w:color="000000" w:sz="4" w:space="0"/>
              <w:left w:val="single" w:color="000000" w:sz="4" w:space="0"/>
              <w:bottom w:val="single" w:color="000000" w:sz="4" w:space="0"/>
              <w:right w:val="single" w:color="000000" w:sz="4" w:space="0"/>
            </w:tcBorders>
          </w:tcPr>
          <w:p w:rsidR="007F6172" w:rsidP="00055F04" w:rsidRDefault="007F6172" w14:paraId="4BE663EE" w14:textId="77777777">
            <w:pPr>
              <w:widowControl/>
              <w:jc w:val="center"/>
              <w:rPr>
                <w:rFonts w:cs="Arial"/>
                <w:b/>
                <w:color w:val="000000"/>
              </w:rPr>
            </w:pPr>
          </w:p>
          <w:p w:rsidR="007F6172" w:rsidP="00055F04" w:rsidRDefault="007F6172" w14:paraId="60947E25" w14:textId="77777777">
            <w:pPr>
              <w:widowControl/>
              <w:jc w:val="center"/>
              <w:rPr>
                <w:rFonts w:cs="Arial"/>
                <w:b/>
                <w:color w:val="000000"/>
              </w:rPr>
            </w:pPr>
            <w:r>
              <w:rPr>
                <w:rFonts w:cs="Arial"/>
                <w:b/>
                <w:color w:val="000000"/>
              </w:rPr>
              <w:t>Minimum Additional Investment Amount*</w:t>
            </w:r>
          </w:p>
        </w:tc>
        <w:tc>
          <w:tcPr>
            <w:tcW w:w="1275" w:type="dxa"/>
            <w:tcBorders>
              <w:top w:val="single" w:color="000000" w:sz="4" w:space="0"/>
              <w:left w:val="single" w:color="000000" w:sz="4" w:space="0"/>
              <w:bottom w:val="single" w:color="000000" w:sz="4" w:space="0"/>
              <w:right w:val="single" w:color="000000" w:sz="4" w:space="0"/>
            </w:tcBorders>
          </w:tcPr>
          <w:p w:rsidR="007F6172" w:rsidP="00055F04" w:rsidRDefault="007F6172" w14:paraId="3BB845BB" w14:textId="77777777">
            <w:pPr>
              <w:widowControl/>
              <w:jc w:val="center"/>
              <w:rPr>
                <w:rFonts w:cs="Arial"/>
                <w:b/>
                <w:color w:val="000000"/>
              </w:rPr>
            </w:pPr>
          </w:p>
          <w:p w:rsidR="007F6172" w:rsidP="00055F04" w:rsidRDefault="007F6172" w14:paraId="2757ED2E" w14:textId="77777777">
            <w:pPr>
              <w:widowControl/>
              <w:jc w:val="center"/>
              <w:rPr>
                <w:rFonts w:cs="Arial"/>
                <w:b/>
                <w:color w:val="000000"/>
              </w:rPr>
            </w:pPr>
            <w:r>
              <w:rPr>
                <w:rFonts w:cs="Arial"/>
                <w:b/>
                <w:color w:val="000000"/>
              </w:rPr>
              <w:t>Subscription</w:t>
            </w:r>
            <w:r w:rsidRPr="00807474">
              <w:rPr>
                <w:rFonts w:cs="Arial"/>
                <w:b/>
                <w:color w:val="000000"/>
              </w:rPr>
              <w:t xml:space="preserve"> Charge</w:t>
            </w:r>
          </w:p>
          <w:p w:rsidRPr="00807474" w:rsidR="007F6172" w:rsidP="00055F04" w:rsidRDefault="007F6172" w14:paraId="7332B3CE" w14:textId="77777777">
            <w:pPr>
              <w:widowControl/>
              <w:jc w:val="center"/>
              <w:rPr>
                <w:rFonts w:cs="Arial"/>
                <w:b/>
                <w:color w:val="000000"/>
              </w:rPr>
            </w:pPr>
            <w:r w:rsidRPr="00807474">
              <w:rPr>
                <w:rFonts w:cs="Arial"/>
                <w:b/>
                <w:color w:val="000000"/>
              </w:rPr>
              <w:t>(up to)</w:t>
            </w:r>
          </w:p>
        </w:tc>
      </w:tr>
      <w:tr w:rsidRPr="00807474" w:rsidR="007F6172" w:rsidTr="00055F04" w14:paraId="3D84FF05"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807474" w:rsidR="007F6172" w:rsidP="00055F04" w:rsidRDefault="007F6172" w14:paraId="6BE295CF" w14:textId="77777777">
            <w:pPr>
              <w:widowControl/>
              <w:ind w:left="400" w:hanging="200"/>
              <w:jc w:val="both"/>
              <w:rPr>
                <w:rFonts w:cs="Arial"/>
                <w:color w:val="000000"/>
              </w:rPr>
            </w:pPr>
            <w:r w:rsidRPr="00807474">
              <w:rPr>
                <w:rFonts w:cs="Arial"/>
                <w:color w:val="000000"/>
              </w:rPr>
              <w:t>A Class</w:t>
            </w:r>
            <w:r>
              <w:rPr>
                <w:rFonts w:cs="Arial"/>
                <w:color w:val="000000"/>
              </w:rPr>
              <w:t xml:space="preserve"> (GBP)</w:t>
            </w:r>
          </w:p>
        </w:tc>
        <w:tc>
          <w:tcPr>
            <w:tcW w:w="1701" w:type="dxa"/>
            <w:tcBorders>
              <w:top w:val="single" w:color="000000" w:sz="4" w:space="0"/>
              <w:left w:val="single" w:color="000000" w:sz="4" w:space="0"/>
              <w:bottom w:val="single" w:color="000000" w:sz="4" w:space="0"/>
              <w:right w:val="single" w:color="000000" w:sz="4" w:space="0"/>
            </w:tcBorders>
            <w:vAlign w:val="center"/>
          </w:tcPr>
          <w:p w:rsidRPr="00807474" w:rsidR="007F6172" w:rsidP="00055F04" w:rsidRDefault="007F6172" w14:paraId="6E9A0894" w14:textId="306B9964">
            <w:pPr>
              <w:widowControl/>
              <w:ind w:left="400" w:hanging="200"/>
              <w:jc w:val="both"/>
              <w:rPr>
                <w:rFonts w:cs="Arial"/>
                <w:color w:val="000000"/>
              </w:rPr>
            </w:pPr>
            <w:r w:rsidRPr="00807474">
              <w:rPr>
                <w:rFonts w:cs="Arial"/>
                <w:color w:val="000000"/>
              </w:rPr>
              <w:t>£1</w:t>
            </w:r>
            <w:r w:rsidR="00D41CF0">
              <w:rPr>
                <w:rFonts w:cs="Arial"/>
                <w:color w:val="000000"/>
              </w:rPr>
              <w:t>00</w:t>
            </w:r>
            <w:r w:rsidR="00AC2DE6">
              <w:rPr>
                <w:rFonts w:cs="Arial"/>
                <w:color w:val="000000"/>
              </w:rPr>
              <w:t>,</w:t>
            </w:r>
            <w:r w:rsidRPr="00807474">
              <w:rPr>
                <w:rFonts w:cs="Arial"/>
                <w:color w:val="000000"/>
              </w:rPr>
              <w:t>00</w:t>
            </w:r>
            <w:r w:rsidR="00AC2DE6">
              <w:rPr>
                <w:rFonts w:cs="Arial"/>
                <w:color w:val="000000"/>
              </w:rPr>
              <w:t>0</w:t>
            </w:r>
          </w:p>
        </w:tc>
        <w:tc>
          <w:tcPr>
            <w:tcW w:w="2268" w:type="dxa"/>
            <w:tcBorders>
              <w:top w:val="single" w:color="000000" w:sz="4" w:space="0"/>
              <w:left w:val="single" w:color="000000" w:sz="4" w:space="0"/>
              <w:bottom w:val="single" w:color="000000" w:sz="4" w:space="0"/>
              <w:right w:val="single" w:color="000000" w:sz="4" w:space="0"/>
            </w:tcBorders>
            <w:vAlign w:val="center"/>
          </w:tcPr>
          <w:p w:rsidRPr="00807474" w:rsidR="007F6172" w:rsidP="00055F04" w:rsidRDefault="007F6172" w14:paraId="264802A3" w14:textId="2F95571E">
            <w:pPr>
              <w:widowControl/>
              <w:ind w:left="400" w:hanging="200"/>
              <w:jc w:val="both"/>
              <w:rPr>
                <w:rFonts w:cs="Arial"/>
                <w:color w:val="000000"/>
              </w:rPr>
            </w:pPr>
            <w:r w:rsidRPr="00807474">
              <w:rPr>
                <w:rFonts w:cs="Arial"/>
                <w:color w:val="000000"/>
              </w:rPr>
              <w:t>£1</w:t>
            </w:r>
            <w:r w:rsidR="00D41CF0">
              <w:rPr>
                <w:rFonts w:cs="Arial"/>
                <w:color w:val="000000"/>
              </w:rPr>
              <w:t>00</w:t>
            </w:r>
            <w:r w:rsidR="00AC2DE6">
              <w:rPr>
                <w:rFonts w:cs="Arial"/>
                <w:color w:val="000000"/>
              </w:rPr>
              <w:t>,</w:t>
            </w:r>
            <w:r w:rsidRPr="00807474">
              <w:rPr>
                <w:rFonts w:cs="Arial"/>
                <w:color w:val="000000"/>
              </w:rPr>
              <w:t>00</w:t>
            </w:r>
            <w:r w:rsidR="00AC2DE6">
              <w:rPr>
                <w:rFonts w:cs="Arial"/>
                <w:color w:val="000000"/>
              </w:rPr>
              <w:t>0</w:t>
            </w:r>
          </w:p>
        </w:tc>
        <w:tc>
          <w:tcPr>
            <w:tcW w:w="1985" w:type="dxa"/>
            <w:tcBorders>
              <w:top w:val="single" w:color="000000" w:sz="4" w:space="0"/>
              <w:left w:val="single" w:color="000000" w:sz="4" w:space="0"/>
              <w:bottom w:val="single" w:color="000000" w:sz="4" w:space="0"/>
              <w:right w:val="single" w:color="000000" w:sz="4" w:space="0"/>
            </w:tcBorders>
          </w:tcPr>
          <w:p w:rsidRPr="00807474" w:rsidR="007F6172" w:rsidP="00055F04" w:rsidRDefault="007F6172" w14:paraId="3399FE35" w14:textId="0F3BD83E">
            <w:pPr>
              <w:widowControl/>
              <w:ind w:left="400" w:hanging="200"/>
              <w:jc w:val="both"/>
              <w:rPr>
                <w:rFonts w:cs="Arial"/>
                <w:color w:val="000000"/>
              </w:rPr>
            </w:pPr>
            <w:r>
              <w:rPr>
                <w:rFonts w:cs="Arial"/>
                <w:color w:val="000000"/>
              </w:rPr>
              <w:t>£1</w:t>
            </w:r>
            <w:r w:rsidR="00D41CF0">
              <w:rPr>
                <w:rFonts w:cs="Arial"/>
                <w:color w:val="000000"/>
              </w:rPr>
              <w:t>0</w:t>
            </w:r>
            <w:r w:rsidR="00AC2DE6">
              <w:rPr>
                <w:rFonts w:cs="Arial"/>
                <w:color w:val="000000"/>
              </w:rPr>
              <w:t>,000</w:t>
            </w:r>
          </w:p>
        </w:tc>
        <w:tc>
          <w:tcPr>
            <w:tcW w:w="1275" w:type="dxa"/>
            <w:tcBorders>
              <w:top w:val="single" w:color="000000" w:sz="4" w:space="0"/>
              <w:left w:val="single" w:color="000000" w:sz="4" w:space="0"/>
              <w:bottom w:val="single" w:color="000000" w:sz="4" w:space="0"/>
              <w:right w:val="single" w:color="000000" w:sz="4" w:space="0"/>
            </w:tcBorders>
            <w:vAlign w:val="center"/>
          </w:tcPr>
          <w:p w:rsidRPr="00807474" w:rsidR="007F6172" w:rsidP="00055F04" w:rsidRDefault="007F6172" w14:paraId="35BA0CAC" w14:textId="77777777">
            <w:pPr>
              <w:widowControl/>
              <w:ind w:left="400" w:hanging="200"/>
              <w:jc w:val="both"/>
              <w:rPr>
                <w:rFonts w:cs="Arial"/>
                <w:color w:val="000000"/>
              </w:rPr>
            </w:pPr>
            <w:r w:rsidRPr="00807474">
              <w:rPr>
                <w:rFonts w:cs="Arial"/>
                <w:color w:val="000000"/>
              </w:rPr>
              <w:t>1%</w:t>
            </w:r>
          </w:p>
        </w:tc>
      </w:tr>
      <w:tr w:rsidRPr="00807474" w:rsidR="000350DE" w:rsidTr="00055F04" w14:paraId="206F0E8E"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807474" w:rsidR="000350DE" w:rsidP="000350DE" w:rsidRDefault="000350DE" w14:paraId="1EC47B3C" w14:textId="207F5607">
            <w:pPr>
              <w:widowControl/>
              <w:ind w:left="400" w:hanging="200"/>
              <w:jc w:val="both"/>
              <w:rPr>
                <w:rFonts w:cs="Arial"/>
                <w:color w:val="000000"/>
              </w:rPr>
            </w:pPr>
            <w:r w:rsidRPr="00807474">
              <w:rPr>
                <w:rFonts w:cs="Arial"/>
                <w:color w:val="000000"/>
              </w:rPr>
              <w:t>A Class</w:t>
            </w:r>
            <w:r>
              <w:rPr>
                <w:rFonts w:cs="Arial"/>
                <w:color w:val="000000"/>
              </w:rPr>
              <w:t xml:space="preserve"> (EUR)</w:t>
            </w:r>
          </w:p>
        </w:tc>
        <w:tc>
          <w:tcPr>
            <w:tcW w:w="1701" w:type="dxa"/>
            <w:tcBorders>
              <w:top w:val="single" w:color="000000" w:sz="4" w:space="0"/>
              <w:left w:val="single" w:color="000000" w:sz="4" w:space="0"/>
              <w:bottom w:val="single" w:color="000000" w:sz="4" w:space="0"/>
              <w:right w:val="single" w:color="000000" w:sz="4" w:space="0"/>
            </w:tcBorders>
            <w:vAlign w:val="center"/>
          </w:tcPr>
          <w:p w:rsidRPr="00807474" w:rsidR="000350DE" w:rsidP="000350DE" w:rsidRDefault="000350DE" w14:paraId="72B86A63" w14:textId="51BC3D98">
            <w:pPr>
              <w:widowControl/>
              <w:ind w:left="400" w:hanging="200"/>
              <w:jc w:val="both"/>
              <w:rPr>
                <w:rFonts w:cs="Arial"/>
                <w:color w:val="000000"/>
              </w:rPr>
            </w:pPr>
            <w:r>
              <w:rPr>
                <w:rFonts w:cs="Arial"/>
                <w:color w:val="000000"/>
              </w:rPr>
              <w:t>€</w:t>
            </w:r>
            <w:r w:rsidRPr="00807474">
              <w:rPr>
                <w:rFonts w:cs="Arial"/>
                <w:color w:val="000000"/>
              </w:rPr>
              <w:t>1</w:t>
            </w:r>
            <w:r>
              <w:rPr>
                <w:rFonts w:cs="Arial"/>
                <w:color w:val="000000"/>
              </w:rPr>
              <w:t>00,</w:t>
            </w:r>
            <w:r w:rsidRPr="00807474">
              <w:rPr>
                <w:rFonts w:cs="Arial"/>
                <w:color w:val="000000"/>
              </w:rPr>
              <w:t>00</w:t>
            </w:r>
            <w:r>
              <w:rPr>
                <w:rFonts w:cs="Arial"/>
                <w:color w:val="000000"/>
              </w:rPr>
              <w:t>0</w:t>
            </w:r>
          </w:p>
        </w:tc>
        <w:tc>
          <w:tcPr>
            <w:tcW w:w="2268" w:type="dxa"/>
            <w:tcBorders>
              <w:top w:val="single" w:color="000000" w:sz="4" w:space="0"/>
              <w:left w:val="single" w:color="000000" w:sz="4" w:space="0"/>
              <w:bottom w:val="single" w:color="000000" w:sz="4" w:space="0"/>
              <w:right w:val="single" w:color="000000" w:sz="4" w:space="0"/>
            </w:tcBorders>
            <w:vAlign w:val="center"/>
          </w:tcPr>
          <w:p w:rsidRPr="00807474" w:rsidR="000350DE" w:rsidP="000350DE" w:rsidRDefault="000350DE" w14:paraId="27D63DA5" w14:textId="45255839">
            <w:pPr>
              <w:widowControl/>
              <w:ind w:left="400" w:hanging="200"/>
              <w:jc w:val="both"/>
              <w:rPr>
                <w:rFonts w:cs="Arial"/>
                <w:color w:val="000000"/>
              </w:rPr>
            </w:pPr>
            <w:r>
              <w:rPr>
                <w:rFonts w:cs="Arial"/>
                <w:color w:val="000000"/>
              </w:rPr>
              <w:t>€</w:t>
            </w:r>
            <w:r w:rsidRPr="00807474">
              <w:rPr>
                <w:rFonts w:cs="Arial"/>
                <w:color w:val="000000"/>
              </w:rPr>
              <w:t>1</w:t>
            </w:r>
            <w:r>
              <w:rPr>
                <w:rFonts w:cs="Arial"/>
                <w:color w:val="000000"/>
              </w:rPr>
              <w:t>00,</w:t>
            </w:r>
            <w:r w:rsidRPr="00807474">
              <w:rPr>
                <w:rFonts w:cs="Arial"/>
                <w:color w:val="000000"/>
              </w:rPr>
              <w:t>00</w:t>
            </w:r>
            <w:r>
              <w:rPr>
                <w:rFonts w:cs="Arial"/>
                <w:color w:val="000000"/>
              </w:rPr>
              <w:t>0</w:t>
            </w:r>
          </w:p>
        </w:tc>
        <w:tc>
          <w:tcPr>
            <w:tcW w:w="1985" w:type="dxa"/>
            <w:tcBorders>
              <w:top w:val="single" w:color="000000" w:sz="4" w:space="0"/>
              <w:left w:val="single" w:color="000000" w:sz="4" w:space="0"/>
              <w:bottom w:val="single" w:color="000000" w:sz="4" w:space="0"/>
              <w:right w:val="single" w:color="000000" w:sz="4" w:space="0"/>
            </w:tcBorders>
          </w:tcPr>
          <w:p w:rsidR="000350DE" w:rsidP="000350DE" w:rsidRDefault="000350DE" w14:paraId="6107A926" w14:textId="20D01224">
            <w:pPr>
              <w:widowControl/>
              <w:ind w:left="400" w:hanging="200"/>
              <w:jc w:val="both"/>
              <w:rPr>
                <w:rFonts w:cs="Arial"/>
                <w:color w:val="000000"/>
              </w:rPr>
            </w:pPr>
            <w:r>
              <w:rPr>
                <w:rFonts w:cs="Arial"/>
                <w:color w:val="000000"/>
              </w:rPr>
              <w:t>€10,000</w:t>
            </w:r>
          </w:p>
        </w:tc>
        <w:tc>
          <w:tcPr>
            <w:tcW w:w="1275" w:type="dxa"/>
            <w:tcBorders>
              <w:top w:val="single" w:color="000000" w:sz="4" w:space="0"/>
              <w:left w:val="single" w:color="000000" w:sz="4" w:space="0"/>
              <w:bottom w:val="single" w:color="000000" w:sz="4" w:space="0"/>
              <w:right w:val="single" w:color="000000" w:sz="4" w:space="0"/>
            </w:tcBorders>
            <w:vAlign w:val="center"/>
          </w:tcPr>
          <w:p w:rsidRPr="00807474" w:rsidR="000350DE" w:rsidP="000350DE" w:rsidRDefault="000350DE" w14:paraId="7DF0F835" w14:textId="7471EDEA">
            <w:pPr>
              <w:widowControl/>
              <w:ind w:left="400" w:hanging="200"/>
              <w:jc w:val="both"/>
              <w:rPr>
                <w:rFonts w:cs="Arial"/>
                <w:color w:val="000000"/>
              </w:rPr>
            </w:pPr>
            <w:r w:rsidRPr="00807474">
              <w:rPr>
                <w:rFonts w:cs="Arial"/>
                <w:color w:val="000000"/>
              </w:rPr>
              <w:t>1%</w:t>
            </w:r>
          </w:p>
        </w:tc>
      </w:tr>
      <w:tr w:rsidRPr="00807474" w:rsidR="000350DE" w:rsidTr="00055F04" w14:paraId="4871C5BF"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807474" w:rsidR="000350DE" w:rsidP="000350DE" w:rsidRDefault="000350DE" w14:paraId="2E0C5228" w14:textId="129B1C16">
            <w:pPr>
              <w:widowControl/>
              <w:ind w:left="400" w:hanging="200"/>
              <w:jc w:val="both"/>
              <w:rPr>
                <w:rFonts w:cs="Arial"/>
                <w:color w:val="000000"/>
              </w:rPr>
            </w:pPr>
            <w:r w:rsidRPr="00807474">
              <w:rPr>
                <w:rFonts w:cs="Arial"/>
                <w:color w:val="000000"/>
              </w:rPr>
              <w:t>A Class</w:t>
            </w:r>
            <w:r>
              <w:rPr>
                <w:rFonts w:cs="Arial"/>
                <w:color w:val="000000"/>
              </w:rPr>
              <w:t xml:space="preserve"> (USD)</w:t>
            </w:r>
          </w:p>
        </w:tc>
        <w:tc>
          <w:tcPr>
            <w:tcW w:w="1701" w:type="dxa"/>
            <w:tcBorders>
              <w:top w:val="single" w:color="000000" w:sz="4" w:space="0"/>
              <w:left w:val="single" w:color="000000" w:sz="4" w:space="0"/>
              <w:bottom w:val="single" w:color="000000" w:sz="4" w:space="0"/>
              <w:right w:val="single" w:color="000000" w:sz="4" w:space="0"/>
            </w:tcBorders>
            <w:vAlign w:val="center"/>
          </w:tcPr>
          <w:p w:rsidRPr="00807474" w:rsidR="000350DE" w:rsidP="000350DE" w:rsidRDefault="000350DE" w14:paraId="29B89DCD" w14:textId="5A36B336">
            <w:pPr>
              <w:widowControl/>
              <w:ind w:left="400" w:hanging="200"/>
              <w:jc w:val="both"/>
              <w:rPr>
                <w:rFonts w:cs="Arial"/>
                <w:color w:val="000000"/>
              </w:rPr>
            </w:pPr>
            <w:r w:rsidRPr="00807474">
              <w:rPr>
                <w:rFonts w:cs="Arial"/>
                <w:color w:val="000000"/>
              </w:rPr>
              <w:t>$1</w:t>
            </w:r>
            <w:r>
              <w:rPr>
                <w:rFonts w:cs="Arial"/>
                <w:color w:val="000000"/>
              </w:rPr>
              <w:t>00,</w:t>
            </w:r>
            <w:r w:rsidRPr="00807474">
              <w:rPr>
                <w:rFonts w:cs="Arial"/>
                <w:color w:val="000000"/>
              </w:rPr>
              <w:t>00</w:t>
            </w:r>
            <w:r>
              <w:rPr>
                <w:rFonts w:cs="Arial"/>
                <w:color w:val="000000"/>
              </w:rPr>
              <w:t>0</w:t>
            </w:r>
          </w:p>
        </w:tc>
        <w:tc>
          <w:tcPr>
            <w:tcW w:w="2268" w:type="dxa"/>
            <w:tcBorders>
              <w:top w:val="single" w:color="000000" w:sz="4" w:space="0"/>
              <w:left w:val="single" w:color="000000" w:sz="4" w:space="0"/>
              <w:bottom w:val="single" w:color="000000" w:sz="4" w:space="0"/>
              <w:right w:val="single" w:color="000000" w:sz="4" w:space="0"/>
            </w:tcBorders>
            <w:vAlign w:val="center"/>
          </w:tcPr>
          <w:p w:rsidRPr="00807474" w:rsidR="000350DE" w:rsidP="000350DE" w:rsidRDefault="000350DE" w14:paraId="2A8A9013" w14:textId="559E83E0">
            <w:pPr>
              <w:widowControl/>
              <w:ind w:left="400" w:hanging="200"/>
              <w:jc w:val="both"/>
              <w:rPr>
                <w:rFonts w:cs="Arial"/>
                <w:color w:val="000000"/>
              </w:rPr>
            </w:pPr>
            <w:r w:rsidRPr="00807474">
              <w:rPr>
                <w:rFonts w:cs="Arial"/>
                <w:color w:val="000000"/>
              </w:rPr>
              <w:t>$1</w:t>
            </w:r>
            <w:r>
              <w:rPr>
                <w:rFonts w:cs="Arial"/>
                <w:color w:val="000000"/>
              </w:rPr>
              <w:t>00,</w:t>
            </w:r>
            <w:r w:rsidRPr="00807474">
              <w:rPr>
                <w:rFonts w:cs="Arial"/>
                <w:color w:val="000000"/>
              </w:rPr>
              <w:t>00</w:t>
            </w:r>
            <w:r>
              <w:rPr>
                <w:rFonts w:cs="Arial"/>
                <w:color w:val="000000"/>
              </w:rPr>
              <w:t>0</w:t>
            </w:r>
          </w:p>
        </w:tc>
        <w:tc>
          <w:tcPr>
            <w:tcW w:w="1985" w:type="dxa"/>
            <w:tcBorders>
              <w:top w:val="single" w:color="000000" w:sz="4" w:space="0"/>
              <w:left w:val="single" w:color="000000" w:sz="4" w:space="0"/>
              <w:bottom w:val="single" w:color="000000" w:sz="4" w:space="0"/>
              <w:right w:val="single" w:color="000000" w:sz="4" w:space="0"/>
            </w:tcBorders>
          </w:tcPr>
          <w:p w:rsidR="000350DE" w:rsidP="000350DE" w:rsidRDefault="000350DE" w14:paraId="20C5F123" w14:textId="5F0DA679">
            <w:pPr>
              <w:widowControl/>
              <w:ind w:left="400" w:hanging="200"/>
              <w:jc w:val="both"/>
              <w:rPr>
                <w:rFonts w:cs="Arial"/>
                <w:color w:val="000000"/>
              </w:rPr>
            </w:pPr>
            <w:r w:rsidRPr="00807474">
              <w:rPr>
                <w:rFonts w:cs="Arial"/>
                <w:color w:val="000000"/>
              </w:rPr>
              <w:t>$</w:t>
            </w:r>
            <w:r>
              <w:rPr>
                <w:rFonts w:cs="Arial"/>
                <w:color w:val="000000"/>
              </w:rPr>
              <w:t>10,000</w:t>
            </w:r>
          </w:p>
        </w:tc>
        <w:tc>
          <w:tcPr>
            <w:tcW w:w="1275" w:type="dxa"/>
            <w:tcBorders>
              <w:top w:val="single" w:color="000000" w:sz="4" w:space="0"/>
              <w:left w:val="single" w:color="000000" w:sz="4" w:space="0"/>
              <w:bottom w:val="single" w:color="000000" w:sz="4" w:space="0"/>
              <w:right w:val="single" w:color="000000" w:sz="4" w:space="0"/>
            </w:tcBorders>
            <w:vAlign w:val="center"/>
          </w:tcPr>
          <w:p w:rsidRPr="00807474" w:rsidR="000350DE" w:rsidP="000350DE" w:rsidRDefault="000350DE" w14:paraId="64C08316" w14:textId="13AA7D8F">
            <w:pPr>
              <w:widowControl/>
              <w:ind w:left="400" w:hanging="200"/>
              <w:jc w:val="both"/>
              <w:rPr>
                <w:rFonts w:cs="Arial"/>
                <w:color w:val="000000"/>
              </w:rPr>
            </w:pPr>
            <w:r w:rsidRPr="00807474">
              <w:rPr>
                <w:rFonts w:cs="Arial"/>
                <w:color w:val="000000"/>
              </w:rPr>
              <w:t>1%</w:t>
            </w:r>
          </w:p>
        </w:tc>
      </w:tr>
      <w:tr w:rsidRPr="00807474" w:rsidR="000350DE" w:rsidTr="00055F04" w14:paraId="0A082AE7"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Pr="00807474" w:rsidR="000350DE" w:rsidP="000350DE" w:rsidRDefault="000350DE" w14:paraId="28F290D6" w14:textId="72E9AFED">
            <w:pPr>
              <w:widowControl/>
              <w:ind w:left="400" w:hanging="200"/>
              <w:jc w:val="both"/>
              <w:rPr>
                <w:rFonts w:cs="Arial"/>
                <w:color w:val="000000"/>
              </w:rPr>
            </w:pPr>
            <w:r>
              <w:rPr>
                <w:rFonts w:cs="Arial"/>
                <w:color w:val="000000"/>
              </w:rPr>
              <w:t>M Class (GBP)</w:t>
            </w:r>
          </w:p>
        </w:tc>
        <w:tc>
          <w:tcPr>
            <w:tcW w:w="1701" w:type="dxa"/>
            <w:tcBorders>
              <w:top w:val="single" w:color="000000" w:sz="4" w:space="0"/>
              <w:left w:val="single" w:color="000000" w:sz="4" w:space="0"/>
              <w:bottom w:val="single" w:color="000000" w:sz="4" w:space="0"/>
              <w:right w:val="single" w:color="000000" w:sz="4" w:space="0"/>
            </w:tcBorders>
            <w:vAlign w:val="center"/>
          </w:tcPr>
          <w:p w:rsidRPr="00807474" w:rsidR="000350DE" w:rsidP="000350DE" w:rsidRDefault="000350DE" w14:paraId="7CAB318A" w14:textId="75424DD3">
            <w:pPr>
              <w:widowControl/>
              <w:ind w:left="400" w:hanging="200"/>
              <w:jc w:val="both"/>
              <w:rPr>
                <w:rFonts w:cs="Arial"/>
                <w:color w:val="000000"/>
              </w:rPr>
            </w:pPr>
            <w:r>
              <w:rPr>
                <w:rFonts w:cs="Arial"/>
                <w:color w:val="000000"/>
              </w:rPr>
              <w:t>£1,000</w:t>
            </w:r>
          </w:p>
        </w:tc>
        <w:tc>
          <w:tcPr>
            <w:tcW w:w="2268" w:type="dxa"/>
            <w:tcBorders>
              <w:top w:val="single" w:color="000000" w:sz="4" w:space="0"/>
              <w:left w:val="single" w:color="000000" w:sz="4" w:space="0"/>
              <w:bottom w:val="single" w:color="000000" w:sz="4" w:space="0"/>
              <w:right w:val="single" w:color="000000" w:sz="4" w:space="0"/>
            </w:tcBorders>
            <w:vAlign w:val="center"/>
          </w:tcPr>
          <w:p w:rsidRPr="00807474" w:rsidR="000350DE" w:rsidP="000350DE" w:rsidRDefault="000350DE" w14:paraId="4E986621" w14:textId="1CDAD065">
            <w:pPr>
              <w:widowControl/>
              <w:ind w:left="400" w:hanging="200"/>
              <w:jc w:val="both"/>
              <w:rPr>
                <w:rFonts w:cs="Arial"/>
                <w:color w:val="000000"/>
              </w:rPr>
            </w:pPr>
            <w:r>
              <w:rPr>
                <w:rFonts w:cs="Arial"/>
                <w:color w:val="000000"/>
              </w:rPr>
              <w:t>£1,000</w:t>
            </w:r>
          </w:p>
        </w:tc>
        <w:tc>
          <w:tcPr>
            <w:tcW w:w="1985" w:type="dxa"/>
            <w:tcBorders>
              <w:top w:val="single" w:color="000000" w:sz="4" w:space="0"/>
              <w:left w:val="single" w:color="000000" w:sz="4" w:space="0"/>
              <w:bottom w:val="single" w:color="000000" w:sz="4" w:space="0"/>
              <w:right w:val="single" w:color="000000" w:sz="4" w:space="0"/>
            </w:tcBorders>
          </w:tcPr>
          <w:p w:rsidR="000350DE" w:rsidP="000350DE" w:rsidRDefault="000350DE" w14:paraId="4792E883" w14:textId="589B09A0">
            <w:pPr>
              <w:widowControl/>
              <w:ind w:left="400" w:hanging="200"/>
              <w:jc w:val="both"/>
              <w:rPr>
                <w:rFonts w:cs="Arial"/>
                <w:color w:val="000000"/>
              </w:rPr>
            </w:pPr>
            <w:r>
              <w:rPr>
                <w:rFonts w:cs="Arial"/>
                <w:color w:val="000000"/>
              </w:rPr>
              <w:t>£1,000</w:t>
            </w:r>
          </w:p>
        </w:tc>
        <w:tc>
          <w:tcPr>
            <w:tcW w:w="1275" w:type="dxa"/>
            <w:tcBorders>
              <w:top w:val="single" w:color="000000" w:sz="4" w:space="0"/>
              <w:left w:val="single" w:color="000000" w:sz="4" w:space="0"/>
              <w:bottom w:val="single" w:color="000000" w:sz="4" w:space="0"/>
              <w:right w:val="single" w:color="000000" w:sz="4" w:space="0"/>
            </w:tcBorders>
            <w:vAlign w:val="center"/>
          </w:tcPr>
          <w:p w:rsidRPr="00807474" w:rsidR="000350DE" w:rsidP="000350DE" w:rsidRDefault="000350DE" w14:paraId="69EED256" w14:textId="147984B5">
            <w:pPr>
              <w:widowControl/>
              <w:ind w:left="400" w:hanging="200"/>
              <w:jc w:val="both"/>
              <w:rPr>
                <w:rFonts w:cs="Arial"/>
                <w:color w:val="000000"/>
              </w:rPr>
            </w:pPr>
            <w:r>
              <w:rPr>
                <w:rFonts w:cs="Arial"/>
                <w:color w:val="000000"/>
              </w:rPr>
              <w:t>1%</w:t>
            </w:r>
          </w:p>
        </w:tc>
      </w:tr>
      <w:tr w:rsidRPr="00807474" w:rsidR="004F42AF" w:rsidTr="00055F04" w14:paraId="5BF2060D"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004F42AF" w:rsidP="000350DE" w:rsidRDefault="004F42AF" w14:paraId="5F29DAAA" w14:textId="070D0B90">
            <w:pPr>
              <w:widowControl/>
              <w:ind w:left="400" w:hanging="200"/>
              <w:jc w:val="both"/>
              <w:rPr>
                <w:rFonts w:cs="Arial"/>
                <w:color w:val="000000"/>
              </w:rPr>
            </w:pPr>
            <w:r>
              <w:rPr>
                <w:rFonts w:cs="Arial"/>
                <w:color w:val="000000"/>
              </w:rPr>
              <w:t>M Class (USD)</w:t>
            </w:r>
          </w:p>
        </w:tc>
        <w:tc>
          <w:tcPr>
            <w:tcW w:w="1701" w:type="dxa"/>
            <w:tcBorders>
              <w:top w:val="single" w:color="000000" w:sz="4" w:space="0"/>
              <w:left w:val="single" w:color="000000" w:sz="4" w:space="0"/>
              <w:bottom w:val="single" w:color="000000" w:sz="4" w:space="0"/>
              <w:right w:val="single" w:color="000000" w:sz="4" w:space="0"/>
            </w:tcBorders>
            <w:vAlign w:val="center"/>
          </w:tcPr>
          <w:p w:rsidR="004F42AF" w:rsidP="000350DE" w:rsidRDefault="004F42AF" w14:paraId="63B6A703" w14:textId="787B6315">
            <w:pPr>
              <w:widowControl/>
              <w:ind w:left="400" w:hanging="200"/>
              <w:jc w:val="both"/>
              <w:rPr>
                <w:rFonts w:cs="Arial"/>
                <w:color w:val="000000"/>
              </w:rPr>
            </w:pPr>
            <w:r w:rsidRPr="00807474">
              <w:rPr>
                <w:rFonts w:cs="Arial"/>
                <w:color w:val="000000"/>
              </w:rPr>
              <w:t>$</w:t>
            </w:r>
            <w:r>
              <w:rPr>
                <w:rFonts w:cs="Arial"/>
                <w:color w:val="000000"/>
              </w:rPr>
              <w:t>1,000</w:t>
            </w:r>
          </w:p>
        </w:tc>
        <w:tc>
          <w:tcPr>
            <w:tcW w:w="2268" w:type="dxa"/>
            <w:tcBorders>
              <w:top w:val="single" w:color="000000" w:sz="4" w:space="0"/>
              <w:left w:val="single" w:color="000000" w:sz="4" w:space="0"/>
              <w:bottom w:val="single" w:color="000000" w:sz="4" w:space="0"/>
              <w:right w:val="single" w:color="000000" w:sz="4" w:space="0"/>
            </w:tcBorders>
            <w:vAlign w:val="center"/>
          </w:tcPr>
          <w:p w:rsidR="004F42AF" w:rsidP="000350DE" w:rsidRDefault="004F42AF" w14:paraId="71321692" w14:textId="04F297F5">
            <w:pPr>
              <w:widowControl/>
              <w:ind w:left="400" w:hanging="200"/>
              <w:jc w:val="both"/>
              <w:rPr>
                <w:rFonts w:cs="Arial"/>
                <w:color w:val="000000"/>
              </w:rPr>
            </w:pPr>
            <w:r w:rsidRPr="00807474">
              <w:rPr>
                <w:rFonts w:cs="Arial"/>
                <w:color w:val="000000"/>
              </w:rPr>
              <w:t>$</w:t>
            </w:r>
            <w:r>
              <w:rPr>
                <w:rFonts w:cs="Arial"/>
                <w:color w:val="000000"/>
              </w:rPr>
              <w:t>1,000</w:t>
            </w:r>
          </w:p>
        </w:tc>
        <w:tc>
          <w:tcPr>
            <w:tcW w:w="1985" w:type="dxa"/>
            <w:tcBorders>
              <w:top w:val="single" w:color="000000" w:sz="4" w:space="0"/>
              <w:left w:val="single" w:color="000000" w:sz="4" w:space="0"/>
              <w:bottom w:val="single" w:color="000000" w:sz="4" w:space="0"/>
              <w:right w:val="single" w:color="000000" w:sz="4" w:space="0"/>
            </w:tcBorders>
          </w:tcPr>
          <w:p w:rsidR="004F42AF" w:rsidP="000350DE" w:rsidRDefault="004F42AF" w14:paraId="2998E23D" w14:textId="1999E52E">
            <w:pPr>
              <w:widowControl/>
              <w:ind w:left="400" w:hanging="200"/>
              <w:jc w:val="both"/>
              <w:rPr>
                <w:rFonts w:cs="Arial"/>
                <w:color w:val="000000"/>
              </w:rPr>
            </w:pPr>
            <w:r w:rsidRPr="00807474">
              <w:rPr>
                <w:rFonts w:cs="Arial"/>
                <w:color w:val="000000"/>
              </w:rPr>
              <w:t>$</w:t>
            </w:r>
            <w:r>
              <w:rPr>
                <w:rFonts w:cs="Arial"/>
                <w:color w:val="000000"/>
              </w:rPr>
              <w:t>1,000</w:t>
            </w:r>
          </w:p>
        </w:tc>
        <w:tc>
          <w:tcPr>
            <w:tcW w:w="1275" w:type="dxa"/>
            <w:tcBorders>
              <w:top w:val="single" w:color="000000" w:sz="4" w:space="0"/>
              <w:left w:val="single" w:color="000000" w:sz="4" w:space="0"/>
              <w:bottom w:val="single" w:color="000000" w:sz="4" w:space="0"/>
              <w:right w:val="single" w:color="000000" w:sz="4" w:space="0"/>
            </w:tcBorders>
            <w:vAlign w:val="center"/>
          </w:tcPr>
          <w:p w:rsidR="004F42AF" w:rsidP="000350DE" w:rsidRDefault="004F42AF" w14:paraId="692C1A18" w14:textId="7009412E">
            <w:pPr>
              <w:widowControl/>
              <w:ind w:left="400" w:hanging="200"/>
              <w:jc w:val="both"/>
              <w:rPr>
                <w:rFonts w:cs="Arial"/>
                <w:color w:val="000000"/>
              </w:rPr>
            </w:pPr>
            <w:r>
              <w:rPr>
                <w:rFonts w:cs="Arial"/>
                <w:color w:val="000000"/>
              </w:rPr>
              <w:t>1%</w:t>
            </w:r>
          </w:p>
        </w:tc>
      </w:tr>
      <w:tr w:rsidRPr="00807474" w:rsidR="004F42AF" w:rsidTr="00055F04" w14:paraId="39F65904" w14:textId="77777777">
        <w:trPr>
          <w:cantSplit/>
        </w:trPr>
        <w:tc>
          <w:tcPr>
            <w:tcW w:w="1848" w:type="dxa"/>
            <w:tcBorders>
              <w:top w:val="single" w:color="000000" w:sz="4" w:space="0"/>
              <w:left w:val="single" w:color="000000" w:sz="4" w:space="0"/>
              <w:bottom w:val="single" w:color="000000" w:sz="4" w:space="0"/>
              <w:right w:val="single" w:color="000000" w:sz="4" w:space="0"/>
            </w:tcBorders>
            <w:vAlign w:val="center"/>
          </w:tcPr>
          <w:p w:rsidR="004F42AF" w:rsidP="000350DE" w:rsidRDefault="004F42AF" w14:paraId="6EDEF9CF" w14:textId="7A0A8DC2">
            <w:pPr>
              <w:widowControl/>
              <w:ind w:left="400" w:hanging="200"/>
              <w:jc w:val="both"/>
              <w:rPr>
                <w:rFonts w:cs="Arial"/>
                <w:color w:val="000000"/>
              </w:rPr>
            </w:pPr>
            <w:r>
              <w:rPr>
                <w:rFonts w:cs="Arial"/>
                <w:color w:val="000000"/>
              </w:rPr>
              <w:t>M Class (EUR)</w:t>
            </w:r>
          </w:p>
        </w:tc>
        <w:tc>
          <w:tcPr>
            <w:tcW w:w="1701" w:type="dxa"/>
            <w:tcBorders>
              <w:top w:val="single" w:color="000000" w:sz="4" w:space="0"/>
              <w:left w:val="single" w:color="000000" w:sz="4" w:space="0"/>
              <w:bottom w:val="single" w:color="000000" w:sz="4" w:space="0"/>
              <w:right w:val="single" w:color="000000" w:sz="4" w:space="0"/>
            </w:tcBorders>
            <w:vAlign w:val="center"/>
          </w:tcPr>
          <w:p w:rsidR="004F42AF" w:rsidP="000350DE" w:rsidRDefault="004F42AF" w14:paraId="7B227946" w14:textId="395012D1">
            <w:pPr>
              <w:widowControl/>
              <w:ind w:left="400" w:hanging="200"/>
              <w:jc w:val="both"/>
              <w:rPr>
                <w:rFonts w:cs="Arial"/>
                <w:color w:val="000000"/>
              </w:rPr>
            </w:pPr>
            <w:r w:rsidRPr="00807474">
              <w:rPr>
                <w:rFonts w:cs="Arial"/>
                <w:color w:val="000000"/>
              </w:rPr>
              <w:t>€</w:t>
            </w:r>
            <w:r>
              <w:rPr>
                <w:rFonts w:cs="Arial"/>
                <w:color w:val="000000"/>
              </w:rPr>
              <w:t>1,000</w:t>
            </w:r>
          </w:p>
        </w:tc>
        <w:tc>
          <w:tcPr>
            <w:tcW w:w="2268" w:type="dxa"/>
            <w:tcBorders>
              <w:top w:val="single" w:color="000000" w:sz="4" w:space="0"/>
              <w:left w:val="single" w:color="000000" w:sz="4" w:space="0"/>
              <w:bottom w:val="single" w:color="000000" w:sz="4" w:space="0"/>
              <w:right w:val="single" w:color="000000" w:sz="4" w:space="0"/>
            </w:tcBorders>
            <w:vAlign w:val="center"/>
          </w:tcPr>
          <w:p w:rsidR="004F42AF" w:rsidP="000350DE" w:rsidRDefault="004F42AF" w14:paraId="74937507" w14:textId="38B18B04">
            <w:pPr>
              <w:widowControl/>
              <w:ind w:left="400" w:hanging="200"/>
              <w:jc w:val="both"/>
              <w:rPr>
                <w:rFonts w:cs="Arial"/>
                <w:color w:val="000000"/>
              </w:rPr>
            </w:pPr>
            <w:r w:rsidRPr="00807474">
              <w:rPr>
                <w:rFonts w:cs="Arial"/>
                <w:color w:val="000000"/>
              </w:rPr>
              <w:t>€</w:t>
            </w:r>
            <w:r>
              <w:rPr>
                <w:rFonts w:cs="Arial"/>
                <w:color w:val="000000"/>
              </w:rPr>
              <w:t>1,000</w:t>
            </w:r>
          </w:p>
        </w:tc>
        <w:tc>
          <w:tcPr>
            <w:tcW w:w="1985" w:type="dxa"/>
            <w:tcBorders>
              <w:top w:val="single" w:color="000000" w:sz="4" w:space="0"/>
              <w:left w:val="single" w:color="000000" w:sz="4" w:space="0"/>
              <w:bottom w:val="single" w:color="000000" w:sz="4" w:space="0"/>
              <w:right w:val="single" w:color="000000" w:sz="4" w:space="0"/>
            </w:tcBorders>
          </w:tcPr>
          <w:p w:rsidR="004F42AF" w:rsidP="000350DE" w:rsidRDefault="004F42AF" w14:paraId="57FD7E75" w14:textId="56E0C7B3">
            <w:pPr>
              <w:widowControl/>
              <w:ind w:left="400" w:hanging="200"/>
              <w:jc w:val="both"/>
              <w:rPr>
                <w:rFonts w:cs="Arial"/>
                <w:color w:val="000000"/>
              </w:rPr>
            </w:pPr>
            <w:r w:rsidRPr="00807474">
              <w:rPr>
                <w:rFonts w:cs="Arial"/>
                <w:color w:val="000000"/>
              </w:rPr>
              <w:t>€</w:t>
            </w:r>
            <w:r>
              <w:rPr>
                <w:rFonts w:cs="Arial"/>
                <w:color w:val="000000"/>
              </w:rPr>
              <w:t>1,000</w:t>
            </w:r>
          </w:p>
        </w:tc>
        <w:tc>
          <w:tcPr>
            <w:tcW w:w="1275" w:type="dxa"/>
            <w:tcBorders>
              <w:top w:val="single" w:color="000000" w:sz="4" w:space="0"/>
              <w:left w:val="single" w:color="000000" w:sz="4" w:space="0"/>
              <w:bottom w:val="single" w:color="000000" w:sz="4" w:space="0"/>
              <w:right w:val="single" w:color="000000" w:sz="4" w:space="0"/>
            </w:tcBorders>
            <w:vAlign w:val="center"/>
          </w:tcPr>
          <w:p w:rsidR="004F42AF" w:rsidP="000350DE" w:rsidRDefault="004F42AF" w14:paraId="32E94484" w14:textId="7E86D151">
            <w:pPr>
              <w:widowControl/>
              <w:ind w:left="400" w:hanging="200"/>
              <w:jc w:val="both"/>
              <w:rPr>
                <w:rFonts w:cs="Arial"/>
                <w:color w:val="000000"/>
              </w:rPr>
            </w:pPr>
            <w:r>
              <w:rPr>
                <w:rFonts w:cs="Arial"/>
                <w:color w:val="000000"/>
              </w:rPr>
              <w:t>1%</w:t>
            </w:r>
          </w:p>
        </w:tc>
      </w:tr>
    </w:tbl>
    <w:p w:rsidR="007F6172" w:rsidP="007F6172" w:rsidRDefault="007F6172" w14:paraId="5C8D1470" w14:textId="77777777">
      <w:pPr>
        <w:rPr>
          <w:rFonts w:eastAsia="MS Mincho"/>
        </w:rPr>
      </w:pPr>
    </w:p>
    <w:p w:rsidR="007F6172" w:rsidP="007F6172" w:rsidRDefault="007F6172" w14:paraId="2B55F9DC" w14:textId="77777777">
      <w:pPr>
        <w:rPr>
          <w:rFonts w:eastAsia="MS Mincho"/>
        </w:rPr>
      </w:pPr>
    </w:p>
    <w:p w:rsidR="007F6172" w:rsidP="007F6172" w:rsidRDefault="007F6172" w14:paraId="1C5F395A" w14:textId="77777777">
      <w:pPr>
        <w:rPr>
          <w:rFonts w:eastAsia="MS Mincho"/>
        </w:rPr>
      </w:pPr>
    </w:p>
    <w:p w:rsidRPr="00807474" w:rsidR="007F6172" w:rsidP="00480E54" w:rsidRDefault="007F6172" w14:paraId="3C486ABA" w14:textId="77777777">
      <w:pPr>
        <w:pStyle w:val="L1Para"/>
        <w:spacing w:before="240"/>
        <w:jc w:val="both"/>
        <w:rPr>
          <w:rFonts w:eastAsia="MS Mincho" w:cs="Arial"/>
        </w:rPr>
      </w:pPr>
      <w:r>
        <w:rPr>
          <w:rFonts w:eastAsia="MS Mincho" w:cs="Arial"/>
        </w:rPr>
        <w:t>*</w:t>
      </w:r>
      <w:r w:rsidRPr="00807474">
        <w:rPr>
          <w:rFonts w:eastAsia="MS Mincho" w:cs="Arial"/>
        </w:rPr>
        <w:t>The Directors</w:t>
      </w:r>
      <w:r>
        <w:rPr>
          <w:rFonts w:eastAsia="MS Mincho" w:cs="Arial"/>
        </w:rPr>
        <w:t xml:space="preserve"> or their delegates including the Investment Manager</w:t>
      </w:r>
      <w:r w:rsidRPr="00807474">
        <w:rPr>
          <w:rFonts w:eastAsia="MS Mincho" w:cs="Arial"/>
        </w:rPr>
        <w:t xml:space="preserve"> reserve the right to differentiate between Shareholders and to waive or reduce the Minimum Shareholding, Minimum Initial Investment Amount</w:t>
      </w:r>
      <w:r>
        <w:rPr>
          <w:rFonts w:eastAsia="MS Mincho" w:cs="Arial"/>
        </w:rPr>
        <w:t xml:space="preserve"> and </w:t>
      </w:r>
      <w:r w:rsidRPr="00807474">
        <w:rPr>
          <w:rFonts w:eastAsia="MS Mincho" w:cs="Arial"/>
        </w:rPr>
        <w:t>Minimum Additional Investment Amount</w:t>
      </w:r>
      <w:r>
        <w:rPr>
          <w:rFonts w:eastAsia="MS Mincho" w:cs="Arial"/>
        </w:rPr>
        <w:t xml:space="preserve"> </w:t>
      </w:r>
      <w:r w:rsidRPr="00807474">
        <w:rPr>
          <w:rFonts w:eastAsia="MS Mincho" w:cs="Arial"/>
        </w:rPr>
        <w:t>for any such Shareholders or to refuse an application for any such Shares in their absolute discretion.</w:t>
      </w:r>
    </w:p>
    <w:p w:rsidRPr="00807474" w:rsidR="007F6172" w:rsidP="007F6172" w:rsidRDefault="007F6172" w14:paraId="41334201" w14:textId="77777777">
      <w:pPr>
        <w:widowControl/>
        <w:suppressAutoHyphens/>
        <w:ind w:left="360" w:hanging="360"/>
        <w:jc w:val="both"/>
        <w:rPr>
          <w:rFonts w:eastAsia="MS Mincho" w:cs="Arial"/>
        </w:rPr>
      </w:pPr>
    </w:p>
    <w:p w:rsidRPr="0019422A" w:rsidR="007F6172" w:rsidP="007F6172" w:rsidRDefault="007F6172" w14:paraId="285DFE7F" w14:textId="77777777">
      <w:pPr>
        <w:pStyle w:val="L2Para"/>
        <w:jc w:val="both"/>
        <w:rPr>
          <w:rFonts w:cs="Arial"/>
        </w:rPr>
      </w:pPr>
      <w:r>
        <w:rPr>
          <w:rFonts w:cs="Arial"/>
        </w:rPr>
        <w:t>Additional C</w:t>
      </w:r>
      <w:r w:rsidRPr="00807474">
        <w:rPr>
          <w:rFonts w:cs="Arial"/>
        </w:rPr>
        <w:t>lasses may be created in accordance with the requirements of the Central Bank.</w:t>
      </w:r>
    </w:p>
    <w:p w:rsidRPr="0019422A" w:rsidR="007F6172" w:rsidP="007F6172" w:rsidRDefault="007F6172" w14:paraId="38F916E5" w14:textId="77777777">
      <w:pPr>
        <w:pStyle w:val="BodyALG"/>
        <w:ind w:firstLine="720"/>
        <w:rPr>
          <w:rFonts w:eastAsia="Times New Roman" w:cs="Arial"/>
          <w:b/>
          <w:sz w:val="20"/>
          <w:szCs w:val="20"/>
        </w:rPr>
      </w:pPr>
      <w:r w:rsidRPr="0019422A">
        <w:rPr>
          <w:rFonts w:eastAsia="Times New Roman" w:cs="Arial"/>
          <w:b/>
          <w:sz w:val="20"/>
          <w:szCs w:val="20"/>
        </w:rPr>
        <w:t>Hedged Currency Share Classes</w:t>
      </w:r>
    </w:p>
    <w:p w:rsidRPr="00EA219A" w:rsidR="007F6172" w:rsidP="007F6172" w:rsidRDefault="007F6172" w14:paraId="46F010FA" w14:textId="77777777"/>
    <w:p w:rsidRPr="00807474" w:rsidR="007F6172" w:rsidP="007F6172" w:rsidRDefault="007F6172" w14:paraId="02C83319" w14:textId="1BE06F46">
      <w:pPr>
        <w:pStyle w:val="L2Para"/>
        <w:jc w:val="both"/>
      </w:pPr>
      <w:r w:rsidRPr="00807474">
        <w:t>Investors in</w:t>
      </w:r>
      <w:r w:rsidR="00137246">
        <w:t xml:space="preserve"> A Class (EUR), A Class (USD),</w:t>
      </w:r>
      <w:r w:rsidRPr="00807474">
        <w:t xml:space="preserve"> </w:t>
      </w:r>
      <w:r w:rsidR="004F42AF">
        <w:t>M Class (USD), and M Class (EUR)</w:t>
      </w:r>
      <w:r w:rsidR="009B5938">
        <w:t xml:space="preserve"> </w:t>
      </w:r>
      <w:r w:rsidRPr="00807474">
        <w:t xml:space="preserve">Shares </w:t>
      </w:r>
      <w:r>
        <w:t xml:space="preserve">(the </w:t>
      </w:r>
      <w:r w:rsidRPr="003172F8">
        <w:rPr>
          <w:b/>
        </w:rPr>
        <w:t>Hedged Currency Share Classes</w:t>
      </w:r>
      <w:r>
        <w:t xml:space="preserve">) </w:t>
      </w:r>
      <w:r w:rsidRPr="00807474">
        <w:t xml:space="preserve">should take note that it is the Fund’s intention (where practicable) to hedge the currency exposure of holders of such </w:t>
      </w:r>
      <w:r w:rsidRPr="00C628B2">
        <w:t>Hedged Currency Share Classes</w:t>
      </w:r>
      <w:r w:rsidRPr="00807474">
        <w:t>. The adoption of this strategy may substantially limit holders of th</w:t>
      </w:r>
      <w:r>
        <w:t>ese</w:t>
      </w:r>
      <w:r w:rsidRPr="00807474">
        <w:t xml:space="preserve"> </w:t>
      </w:r>
      <w:r w:rsidRPr="00EA219A">
        <w:t>Hedged Currency Share Class</w:t>
      </w:r>
      <w:r>
        <w:t>es</w:t>
      </w:r>
      <w:r w:rsidRPr="00807474">
        <w:t xml:space="preserve"> from benefiting if the </w:t>
      </w:r>
      <w:r>
        <w:t xml:space="preserve">relevant </w:t>
      </w:r>
      <w:r w:rsidRPr="00807474">
        <w:t xml:space="preserve">Class </w:t>
      </w:r>
      <w:r>
        <w:t>c</w:t>
      </w:r>
      <w:r w:rsidRPr="00807474">
        <w:t>urrency falls against Sterling and/or against the other currencies in which the assets of the Fund are denominated.  All costs and gains/losses of such hedging transactions will accru</w:t>
      </w:r>
      <w:r>
        <w:t>e solely to the holders of the relevant H</w:t>
      </w:r>
      <w:r w:rsidRPr="00807474">
        <w:t xml:space="preserve">edged </w:t>
      </w:r>
      <w:r>
        <w:t xml:space="preserve">Currency Share </w:t>
      </w:r>
      <w:r w:rsidRPr="00807474">
        <w:t xml:space="preserve">Class and shall not form part of the assets of the Fund or constitute a liability of the Fund.  </w:t>
      </w:r>
    </w:p>
    <w:p w:rsidRPr="00807474" w:rsidR="007F6172" w:rsidP="007F6172" w:rsidRDefault="007F6172" w14:paraId="555CE540" w14:textId="77777777">
      <w:pPr>
        <w:jc w:val="both"/>
        <w:rPr>
          <w:rFonts w:cs="Arial"/>
          <w:bCs/>
        </w:rPr>
      </w:pPr>
    </w:p>
    <w:p w:rsidRPr="00807474" w:rsidR="007F6172" w:rsidP="007F6172" w:rsidRDefault="007F6172" w14:paraId="67D3B7AB" w14:textId="77777777">
      <w:pPr>
        <w:pStyle w:val="L2Para"/>
        <w:jc w:val="both"/>
      </w:pPr>
      <w:r w:rsidRPr="00807474">
        <w:lastRenderedPageBreak/>
        <w:t xml:space="preserve">Investors in such </w:t>
      </w:r>
      <w:r w:rsidRPr="00EA219A">
        <w:t>Hedged Currency Share Class</w:t>
      </w:r>
      <w:r>
        <w:t>es</w:t>
      </w:r>
      <w:r w:rsidRPr="00EA219A">
        <w:t xml:space="preserve"> </w:t>
      </w:r>
      <w:r w:rsidRPr="00807474">
        <w:t xml:space="preserve">should be aware that the exchange rate used for the purpose of converting the proceeds of their trade to or from the Base Currency is likely to be the rate prevailing at the time the necessary currency hedging contracts are put in place which means that this exchange rate risk is borne by those transacting investors rather than by the other investors in the Fund.  </w:t>
      </w:r>
    </w:p>
    <w:p w:rsidRPr="00807474" w:rsidR="007F6172" w:rsidP="007F6172" w:rsidRDefault="007F6172" w14:paraId="403A0FC9" w14:textId="77777777">
      <w:pPr>
        <w:jc w:val="both"/>
        <w:rPr>
          <w:rFonts w:cs="Arial"/>
          <w:bCs/>
        </w:rPr>
      </w:pPr>
    </w:p>
    <w:p w:rsidRPr="00807474" w:rsidR="007F6172" w:rsidP="007F6172" w:rsidRDefault="007F6172" w14:paraId="0E7C64BE" w14:textId="77777777">
      <w:pPr>
        <w:pStyle w:val="L2Para"/>
        <w:jc w:val="both"/>
      </w:pPr>
      <w:r w:rsidRPr="00807474">
        <w:t>The i</w:t>
      </w:r>
      <w:r>
        <w:t>ntention</w:t>
      </w:r>
      <w:r w:rsidRPr="00807474">
        <w:t xml:space="preserve"> of this currency hedging policy is that holders of such </w:t>
      </w:r>
      <w:r w:rsidRPr="00EA219A">
        <w:t xml:space="preserve">Hedged Currency Share Classes </w:t>
      </w:r>
      <w:r w:rsidRPr="00807474">
        <w:t xml:space="preserve">will limit any potential currency risk of the value of the Class </w:t>
      </w:r>
      <w:r>
        <w:t>c</w:t>
      </w:r>
      <w:r w:rsidRPr="00807474">
        <w:t xml:space="preserve">urrency rising against the Base Currency. On the other hand, as noted above, as well as incurring the cost of such hedging transactions, holders of the </w:t>
      </w:r>
      <w:r w:rsidRPr="00EA219A">
        <w:t>Hedged Currency Share Class</w:t>
      </w:r>
      <w:r>
        <w:t>es</w:t>
      </w:r>
      <w:r w:rsidRPr="00EA219A">
        <w:t xml:space="preserve"> </w:t>
      </w:r>
      <w:r w:rsidRPr="00807474">
        <w:t xml:space="preserve">will sacrifice the potential gain should the value of the Class </w:t>
      </w:r>
      <w:r>
        <w:t>c</w:t>
      </w:r>
      <w:r w:rsidRPr="00807474">
        <w:t>urrency fall against the Base Currency.</w:t>
      </w:r>
    </w:p>
    <w:p w:rsidRPr="00807474" w:rsidR="007F6172" w:rsidP="007F6172" w:rsidRDefault="007F6172" w14:paraId="553194E1" w14:textId="77777777">
      <w:pPr>
        <w:jc w:val="both"/>
        <w:rPr>
          <w:rFonts w:cs="Arial"/>
          <w:bCs/>
        </w:rPr>
      </w:pPr>
    </w:p>
    <w:p w:rsidRPr="00807474" w:rsidR="007F6172" w:rsidP="007F6172" w:rsidRDefault="007F6172" w14:paraId="6A295CFE" w14:textId="77777777">
      <w:pPr>
        <w:pStyle w:val="L2Para"/>
        <w:jc w:val="both"/>
      </w:pPr>
      <w:r w:rsidRPr="00807474">
        <w:t>Any such hedging is not permitted to</w:t>
      </w:r>
      <w:r>
        <w:t xml:space="preserve"> </w:t>
      </w:r>
      <w:r w:rsidRPr="006155AE">
        <w:t>fall below 95 per cent</w:t>
      </w:r>
      <w:r>
        <w:t>.</w:t>
      </w:r>
      <w:r w:rsidRPr="00807474">
        <w:t xml:space="preserve"> </w:t>
      </w:r>
      <w:r>
        <w:t xml:space="preserve">or </w:t>
      </w:r>
      <w:r w:rsidRPr="00807474">
        <w:t xml:space="preserve">exceed 105 per cent. of </w:t>
      </w:r>
      <w:r>
        <w:t xml:space="preserve">the net assets of the relevant </w:t>
      </w:r>
      <w:r w:rsidRPr="00EA219A">
        <w:t xml:space="preserve">Hedged Currency Share Class </w:t>
      </w:r>
      <w:r w:rsidRPr="00807474">
        <w:t xml:space="preserve">on any Dealing Day. Hedged positions will be kept under review to ensure </w:t>
      </w:r>
      <w:r w:rsidRPr="006155AE">
        <w:t>under</w:t>
      </w:r>
      <w:r>
        <w:t xml:space="preserve">-hedged or </w:t>
      </w:r>
      <w:r w:rsidRPr="00807474">
        <w:t xml:space="preserve">over-hedged positions </w:t>
      </w:r>
      <w:r>
        <w:t>are in a range of 95 to</w:t>
      </w:r>
      <w:r w:rsidRPr="00807474">
        <w:t xml:space="preserve"> 105 per cent. of the net assets of such </w:t>
      </w:r>
      <w:r>
        <w:t>Hedged Currency Share Class</w:t>
      </w:r>
      <w:r w:rsidRPr="00807474">
        <w:t xml:space="preserve"> and to further ensure that positions materially in excess of 100 per cent. will not be carried forward from month to month. There is no guarantee that any hedging strategy undertaken by the Fund will be successful.</w:t>
      </w:r>
    </w:p>
    <w:p w:rsidRPr="00807474" w:rsidR="007F6172" w:rsidP="007F6172" w:rsidRDefault="007F6172" w14:paraId="4FE173A2" w14:textId="77777777">
      <w:pPr>
        <w:ind w:left="720"/>
        <w:jc w:val="both"/>
      </w:pPr>
    </w:p>
    <w:p w:rsidRPr="00807474" w:rsidR="007F6172" w:rsidP="007F6172" w:rsidRDefault="007F6172" w14:paraId="171DF541" w14:textId="77777777">
      <w:pPr>
        <w:jc w:val="both"/>
      </w:pPr>
    </w:p>
    <w:p w:rsidRPr="00807474" w:rsidR="007F6172" w:rsidP="007F6172" w:rsidRDefault="007F6172" w14:paraId="73568B90" w14:textId="77777777">
      <w:pPr>
        <w:pStyle w:val="Heading1"/>
        <w:numPr>
          <w:ilvl w:val="0"/>
          <w:numId w:val="1"/>
        </w:numPr>
        <w:pBdr>
          <w:bottom w:val="single" w:color="auto" w:sz="12" w:space="1"/>
        </w:pBdr>
        <w:jc w:val="both"/>
        <w:rPr>
          <w:rFonts w:cs="Arial"/>
        </w:rPr>
      </w:pPr>
      <w:bookmarkStart w:name="_Toc166678731" w:id="29"/>
      <w:r w:rsidRPr="00807474">
        <w:rPr>
          <w:rFonts w:cs="Arial"/>
        </w:rPr>
        <w:t>HOW TO SUBSCRIBE FOR SHARES</w:t>
      </w:r>
      <w:bookmarkEnd w:id="29"/>
    </w:p>
    <w:p w:rsidRPr="00807474" w:rsidR="007F6172" w:rsidP="007F6172" w:rsidRDefault="007F6172" w14:paraId="5A35020E" w14:textId="77777777">
      <w:pPr>
        <w:jc w:val="both"/>
      </w:pPr>
    </w:p>
    <w:p w:rsidRPr="00C40967" w:rsidR="007F6172" w:rsidP="007F6172" w:rsidRDefault="007F6172" w14:paraId="3E9CBEE8" w14:textId="77777777">
      <w:pPr>
        <w:pStyle w:val="L1Para"/>
        <w:jc w:val="both"/>
        <w:rPr>
          <w:rFonts w:cs="Arial"/>
        </w:rPr>
      </w:pPr>
      <w:r w:rsidRPr="00C40967">
        <w:rPr>
          <w:rFonts w:cs="Arial"/>
        </w:rPr>
        <w:t>Applications for Shares should be submitted in accordance with the provisions set out in the Prospectus to be received by the Administrator on or prior to the Dealing Deadline.</w:t>
      </w:r>
      <w:r w:rsidRPr="00C40967">
        <w:rPr>
          <w:rFonts w:cs="Arial"/>
        </w:rPr>
        <w:tab/>
      </w:r>
    </w:p>
    <w:p w:rsidRPr="00C40967" w:rsidR="007F6172" w:rsidP="007F6172" w:rsidRDefault="007F6172" w14:paraId="1E54B2BC" w14:textId="77777777">
      <w:pPr>
        <w:pStyle w:val="L1Para"/>
        <w:jc w:val="both"/>
        <w:rPr>
          <w:rFonts w:cs="Arial"/>
        </w:rPr>
      </w:pPr>
    </w:p>
    <w:p w:rsidRPr="00C40967" w:rsidR="007F6172" w:rsidP="007F6172" w:rsidRDefault="007F6172" w14:paraId="325991B7" w14:textId="77777777">
      <w:pPr>
        <w:pStyle w:val="L1Para"/>
        <w:jc w:val="both"/>
        <w:rPr>
          <w:rFonts w:cs="Arial"/>
        </w:rPr>
      </w:pPr>
      <w:r w:rsidRPr="00C40967">
        <w:rPr>
          <w:rFonts w:cs="Arial"/>
        </w:rPr>
        <w:t>The Minimum Shareholding must be maintained by each Shareholder in the Fund (subject to the discretion of the Directors) following any partial repurchase, exchange or transfer of Shares.</w:t>
      </w:r>
    </w:p>
    <w:p w:rsidRPr="00C40967" w:rsidR="007F6172" w:rsidP="007F6172" w:rsidRDefault="007F6172" w14:paraId="3137F4E5" w14:textId="77777777">
      <w:pPr>
        <w:pStyle w:val="L1Para"/>
        <w:jc w:val="both"/>
        <w:rPr>
          <w:rFonts w:cs="Arial"/>
        </w:rPr>
      </w:pPr>
    </w:p>
    <w:p w:rsidRPr="00C40967" w:rsidR="007F6172" w:rsidP="007F6172" w:rsidRDefault="007F6172" w14:paraId="4ABABFBF" w14:textId="77777777">
      <w:pPr>
        <w:pStyle w:val="L1Para"/>
        <w:jc w:val="both"/>
        <w:rPr>
          <w:rFonts w:cs="Arial"/>
        </w:rPr>
      </w:pPr>
      <w:r w:rsidRPr="00C40967">
        <w:rPr>
          <w:rFonts w:cs="Arial"/>
        </w:rPr>
        <w:t xml:space="preserve">Payment in respect of the issue of Shares must be made by the relevant Settlement Date by wire transfer in cleared funds in the currency of </w:t>
      </w:r>
      <w:r>
        <w:rPr>
          <w:rFonts w:cs="Arial"/>
        </w:rPr>
        <w:t xml:space="preserve">denomination of </w:t>
      </w:r>
      <w:r w:rsidRPr="00C40967">
        <w:rPr>
          <w:rFonts w:cs="Arial"/>
        </w:rPr>
        <w:t>the relevant Shares.</w:t>
      </w:r>
    </w:p>
    <w:p w:rsidRPr="00C40967" w:rsidR="007F6172" w:rsidP="007F6172" w:rsidRDefault="007F6172" w14:paraId="795AD1F5" w14:textId="77777777">
      <w:pPr>
        <w:pStyle w:val="L1Para"/>
        <w:jc w:val="both"/>
        <w:rPr>
          <w:rFonts w:cs="Arial"/>
        </w:rPr>
      </w:pPr>
    </w:p>
    <w:p w:rsidR="007F6172" w:rsidP="007F6172" w:rsidRDefault="007F6172" w14:paraId="2C35A076" w14:textId="77777777">
      <w:pPr>
        <w:pStyle w:val="L1Para"/>
        <w:jc w:val="both"/>
        <w:rPr>
          <w:rFonts w:cs="Arial"/>
        </w:rPr>
      </w:pPr>
      <w:r>
        <w:rPr>
          <w:rFonts w:cs="Arial"/>
        </w:rPr>
        <w:t>After the applicable Initial Offer Period closes, the Issue P</w:t>
      </w:r>
      <w:r w:rsidRPr="00C40967">
        <w:rPr>
          <w:rFonts w:cs="Arial"/>
        </w:rPr>
        <w:t xml:space="preserve">rice for Shares is calculated by ascertaining the Net Asset Value per Share of the relevant Class referable to the relevant Dealing Day plus any duties and charges.  The Net Asset Value per Share will be determined by means of the method of valuation of assets and liabilities described in the section of the Prospectus headed </w:t>
      </w:r>
      <w:r w:rsidRPr="00D02F95">
        <w:rPr>
          <w:rFonts w:cs="Arial"/>
          <w:b/>
        </w:rPr>
        <w:t>Calculation of Net Asset Value /Valuation of Assets</w:t>
      </w:r>
      <w:r w:rsidRPr="00C40967">
        <w:rPr>
          <w:rFonts w:cs="Arial"/>
        </w:rPr>
        <w:t xml:space="preserve">.  </w:t>
      </w:r>
    </w:p>
    <w:p w:rsidR="007F6172" w:rsidP="007F6172" w:rsidRDefault="007F6172" w14:paraId="20599D78" w14:textId="77777777">
      <w:pPr>
        <w:pStyle w:val="L1Para"/>
        <w:jc w:val="both"/>
        <w:rPr>
          <w:rFonts w:cs="Arial"/>
        </w:rPr>
      </w:pPr>
    </w:p>
    <w:p w:rsidRPr="00807474" w:rsidR="007F6172" w:rsidP="007F6172" w:rsidRDefault="007F6172" w14:paraId="28FACCD4" w14:textId="77777777">
      <w:pPr>
        <w:pStyle w:val="L1Para"/>
        <w:jc w:val="both"/>
        <w:rPr>
          <w:rFonts w:cs="Arial"/>
        </w:rPr>
      </w:pPr>
      <w:r w:rsidRPr="00807474">
        <w:rPr>
          <w:rFonts w:cs="Arial"/>
        </w:rPr>
        <w:t xml:space="preserve">Requests for the subscription for Shares should be made in accordance with the provisions set out in the section entitled </w:t>
      </w:r>
      <w:r w:rsidRPr="00807474">
        <w:rPr>
          <w:rFonts w:cs="Arial"/>
          <w:b/>
          <w:bCs/>
        </w:rPr>
        <w:t>Subscription for Shares</w:t>
      </w:r>
      <w:r w:rsidRPr="00807474">
        <w:rPr>
          <w:rFonts w:cs="Arial"/>
        </w:rPr>
        <w:t xml:space="preserve"> in the Prospectus.</w:t>
      </w:r>
    </w:p>
    <w:p w:rsidRPr="00807474" w:rsidR="007F6172" w:rsidP="007F6172" w:rsidRDefault="007F6172" w14:paraId="38909863" w14:textId="77777777">
      <w:pPr>
        <w:jc w:val="both"/>
      </w:pPr>
    </w:p>
    <w:p w:rsidRPr="00807474" w:rsidR="007F6172" w:rsidP="007F6172" w:rsidRDefault="007F6172" w14:paraId="1E32F0B9" w14:textId="77777777">
      <w:pPr>
        <w:ind w:left="720"/>
        <w:jc w:val="both"/>
        <w:rPr>
          <w:rFonts w:cs="Arial"/>
          <w:color w:val="000000"/>
          <w:spacing w:val="-1"/>
        </w:rPr>
      </w:pPr>
    </w:p>
    <w:p w:rsidRPr="00807474" w:rsidR="007F6172" w:rsidP="007F6172" w:rsidRDefault="007F6172" w14:paraId="2349AC1F" w14:textId="77777777">
      <w:pPr>
        <w:pStyle w:val="Heading1"/>
        <w:numPr>
          <w:ilvl w:val="0"/>
          <w:numId w:val="1"/>
        </w:numPr>
        <w:pBdr>
          <w:bottom w:val="single" w:color="auto" w:sz="12" w:space="1"/>
        </w:pBdr>
        <w:jc w:val="both"/>
        <w:rPr>
          <w:rFonts w:cs="Arial"/>
        </w:rPr>
      </w:pPr>
      <w:bookmarkStart w:name="_Toc166678732" w:id="30"/>
      <w:r w:rsidRPr="00807474">
        <w:rPr>
          <w:rFonts w:cs="Arial"/>
        </w:rPr>
        <w:t>HOW TO REDEEM SHARES</w:t>
      </w:r>
      <w:bookmarkEnd w:id="30"/>
    </w:p>
    <w:p w:rsidRPr="00807474" w:rsidR="007F6172" w:rsidP="007F6172" w:rsidRDefault="007F6172" w14:paraId="5C5CDC9B" w14:textId="77777777">
      <w:pPr>
        <w:jc w:val="both"/>
      </w:pPr>
    </w:p>
    <w:p w:rsidRPr="00E67835" w:rsidR="007F6172" w:rsidP="007F6172" w:rsidRDefault="007F6172" w14:paraId="7187FAC0" w14:textId="77777777">
      <w:pPr>
        <w:pStyle w:val="L1Para"/>
        <w:jc w:val="both"/>
        <w:rPr>
          <w:rFonts w:cs="Arial"/>
        </w:rPr>
      </w:pPr>
      <w:r w:rsidRPr="00E67835">
        <w:rPr>
          <w:rFonts w:cs="Arial"/>
        </w:rPr>
        <w:t xml:space="preserve">Requests for the sale of Shares should be submitted to the Administrator in accordance with the provisions set out in the Prospectus on or prior to the Dealing Deadline.  Requests received on or prior to a Dealing Deadline will normally be dealt with on the relevant Dealing Day.  </w:t>
      </w:r>
    </w:p>
    <w:p w:rsidRPr="00E67835" w:rsidR="007F6172" w:rsidP="007F6172" w:rsidRDefault="007F6172" w14:paraId="08AB8CCB" w14:textId="77777777">
      <w:pPr>
        <w:pStyle w:val="L1Para"/>
        <w:jc w:val="both"/>
        <w:rPr>
          <w:rFonts w:cs="Arial"/>
        </w:rPr>
      </w:pPr>
    </w:p>
    <w:p w:rsidRPr="00E67835" w:rsidR="007F6172" w:rsidP="007F6172" w:rsidRDefault="007F6172" w14:paraId="3844F0BC" w14:textId="77777777">
      <w:pPr>
        <w:pStyle w:val="L1Para"/>
        <w:jc w:val="both"/>
        <w:rPr>
          <w:rFonts w:cs="Arial"/>
        </w:rPr>
      </w:pPr>
      <w:r w:rsidRPr="00E67835">
        <w:rPr>
          <w:rFonts w:cs="Arial"/>
        </w:rPr>
        <w:t>The Directors or the Administrator may decline to effect a redemption request which would have the effect of reducing the value of any holding of Shares relating to any Fund below the Minimum Shareholding for that Class of Shares of that Fund.  Any redemption request having such an effect may be treated by the Company as a request to redeem the Shareholder’s entire holding of that Class of Shares.</w:t>
      </w:r>
    </w:p>
    <w:p w:rsidRPr="00E67835" w:rsidR="007F6172" w:rsidP="007F6172" w:rsidRDefault="007F6172" w14:paraId="47D41D7C" w14:textId="77777777">
      <w:pPr>
        <w:pStyle w:val="L1Para"/>
        <w:jc w:val="both"/>
        <w:rPr>
          <w:rFonts w:cs="Arial"/>
        </w:rPr>
      </w:pPr>
    </w:p>
    <w:p w:rsidR="007F6172" w:rsidP="007F6172" w:rsidRDefault="007F6172" w14:paraId="2F7BF8F0" w14:textId="77777777">
      <w:pPr>
        <w:pStyle w:val="L1Para"/>
        <w:jc w:val="both"/>
        <w:rPr>
          <w:rFonts w:cs="Arial"/>
        </w:rPr>
      </w:pPr>
      <w:r w:rsidRPr="00E67835">
        <w:rPr>
          <w:rFonts w:cs="Arial"/>
        </w:rPr>
        <w:t xml:space="preserve">The redemption price per Share is based on the Net Asset Value per Share in the relevant Class referable to the relevant Dealing Day. The Net Asset Value will be determined in accordance with the method of valuation of assets and liabilities described in the section of the Prospectus headed </w:t>
      </w:r>
      <w:r w:rsidRPr="00E67835">
        <w:rPr>
          <w:rFonts w:cs="Arial"/>
          <w:b/>
        </w:rPr>
        <w:t>Calculation of Net Asset Value/Valuation of Assets</w:t>
      </w:r>
      <w:r w:rsidRPr="00E67835">
        <w:rPr>
          <w:rFonts w:cs="Arial"/>
        </w:rPr>
        <w:t>.</w:t>
      </w:r>
    </w:p>
    <w:p w:rsidR="007F6172" w:rsidP="007F6172" w:rsidRDefault="007F6172" w14:paraId="4209CF54" w14:textId="77777777">
      <w:pPr>
        <w:ind w:left="709"/>
        <w:jc w:val="both"/>
      </w:pPr>
    </w:p>
    <w:p w:rsidRPr="00E67835" w:rsidR="007F6172" w:rsidP="007F6172" w:rsidRDefault="007F6172" w14:paraId="0D638F94" w14:textId="77777777">
      <w:pPr>
        <w:ind w:left="709"/>
        <w:jc w:val="both"/>
      </w:pPr>
      <w:r w:rsidRPr="00E67835">
        <w:t xml:space="preserve">No redemption payment may be made to a Shareholder until the Subscription Agreement and all supporting documentation required by the Administrator, including any document in connection with the AML Act or other requirements and any documentation deemed necessary </w:t>
      </w:r>
      <w:r>
        <w:t>for</w:t>
      </w:r>
      <w:r w:rsidRPr="00E67835">
        <w:t xml:space="preserve"> regulatory or taxation purposes and/or any anti-money laundering procedures have been completed, sent to and received by the Administrator.</w:t>
      </w:r>
    </w:p>
    <w:p w:rsidRPr="00E67835" w:rsidR="007F6172" w:rsidP="007F6172" w:rsidRDefault="007F6172" w14:paraId="3F87CDDF" w14:textId="77777777">
      <w:pPr>
        <w:pStyle w:val="L1Para"/>
        <w:jc w:val="both"/>
        <w:rPr>
          <w:rFonts w:cs="Arial"/>
        </w:rPr>
      </w:pPr>
    </w:p>
    <w:p w:rsidR="007F6172" w:rsidP="007F6172" w:rsidRDefault="007F6172" w14:paraId="57F1CB30" w14:textId="77777777">
      <w:pPr>
        <w:pStyle w:val="L1Para"/>
        <w:jc w:val="both"/>
        <w:rPr>
          <w:rFonts w:cs="Arial"/>
        </w:rPr>
      </w:pPr>
      <w:r w:rsidRPr="00807474">
        <w:rPr>
          <w:rFonts w:cs="Arial"/>
        </w:rPr>
        <w:lastRenderedPageBreak/>
        <w:t xml:space="preserve">Requests for the redemption of Shares should be made in accordance with the provisions set out in the section entitled </w:t>
      </w:r>
      <w:r w:rsidRPr="00807474">
        <w:rPr>
          <w:rFonts w:cs="Arial"/>
          <w:b/>
          <w:bCs/>
        </w:rPr>
        <w:t>Redemption of Shares</w:t>
      </w:r>
      <w:r w:rsidRPr="00807474">
        <w:rPr>
          <w:rFonts w:cs="Arial"/>
        </w:rPr>
        <w:t xml:space="preserve"> in the Prospectus.</w:t>
      </w:r>
    </w:p>
    <w:p w:rsidR="00480E54" w:rsidRDefault="00480E54" w14:paraId="720CCED8" w14:textId="0C19821C">
      <w:pPr>
        <w:widowControl/>
      </w:pPr>
    </w:p>
    <w:p w:rsidR="00861F18" w:rsidRDefault="00861F18" w14:paraId="47BD78A7" w14:textId="77777777">
      <w:pPr>
        <w:widowControl/>
      </w:pPr>
    </w:p>
    <w:p w:rsidRPr="005165B6" w:rsidR="007F6172" w:rsidP="007F6172" w:rsidRDefault="007F6172" w14:paraId="67F60506" w14:textId="77777777">
      <w:pPr>
        <w:pStyle w:val="Heading1"/>
        <w:numPr>
          <w:ilvl w:val="0"/>
          <w:numId w:val="1"/>
        </w:numPr>
        <w:pBdr>
          <w:bottom w:val="single" w:color="auto" w:sz="12" w:space="1"/>
        </w:pBdr>
        <w:jc w:val="both"/>
        <w:rPr>
          <w:rFonts w:cs="Arial"/>
        </w:rPr>
      </w:pPr>
      <w:bookmarkStart w:name="_Toc166678733" w:id="31"/>
      <w:r w:rsidRPr="005165B6">
        <w:rPr>
          <w:rFonts w:cs="Arial"/>
        </w:rPr>
        <w:t>INVESTMENT MANAGER AND DISTRIBUTOR</w:t>
      </w:r>
      <w:bookmarkEnd w:id="31"/>
    </w:p>
    <w:p w:rsidRPr="00760134" w:rsidR="007F6172" w:rsidP="007F6172" w:rsidRDefault="007F6172" w14:paraId="642BA34D" w14:textId="77777777"/>
    <w:p w:rsidR="007F6172" w:rsidP="007F6172" w:rsidRDefault="007F6172" w14:paraId="79249EEE" w14:textId="115FCA25">
      <w:pPr>
        <w:ind w:left="720"/>
        <w:jc w:val="both"/>
      </w:pPr>
      <w:r>
        <w:t xml:space="preserve">The Manager has appointed </w:t>
      </w:r>
      <w:r w:rsidRPr="00301229">
        <w:t xml:space="preserve">Fortem Capital Limited </w:t>
      </w:r>
      <w:r>
        <w:t xml:space="preserve">to act as the investment manager of the Fund pursuant to an investment management and distribution agreement dated </w:t>
      </w:r>
      <w:r w:rsidR="00A94043">
        <w:t>1 September</w:t>
      </w:r>
      <w:r w:rsidR="00571986">
        <w:t xml:space="preserve"> 2022</w:t>
      </w:r>
      <w:r w:rsidR="00FC75C4">
        <w:t xml:space="preserve"> as novated by way of novation agreement dated </w:t>
      </w:r>
      <w:r w:rsidR="00DD6C69">
        <w:t xml:space="preserve">17 October </w:t>
      </w:r>
      <w:r w:rsidR="00FC75C4">
        <w:t>2024</w:t>
      </w:r>
      <w:r>
        <w:t xml:space="preserve"> between the Company, the Manager and the Investment Manager (the </w:t>
      </w:r>
      <w:r w:rsidRPr="00C27EF8">
        <w:rPr>
          <w:b/>
        </w:rPr>
        <w:t>Investment Management and Distribution Agreement</w:t>
      </w:r>
      <w:r>
        <w:t>).</w:t>
      </w:r>
      <w:r w:rsidR="00FC75C4">
        <w:t xml:space="preserve"> </w:t>
      </w:r>
      <w:r>
        <w:t>The Manager (with the agreement of the Company) has delegated the powers of determining investment policy and the discretionary investment management of the Fund to the Investment Manager.</w:t>
      </w:r>
    </w:p>
    <w:p w:rsidR="007F6172" w:rsidP="007F6172" w:rsidRDefault="007F6172" w14:paraId="0CF20820" w14:textId="77777777"/>
    <w:p w:rsidR="007F6172" w:rsidP="007F6172" w:rsidRDefault="007F6172" w14:paraId="3C2E6A40" w14:textId="77777777">
      <w:pPr>
        <w:ind w:left="720"/>
        <w:jc w:val="both"/>
      </w:pPr>
      <w:r>
        <w:t xml:space="preserve">The Investment Management and </w:t>
      </w:r>
      <w:r w:rsidRPr="00571986">
        <w:t xml:space="preserve">Distribution Agreement provides </w:t>
      </w:r>
      <w:r w:rsidRPr="00571986" w:rsidR="00F232E1">
        <w:t>that the appointment of the Investment Manager shall continue</w:t>
      </w:r>
      <w:r w:rsidRPr="00571986">
        <w:t xml:space="preserve"> unless</w:t>
      </w:r>
      <w:r w:rsidR="00571986">
        <w:t xml:space="preserve"> and until</w:t>
      </w:r>
      <w:r w:rsidRPr="00571986">
        <w:t xml:space="preserve"> the Agreement is terminated by the </w:t>
      </w:r>
      <w:r w:rsidRPr="00571986" w:rsidR="00F232E1">
        <w:t xml:space="preserve">Company or the </w:t>
      </w:r>
      <w:r w:rsidRPr="00571986">
        <w:t>Manager (</w:t>
      </w:r>
      <w:r w:rsidRPr="00571986" w:rsidR="00F232E1">
        <w:t>with the prior approval of the Company</w:t>
      </w:r>
      <w:r w:rsidRPr="00571986">
        <w:t>) or the Inve</w:t>
      </w:r>
      <w:r w:rsidRPr="00571986" w:rsidR="00F232E1">
        <w:t xml:space="preserve">stment Manager giving at least </w:t>
      </w:r>
      <w:r w:rsidRPr="00571986">
        <w:t xml:space="preserve">90 days' notice </w:t>
      </w:r>
      <w:r w:rsidRPr="00571986" w:rsidR="00F232E1">
        <w:t>in writing to the other parties</w:t>
      </w:r>
      <w:r w:rsidRPr="00571986">
        <w:t>. The Investment Management and Distribution Agreement may be terminated by the Manager (</w:t>
      </w:r>
      <w:r w:rsidRPr="00571986" w:rsidR="00571986">
        <w:t>subject to receipt of the Company’s prior approval</w:t>
      </w:r>
      <w:r w:rsidRPr="00571986">
        <w:t>) or the Investment Manager in certain circumstances specified in the Agreement.</w:t>
      </w:r>
    </w:p>
    <w:p w:rsidR="007F6172" w:rsidP="007F6172" w:rsidRDefault="007F6172" w14:paraId="5BAEDCAF" w14:textId="77777777">
      <w:pPr>
        <w:ind w:left="720"/>
        <w:jc w:val="both"/>
      </w:pPr>
    </w:p>
    <w:p w:rsidR="00571986" w:rsidP="007F6172" w:rsidRDefault="007F6172" w14:paraId="5E5511B2" w14:textId="77777777">
      <w:pPr>
        <w:ind w:left="720"/>
        <w:jc w:val="both"/>
      </w:pPr>
      <w:r>
        <w:t>The Investment Management and Distribution Agreement contains certain indemnities in favour of the Investment Manager in respect of any claims other than by reason of the negligence, fraud</w:t>
      </w:r>
      <w:r w:rsidR="00571986">
        <w:t xml:space="preserve">, </w:t>
      </w:r>
      <w:r w:rsidRPr="001D4E0B" w:rsidR="00571986">
        <w:t>material breach</w:t>
      </w:r>
      <w:r>
        <w:t xml:space="preserve"> or wilful default of the Investment Manager in the performance or non-performance of its obligations or duties. This Agreement also excludes any liability of the Investment Manager for indirect or consequential damages </w:t>
      </w:r>
      <w:r w:rsidRPr="001D4E0B" w:rsidR="00571986">
        <w:t xml:space="preserve">(including without limitation, loss of profits or loss of goodwill) </w:t>
      </w:r>
      <w:r w:rsidR="00571986">
        <w:t>suffered.</w:t>
      </w:r>
    </w:p>
    <w:p w:rsidR="007F6172" w:rsidP="00571986" w:rsidRDefault="007F6172" w14:paraId="0094B7A1" w14:textId="77777777">
      <w:pPr>
        <w:spacing w:before="240"/>
        <w:ind w:left="720"/>
        <w:jc w:val="both"/>
      </w:pPr>
      <w:r>
        <w:t>Fortem Capital</w:t>
      </w:r>
      <w:r w:rsidRPr="004A4CFB">
        <w:t xml:space="preserve"> Limited </w:t>
      </w:r>
      <w:r>
        <w:t xml:space="preserve">is the entity promoting the Fund. </w:t>
      </w:r>
    </w:p>
    <w:p w:rsidR="007F6172" w:rsidP="007F6172" w:rsidRDefault="007F6172" w14:paraId="6455466C" w14:textId="77777777">
      <w:pPr>
        <w:ind w:left="720"/>
        <w:jc w:val="both"/>
      </w:pPr>
    </w:p>
    <w:p w:rsidR="007F6172" w:rsidP="007F6172" w:rsidRDefault="007F6172" w14:paraId="367B7A26" w14:textId="77777777">
      <w:pPr>
        <w:ind w:left="720"/>
        <w:jc w:val="both"/>
      </w:pPr>
      <w:r w:rsidRPr="00301229">
        <w:t xml:space="preserve">Fortem Capital Limited </w:t>
      </w:r>
      <w:r>
        <w:t xml:space="preserve">was incorporated on 4 March 2016 and became authorised and regulated by the Financial Conduct Authority (FCA) in the UK (FCA no. 755370) in January 2017. The business focuses on its core investment management competencies providing discretionary portfolio management to Fortem Global Investment Funds plc. The registered office of the Investment Manager is </w:t>
      </w:r>
      <w:r w:rsidRPr="00301229">
        <w:t>28 Church Road, Stanmore, Middlesex, England, HA7 4XR</w:t>
      </w:r>
      <w:r w:rsidR="004C56CA">
        <w:t>.</w:t>
      </w:r>
    </w:p>
    <w:p w:rsidR="007F6172" w:rsidP="007F6172" w:rsidRDefault="007F6172" w14:paraId="3A09CBBD" w14:textId="77777777">
      <w:pPr>
        <w:ind w:left="720"/>
        <w:jc w:val="both"/>
      </w:pPr>
      <w:r>
        <w:t xml:space="preserve"> </w:t>
      </w:r>
    </w:p>
    <w:p w:rsidR="007F6172" w:rsidP="007F6172" w:rsidRDefault="007F6172" w14:paraId="24D9D386" w14:textId="77777777">
      <w:pPr>
        <w:ind w:left="720"/>
        <w:jc w:val="both"/>
      </w:pPr>
      <w:r>
        <w:t>Subject to the overall supervision of the Directors and to each Fund's investment objectives, policies and restrictions, the Investment Manager will manage the investment and re-investment of each Fund's assets.</w:t>
      </w:r>
    </w:p>
    <w:p w:rsidR="007F6172" w:rsidP="007F6172" w:rsidRDefault="007F6172" w14:paraId="5394888E" w14:textId="77777777">
      <w:pPr>
        <w:ind w:left="720"/>
        <w:jc w:val="both"/>
      </w:pPr>
    </w:p>
    <w:p w:rsidR="007F6172" w:rsidP="007F6172" w:rsidRDefault="007F6172" w14:paraId="0447975E" w14:textId="77777777">
      <w:pPr>
        <w:ind w:left="720"/>
        <w:jc w:val="both"/>
      </w:pPr>
      <w:r>
        <w:t>The Investment Manager, subject to the requirements of the Central Bank, may from time to time seek the advice of or recommendation of any adviser, analyst, consultant or other suitably qualified person to assist it in the performance of its duties.</w:t>
      </w:r>
    </w:p>
    <w:p w:rsidR="007F6172" w:rsidP="007F6172" w:rsidRDefault="007F6172" w14:paraId="49869437" w14:textId="77777777">
      <w:pPr>
        <w:ind w:left="720"/>
        <w:jc w:val="both"/>
      </w:pPr>
    </w:p>
    <w:p w:rsidR="007F6172" w:rsidP="007F6172" w:rsidRDefault="007F6172" w14:paraId="4AF0DC1E" w14:textId="77777777">
      <w:pPr>
        <w:ind w:left="720"/>
        <w:jc w:val="both"/>
      </w:pPr>
      <w:r w:rsidRPr="00301229">
        <w:t xml:space="preserve">Fortem Capital Limited </w:t>
      </w:r>
      <w:r>
        <w:t>has also been appointed to act as Distributor of the Fund pursuant to the Investment Management and Distribution Agreement and will promote the distribution and marketing of the Shares, and may collect subscription and redemption orders for th</w:t>
      </w:r>
      <w:r w:rsidR="004C56CA">
        <w:t>e Shares on behalf of the Fund.</w:t>
      </w:r>
    </w:p>
    <w:p w:rsidR="007F6172" w:rsidP="007F6172" w:rsidRDefault="007F6172" w14:paraId="15395872" w14:textId="77777777">
      <w:pPr>
        <w:ind w:left="720"/>
        <w:jc w:val="both"/>
      </w:pPr>
    </w:p>
    <w:p w:rsidRPr="00760134" w:rsidR="007F6172" w:rsidP="007F6172" w:rsidRDefault="007F6172" w14:paraId="5402D652" w14:textId="77777777">
      <w:pPr>
        <w:ind w:left="720"/>
        <w:jc w:val="both"/>
      </w:pPr>
      <w:r>
        <w:t>The Investment Manager may</w:t>
      </w:r>
      <w:r w:rsidR="008A6E63">
        <w:t xml:space="preserve">, subject to the </w:t>
      </w:r>
      <w:r w:rsidRPr="008A6E63" w:rsidR="008A6E63">
        <w:t>prior written consent of the Company and the Manager</w:t>
      </w:r>
      <w:r w:rsidR="008A6E63">
        <w:t>,</w:t>
      </w:r>
      <w:r>
        <w:t xml:space="preserve"> delegate discretionary investment management to one or more sub-investment managers in respect of the Fund. Where </w:t>
      </w:r>
      <w:r w:rsidR="001604BF">
        <w:t>required</w:t>
      </w:r>
      <w:r>
        <w:t>, information on these entities will be set out in the Supplement. Where such entities are not paid directly out of the assets of a Fund, disclosure of such entities will be provided to Shareholders on request. Details of all sub-investment managers will be disclosed in the Company's periodic reports</w:t>
      </w:r>
      <w:r w:rsidR="00571986">
        <w:t>.</w:t>
      </w:r>
    </w:p>
    <w:p w:rsidR="007F6172" w:rsidP="007F6172" w:rsidRDefault="007F6172" w14:paraId="0BE4D784" w14:textId="77777777">
      <w:pPr>
        <w:jc w:val="both"/>
        <w:rPr>
          <w:rFonts w:cs="Arial"/>
          <w:color w:val="000000"/>
          <w:spacing w:val="-1"/>
        </w:rPr>
      </w:pPr>
    </w:p>
    <w:p w:rsidRPr="00807474" w:rsidR="007F6172" w:rsidP="007F6172" w:rsidRDefault="007F6172" w14:paraId="652CA09E" w14:textId="77777777">
      <w:pPr>
        <w:jc w:val="both"/>
        <w:rPr>
          <w:rFonts w:cs="Arial"/>
          <w:color w:val="000000"/>
          <w:spacing w:val="-1"/>
        </w:rPr>
      </w:pPr>
    </w:p>
    <w:p w:rsidRPr="00807474" w:rsidR="007F6172" w:rsidP="007F6172" w:rsidRDefault="007F6172" w14:paraId="7C1ABA0B" w14:textId="77777777">
      <w:pPr>
        <w:pStyle w:val="Heading1"/>
        <w:numPr>
          <w:ilvl w:val="0"/>
          <w:numId w:val="1"/>
        </w:numPr>
        <w:pBdr>
          <w:bottom w:val="single" w:color="auto" w:sz="12" w:space="1"/>
        </w:pBdr>
        <w:jc w:val="both"/>
        <w:rPr>
          <w:rFonts w:cs="Arial"/>
        </w:rPr>
      </w:pPr>
      <w:bookmarkStart w:name="_Toc166678734" w:id="32"/>
      <w:r w:rsidRPr="00807474">
        <w:rPr>
          <w:rFonts w:cs="Arial"/>
        </w:rPr>
        <w:t>FEES AND EXPENSES</w:t>
      </w:r>
      <w:bookmarkEnd w:id="32"/>
    </w:p>
    <w:p w:rsidRPr="00807474" w:rsidR="007F6172" w:rsidP="007F6172" w:rsidRDefault="007F6172" w14:paraId="2860205F" w14:textId="77777777">
      <w:pPr>
        <w:jc w:val="both"/>
      </w:pPr>
    </w:p>
    <w:p w:rsidRPr="00807474" w:rsidR="007F6172" w:rsidP="007F6172" w:rsidRDefault="007F6172" w14:paraId="0AC6B767" w14:textId="77777777">
      <w:pPr>
        <w:pStyle w:val="L1Para"/>
        <w:jc w:val="both"/>
        <w:rPr>
          <w:rFonts w:cs="Arial"/>
        </w:rPr>
      </w:pPr>
      <w:r w:rsidRPr="00807474">
        <w:rPr>
          <w:rFonts w:cs="Arial"/>
        </w:rPr>
        <w:t xml:space="preserve">The following section on fees and expenses should be read in conjunction with the section entitled </w:t>
      </w:r>
      <w:r w:rsidRPr="00807474">
        <w:rPr>
          <w:rFonts w:cs="Arial"/>
          <w:b/>
          <w:bCs/>
        </w:rPr>
        <w:t>Fees and Expenses</w:t>
      </w:r>
      <w:r w:rsidRPr="00807474">
        <w:rPr>
          <w:rFonts w:cs="Arial"/>
        </w:rPr>
        <w:t xml:space="preserve"> in the Prospectus.</w:t>
      </w:r>
    </w:p>
    <w:p w:rsidRPr="00807474" w:rsidR="007F6172" w:rsidP="007F6172" w:rsidRDefault="007F6172" w14:paraId="0476AA90" w14:textId="77777777">
      <w:pPr>
        <w:widowControl/>
        <w:jc w:val="both"/>
        <w:rPr>
          <w:rFonts w:cs="Arial"/>
        </w:rPr>
      </w:pPr>
      <w:r w:rsidRPr="00807474">
        <w:rPr>
          <w:rFonts w:cs="Arial"/>
        </w:rPr>
        <w:tab/>
      </w:r>
    </w:p>
    <w:p w:rsidRPr="003514E4" w:rsidR="007F6172" w:rsidP="007F6172" w:rsidRDefault="007F6172" w14:paraId="5779F602" w14:textId="77777777">
      <w:pPr>
        <w:ind w:left="720"/>
        <w:jc w:val="both"/>
        <w:rPr>
          <w:rFonts w:cs="Arial"/>
          <w:b/>
        </w:rPr>
      </w:pPr>
      <w:r w:rsidRPr="003514E4">
        <w:rPr>
          <w:rFonts w:cs="Arial"/>
          <w:b/>
        </w:rPr>
        <w:t>Manager</w:t>
      </w:r>
      <w:r>
        <w:rPr>
          <w:rFonts w:cs="Arial"/>
          <w:b/>
        </w:rPr>
        <w:t>'s</w:t>
      </w:r>
      <w:r w:rsidRPr="003514E4">
        <w:rPr>
          <w:rFonts w:cs="Arial"/>
          <w:b/>
        </w:rPr>
        <w:t xml:space="preserve"> Fee</w:t>
      </w:r>
    </w:p>
    <w:p w:rsidR="007F6172" w:rsidP="007F6172" w:rsidRDefault="007F6172" w14:paraId="7CDF7E31" w14:textId="77777777"/>
    <w:p w:rsidR="00480E54" w:rsidP="00480E54" w:rsidRDefault="00480E54" w14:paraId="220E9ABC" w14:textId="77777777">
      <w:pPr>
        <w:ind w:left="709"/>
        <w:jc w:val="both"/>
      </w:pPr>
      <w:r>
        <w:t xml:space="preserve">Please refer to the section of the Prospectus entitled </w:t>
      </w:r>
      <w:r w:rsidRPr="00480E54">
        <w:rPr>
          <w:b/>
          <w:bCs/>
        </w:rPr>
        <w:t>Fees and Expenses</w:t>
      </w:r>
      <w:r>
        <w:t xml:space="preserve"> for information on the</w:t>
      </w:r>
    </w:p>
    <w:p w:rsidR="007F6172" w:rsidP="00480E54" w:rsidRDefault="00480E54" w14:paraId="028A4467" w14:textId="763ABF9B">
      <w:pPr>
        <w:ind w:left="709"/>
        <w:jc w:val="both"/>
      </w:pPr>
      <w:r>
        <w:lastRenderedPageBreak/>
        <w:t>Manager's fees.</w:t>
      </w:r>
    </w:p>
    <w:p w:rsidRPr="003514E4" w:rsidR="007F6172" w:rsidP="007F6172" w:rsidRDefault="007F6172" w14:paraId="0D6ED4A6" w14:textId="77777777"/>
    <w:p w:rsidR="007F6172" w:rsidP="007F6172" w:rsidRDefault="007F6172" w14:paraId="6FE0A4BE" w14:textId="46D5980B">
      <w:pPr>
        <w:ind w:left="700"/>
        <w:jc w:val="both"/>
        <w:rPr>
          <w:b/>
        </w:rPr>
      </w:pPr>
      <w:r w:rsidRPr="005874A1">
        <w:rPr>
          <w:b/>
        </w:rPr>
        <w:t>Administrator's Fee</w:t>
      </w:r>
    </w:p>
    <w:p w:rsidR="007F6172" w:rsidP="007F6172" w:rsidRDefault="007F6172" w14:paraId="181D05F6" w14:textId="77777777">
      <w:pPr>
        <w:ind w:left="700"/>
        <w:jc w:val="both"/>
        <w:rPr>
          <w:b/>
        </w:rPr>
      </w:pPr>
    </w:p>
    <w:p w:rsidR="007F6172" w:rsidP="00480E54" w:rsidRDefault="00480E54" w14:paraId="14C093A2" w14:textId="7A59AAA6">
      <w:pPr>
        <w:ind w:left="700"/>
        <w:jc w:val="both"/>
      </w:pPr>
      <w:r>
        <w:t xml:space="preserve">Please refer to the section of the Prospectus entitled </w:t>
      </w:r>
      <w:r w:rsidRPr="00480E54">
        <w:rPr>
          <w:b/>
          <w:bCs/>
        </w:rPr>
        <w:t>Fees and Expenses</w:t>
      </w:r>
      <w:r>
        <w:t xml:space="preserve"> for information on the</w:t>
      </w:r>
      <w:r w:rsidR="00A978DB">
        <w:t xml:space="preserve"> </w:t>
      </w:r>
      <w:r>
        <w:t>Administrator’s fees.</w:t>
      </w:r>
    </w:p>
    <w:p w:rsidR="00480E54" w:rsidP="00480E54" w:rsidRDefault="00480E54" w14:paraId="22DF8289" w14:textId="77777777">
      <w:pPr>
        <w:ind w:left="700"/>
        <w:jc w:val="both"/>
        <w:rPr>
          <w:b/>
        </w:rPr>
      </w:pPr>
    </w:p>
    <w:p w:rsidR="007F6172" w:rsidP="007F6172" w:rsidRDefault="007F6172" w14:paraId="3AEC7423" w14:textId="77777777">
      <w:pPr>
        <w:pStyle w:val="L1Para"/>
        <w:jc w:val="both"/>
        <w:rPr>
          <w:rFonts w:cs="Arial"/>
          <w:b/>
        </w:rPr>
      </w:pPr>
      <w:r w:rsidRPr="00807474">
        <w:rPr>
          <w:rFonts w:cs="Arial"/>
          <w:b/>
        </w:rPr>
        <w:t>Investment Management Fee</w:t>
      </w:r>
    </w:p>
    <w:p w:rsidRPr="00807474" w:rsidR="007F6172" w:rsidP="007F6172" w:rsidRDefault="007F6172" w14:paraId="1C3024BB" w14:textId="77777777">
      <w:pPr>
        <w:jc w:val="both"/>
      </w:pPr>
    </w:p>
    <w:p w:rsidR="007F6172" w:rsidP="007F6172" w:rsidRDefault="007F6172" w14:paraId="7DFDCE61" w14:textId="77777777">
      <w:pPr>
        <w:pStyle w:val="L1Para"/>
        <w:jc w:val="both"/>
        <w:rPr>
          <w:rFonts w:cs="Arial"/>
        </w:rPr>
      </w:pPr>
      <w:r w:rsidRPr="00807474">
        <w:rPr>
          <w:rFonts w:cs="Arial"/>
        </w:rPr>
        <w:t xml:space="preserve">The Investment Manager shall be entitled to receive out of the assets of the Fund an annual fee, accrued on each Dealing Day and payable monthly in arrears, at </w:t>
      </w:r>
      <w:r>
        <w:rPr>
          <w:rFonts w:cs="Arial"/>
        </w:rPr>
        <w:t>the</w:t>
      </w:r>
      <w:r w:rsidRPr="00807474">
        <w:rPr>
          <w:rFonts w:cs="Arial"/>
        </w:rPr>
        <w:t xml:space="preserve"> annual rate as set out </w:t>
      </w:r>
      <w:r>
        <w:rPr>
          <w:rFonts w:cs="Arial"/>
        </w:rPr>
        <w:t>below (plus VAT, if any) calculated by reference to the Net Asset Value of the relevant Share Class:</w:t>
      </w:r>
    </w:p>
    <w:p w:rsidR="007F6172" w:rsidP="007F6172" w:rsidRDefault="007F6172" w14:paraId="0CE36523" w14:textId="77777777">
      <w:pPr>
        <w:pStyle w:val="L1Para"/>
        <w:jc w:val="both"/>
        <w:rPr>
          <w:rFonts w:cs="Arial"/>
        </w:rPr>
      </w:pPr>
    </w:p>
    <w:p w:rsidR="007F6172" w:rsidP="007F6172" w:rsidRDefault="007F6172" w14:paraId="0AABB9F9" w14:textId="7500212D">
      <w:pPr>
        <w:pStyle w:val="L1Para"/>
        <w:jc w:val="both"/>
        <w:rPr>
          <w:rFonts w:cs="Arial"/>
        </w:rPr>
      </w:pPr>
      <w:r>
        <w:rPr>
          <w:rFonts w:cs="Arial"/>
        </w:rPr>
        <w:t xml:space="preserve">Class A (GBP) – </w:t>
      </w:r>
      <w:r w:rsidR="00D41CF0">
        <w:rPr>
          <w:rFonts w:cs="Arial"/>
        </w:rPr>
        <w:t>0.</w:t>
      </w:r>
      <w:r w:rsidR="00B51D79">
        <w:rPr>
          <w:rFonts w:cs="Arial"/>
        </w:rPr>
        <w:t>50</w:t>
      </w:r>
      <w:r>
        <w:rPr>
          <w:rFonts w:cs="Arial"/>
        </w:rPr>
        <w:t>%</w:t>
      </w:r>
    </w:p>
    <w:p w:rsidR="00F3041A" w:rsidP="00F3041A" w:rsidRDefault="00F3041A" w14:paraId="34D488D7" w14:textId="338620B5">
      <w:pPr>
        <w:pStyle w:val="L1Para"/>
        <w:jc w:val="both"/>
        <w:rPr>
          <w:rFonts w:cs="Arial"/>
        </w:rPr>
      </w:pPr>
      <w:r>
        <w:rPr>
          <w:rFonts w:cs="Arial"/>
        </w:rPr>
        <w:t>Class A (EUR) – 0.50%</w:t>
      </w:r>
    </w:p>
    <w:p w:rsidR="00F3041A" w:rsidP="00F3041A" w:rsidRDefault="00F3041A" w14:paraId="58926F9A" w14:textId="3CBFF6FA">
      <w:pPr>
        <w:pStyle w:val="L1Para"/>
        <w:jc w:val="both"/>
        <w:rPr>
          <w:rFonts w:cs="Arial"/>
        </w:rPr>
      </w:pPr>
      <w:r>
        <w:rPr>
          <w:rFonts w:cs="Arial"/>
        </w:rPr>
        <w:t>Class A (USD) – 0.50%</w:t>
      </w:r>
    </w:p>
    <w:p w:rsidR="00FD4715" w:rsidP="00FD4715" w:rsidRDefault="00FD4715" w14:paraId="0957EF9F" w14:textId="618A33CC">
      <w:pPr>
        <w:ind w:left="720"/>
      </w:pPr>
      <w:r>
        <w:t>Class M (GBP</w:t>
      </w:r>
      <w:r w:rsidR="00781F54">
        <w:t>)</w:t>
      </w:r>
      <w:r>
        <w:t xml:space="preserve"> – 1.25%</w:t>
      </w:r>
    </w:p>
    <w:p w:rsidR="004F42AF" w:rsidP="00FD4715" w:rsidRDefault="004F42AF" w14:paraId="6F6C245D" w14:textId="15127885">
      <w:pPr>
        <w:ind w:left="720"/>
      </w:pPr>
      <w:r>
        <w:t>Class M (USD) – 1.25%</w:t>
      </w:r>
    </w:p>
    <w:p w:rsidRPr="00FD4715" w:rsidR="004F42AF" w:rsidP="00FD4715" w:rsidRDefault="004F42AF" w14:paraId="06F23C2B" w14:textId="2E7EBE19">
      <w:pPr>
        <w:ind w:left="720"/>
      </w:pPr>
      <w:r>
        <w:t xml:space="preserve">Class M (EUR) – 1.25% </w:t>
      </w:r>
    </w:p>
    <w:p w:rsidRPr="00807474" w:rsidR="007F6172" w:rsidP="007F6172" w:rsidRDefault="007F6172" w14:paraId="2B934731" w14:textId="77777777">
      <w:pPr>
        <w:jc w:val="both"/>
      </w:pPr>
    </w:p>
    <w:p w:rsidRPr="00807474" w:rsidR="007F6172" w:rsidP="007F6172" w:rsidRDefault="007F6172" w14:paraId="4C1EDF6B" w14:textId="77777777">
      <w:pPr>
        <w:pStyle w:val="L2Para"/>
        <w:jc w:val="both"/>
      </w:pPr>
      <w:r w:rsidRPr="00807474">
        <w:t>The Investment Management fees outlined above may be rebated or varied (within the limits specified above) at the discretion of the Investment Manager on a case by case basis</w:t>
      </w:r>
      <w:r>
        <w:t xml:space="preserve"> by agreement between the Investment Manager and particular Shareholders</w:t>
      </w:r>
      <w:r w:rsidRPr="00807474">
        <w:t xml:space="preserve">. Any such </w:t>
      </w:r>
      <w:r>
        <w:t>rebate</w:t>
      </w:r>
      <w:r w:rsidRPr="00807474">
        <w:t xml:space="preserve"> or </w:t>
      </w:r>
      <w:r>
        <w:t xml:space="preserve">variation </w:t>
      </w:r>
      <w:r w:rsidRPr="00807474">
        <w:t>will not entitle other Shareholders to a similar waiver.</w:t>
      </w:r>
    </w:p>
    <w:p w:rsidRPr="00807474" w:rsidR="007F6172" w:rsidP="007F6172" w:rsidRDefault="007F6172" w14:paraId="576DE3B0" w14:textId="77777777">
      <w:pPr>
        <w:jc w:val="both"/>
        <w:rPr>
          <w:rFonts w:cs="Arial"/>
        </w:rPr>
      </w:pPr>
    </w:p>
    <w:p w:rsidR="007F6172" w:rsidP="007F6172" w:rsidRDefault="007F6172" w14:paraId="2DC4AC48" w14:textId="77777777">
      <w:pPr>
        <w:pStyle w:val="L2Para"/>
        <w:jc w:val="both"/>
      </w:pPr>
      <w:r w:rsidRPr="00807474">
        <w:t>The Investment Manager shall also be entitled to be reimbursed out of the assets of</w:t>
      </w:r>
      <w:r>
        <w:t xml:space="preserve"> the Fund for reasonable out-of-</w:t>
      </w:r>
      <w:r w:rsidRPr="00807474">
        <w:t xml:space="preserve">pocket </w:t>
      </w:r>
      <w:r>
        <w:t xml:space="preserve">costs and </w:t>
      </w:r>
      <w:r w:rsidRPr="00807474">
        <w:t xml:space="preserve">expenses incurred by the Investment Manager in the performance of its duties </w:t>
      </w:r>
      <w:r w:rsidRPr="00807474">
        <w:rPr>
          <w:rFonts w:cs="Arial"/>
        </w:rPr>
        <w:t>(plus VAT thereon, if any)</w:t>
      </w:r>
      <w:r w:rsidRPr="00807474">
        <w:t>.</w:t>
      </w:r>
    </w:p>
    <w:p w:rsidRPr="00807474" w:rsidR="007F6172" w:rsidP="007F6172" w:rsidRDefault="007F6172" w14:paraId="6D121BB9" w14:textId="77777777">
      <w:pPr>
        <w:jc w:val="both"/>
      </w:pPr>
    </w:p>
    <w:p w:rsidRPr="00807474" w:rsidR="007F6172" w:rsidP="007F6172" w:rsidRDefault="007F6172" w14:paraId="6ABE72AE" w14:textId="77777777">
      <w:pPr>
        <w:pStyle w:val="L1Para"/>
        <w:jc w:val="both"/>
        <w:rPr>
          <w:rFonts w:cs="Arial"/>
          <w:b/>
        </w:rPr>
      </w:pPr>
      <w:r>
        <w:rPr>
          <w:rFonts w:cs="Arial"/>
          <w:b/>
        </w:rPr>
        <w:t>Depositary</w:t>
      </w:r>
      <w:r w:rsidRPr="00807474">
        <w:rPr>
          <w:rFonts w:cs="Arial"/>
          <w:b/>
        </w:rPr>
        <w:t xml:space="preserve"> Fee</w:t>
      </w:r>
    </w:p>
    <w:p w:rsidRPr="00807474" w:rsidR="007F6172" w:rsidP="007F6172" w:rsidRDefault="007F6172" w14:paraId="27425B66" w14:textId="77777777">
      <w:pPr>
        <w:widowControl/>
        <w:jc w:val="both"/>
        <w:rPr>
          <w:rFonts w:cs="Arial"/>
          <w:b/>
          <w:bCs/>
        </w:rPr>
      </w:pPr>
    </w:p>
    <w:p w:rsidR="00996CC0" w:rsidP="00996CC0" w:rsidRDefault="00480E54" w14:paraId="07995220" w14:textId="77777777">
      <w:pPr>
        <w:ind w:left="720"/>
        <w:jc w:val="both"/>
      </w:pPr>
      <w:r>
        <w:t xml:space="preserve">Please refer to the section of the Prospectus entitled </w:t>
      </w:r>
      <w:r w:rsidRPr="00480E54">
        <w:rPr>
          <w:b/>
          <w:bCs/>
        </w:rPr>
        <w:t>Fees and Expenses</w:t>
      </w:r>
      <w:r>
        <w:t xml:space="preserve"> for information on the Depositary’s fees.</w:t>
      </w:r>
    </w:p>
    <w:p w:rsidR="00996CC0" w:rsidP="00996CC0" w:rsidRDefault="00996CC0" w14:paraId="61F487D0" w14:textId="77777777">
      <w:pPr>
        <w:ind w:left="720"/>
        <w:jc w:val="both"/>
      </w:pPr>
    </w:p>
    <w:p w:rsidRPr="00996CC0" w:rsidR="00996CC0" w:rsidP="00996CC0" w:rsidRDefault="00996CC0" w14:paraId="6F8E9B4B" w14:textId="1FF054DE">
      <w:pPr>
        <w:ind w:left="720"/>
        <w:jc w:val="both"/>
      </w:pPr>
      <w:r w:rsidRPr="00E261CF">
        <w:rPr>
          <w:rFonts w:cs="Arial"/>
        </w:rPr>
        <w:t xml:space="preserve">This section should be read in conjunction with the </w:t>
      </w:r>
      <w:r w:rsidRPr="00E261CF">
        <w:rPr>
          <w:rFonts w:cs="Arial"/>
          <w:b/>
        </w:rPr>
        <w:t xml:space="preserve">Fees and Expenses </w:t>
      </w:r>
      <w:r w:rsidRPr="00E261CF">
        <w:rPr>
          <w:rFonts w:cs="Arial"/>
        </w:rPr>
        <w:t>section of the Prospectus.</w:t>
      </w:r>
    </w:p>
    <w:p w:rsidRPr="00B55B65" w:rsidR="007F6172" w:rsidP="00480E54" w:rsidRDefault="00D10364" w14:paraId="494DE199" w14:textId="02C666E3">
      <w:pPr>
        <w:pStyle w:val="L1Para"/>
        <w:jc w:val="both"/>
      </w:pPr>
      <w:r>
        <w:br/>
      </w:r>
      <w:r w:rsidR="007F6172">
        <w:t>Some or all of the fees and expenses of the Fund outlined above may from time to time be discharged by the Investment Manager at its sole and absolute discretion.</w:t>
      </w:r>
    </w:p>
    <w:p w:rsidRPr="007F6172" w:rsidR="00D10F76" w:rsidP="007F6172" w:rsidRDefault="00D10F76" w14:paraId="4BD48086" w14:textId="77777777"/>
    <w:sectPr w:rsidRPr="007F6172" w:rsidR="00D10F76" w:rsidSect="00422831">
      <w:headerReference w:type="default" r:id="rId9"/>
      <w:footerReference w:type="even" r:id="rId10"/>
      <w:footerReference w:type="default" r:id="rId11"/>
      <w:footerReference w:type="first" r:id="rId12"/>
      <w:pgSz w:w="11909" w:h="16834"/>
      <w:pgMar w:top="1152" w:right="1008" w:bottom="1152" w:left="1008" w:header="720" w:footer="432" w:gutter="0"/>
      <w:cols w:space="6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79A4" w:rsidRDefault="002879A4" w14:paraId="5AFC45DA" w14:textId="77777777">
      <w:r>
        <w:separator/>
      </w:r>
    </w:p>
  </w:endnote>
  <w:endnote w:type="continuationSeparator" w:id="0">
    <w:p w:rsidR="002879A4" w:rsidRDefault="002879A4" w14:paraId="6A0D3E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5D8" w:rsidP="008466D4" w:rsidRDefault="003D65D8" w14:paraId="684E2BC4" w14:textId="77777777">
    <w:pPr>
      <w:framePr w:wrap="around" w:hAnchor="margin" w:vAnchor="text" w:xAlign="center" w:y="1"/>
      <w:rPr>
        <w:rFonts w:cs="Arial"/>
      </w:rPr>
    </w:pPr>
    <w:r>
      <w:rPr>
        <w:rFonts w:cs="Arial"/>
      </w:rPr>
      <w:fldChar w:fldCharType="begin"/>
    </w:r>
    <w:r>
      <w:rPr>
        <w:rFonts w:cs="Arial"/>
      </w:rPr>
      <w:instrText xml:space="preserve">PAGE  </w:instrText>
    </w:r>
    <w:r>
      <w:rPr>
        <w:rFonts w:cs="Arial"/>
      </w:rPr>
      <w:fldChar w:fldCharType="separate"/>
    </w:r>
    <w:r>
      <w:rPr>
        <w:rFonts w:cs="Arial"/>
        <w:noProof/>
      </w:rPr>
      <w:t>4</w:t>
    </w:r>
    <w:r>
      <w:rPr>
        <w:rFonts w:cs="Arial"/>
      </w:rPr>
      <w:fldChar w:fldCharType="end"/>
    </w:r>
  </w:p>
  <w:p w:rsidRPr="004E16C1" w:rsidR="003D65D8" w:rsidP="004E16C1" w:rsidRDefault="00FC75C4" w14:paraId="19F1F15F" w14:textId="77777777">
    <w:fldSimple w:instr=" DOCPROPERTY &quot;DocRef&quot;  \* MERGEFORMAT ">
      <w:r w:rsidRPr="006F7CA5" w:rsidR="003D65D8">
        <w:rPr>
          <w:b/>
          <w:bCs/>
          <w:sz w:val="16"/>
          <w:lang w:val="en-US"/>
        </w:rPr>
        <w:t>M-21611851-39</w:t>
      </w:r>
    </w:fldSimple>
  </w:p>
  <w:p w:rsidR="003D65D8" w:rsidRDefault="003D65D8" w14:paraId="71C583F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5D8" w:rsidP="008466D4" w:rsidRDefault="003D65D8" w14:paraId="3881F06D" w14:textId="77777777">
    <w:pPr>
      <w:framePr w:wrap="around" w:hAnchor="margin" w:vAnchor="text" w:xAlign="center" w:y="1"/>
      <w:rPr>
        <w:rFonts w:cs="Arial"/>
      </w:rPr>
    </w:pPr>
    <w:r>
      <w:rPr>
        <w:rFonts w:cs="Arial"/>
      </w:rPr>
      <w:fldChar w:fldCharType="begin"/>
    </w:r>
    <w:r>
      <w:rPr>
        <w:rFonts w:cs="Arial"/>
      </w:rPr>
      <w:instrText xml:space="preserve">PAGE  </w:instrText>
    </w:r>
    <w:r>
      <w:rPr>
        <w:rFonts w:cs="Arial"/>
      </w:rPr>
      <w:fldChar w:fldCharType="separate"/>
    </w:r>
    <w:r w:rsidR="00AA6938">
      <w:rPr>
        <w:rFonts w:cs="Arial"/>
        <w:noProof/>
      </w:rPr>
      <w:t>1</w:t>
    </w:r>
    <w:r>
      <w:rPr>
        <w:rFonts w:cs="Arial"/>
      </w:rPr>
      <w:fldChar w:fldCharType="end"/>
    </w:r>
  </w:p>
  <w:p w:rsidR="003D65D8" w:rsidRDefault="003D65D8" w14:paraId="6BF15744" w14:textId="77777777"/>
  <w:p w:rsidR="003D65D8" w:rsidRDefault="003D65D8" w14:paraId="24ADCB75" w14:textId="77777777"/>
  <w:p w:rsidRPr="00432CFB" w:rsidR="003D65D8" w:rsidP="00432CFB" w:rsidRDefault="003D65D8" w14:paraId="3A6315CE" w14:textId="057ABB99">
    <w:pPr>
      <w:rPr>
        <w:rFonts w:cs="Arial"/>
        <w:sz w:val="16"/>
        <w:szCs w:val="16"/>
      </w:rPr>
    </w:pPr>
    <w:r>
      <w:rPr>
        <w:rFonts w:cs="Arial"/>
        <w:sz w:val="16"/>
        <w:szCs w:val="16"/>
      </w:rPr>
      <w:fldChar w:fldCharType="begin"/>
    </w:r>
    <w:r>
      <w:rPr>
        <w:rFonts w:cs="Arial"/>
        <w:sz w:val="16"/>
        <w:szCs w:val="16"/>
      </w:rPr>
      <w:instrText xml:space="preserve"> DOCPROPERTY "DocRef"  </w:instrText>
    </w:r>
    <w:r>
      <w:rPr>
        <w:rFonts w:cs="Arial"/>
        <w:sz w:val="16"/>
        <w:szCs w:val="16"/>
      </w:rPr>
      <w:fldChar w:fldCharType="separate"/>
    </w:r>
    <w:r>
      <w:rPr>
        <w:rFonts w:cs="Arial"/>
        <w:sz w:val="16"/>
        <w:szCs w:val="16"/>
      </w:rPr>
      <w:t>M-21611851-</w:t>
    </w:r>
    <w:r>
      <w:rPr>
        <w:rFonts w:cs="Arial"/>
        <w:sz w:val="16"/>
        <w:szCs w:val="16"/>
      </w:rPr>
      <w:fldChar w:fldCharType="end"/>
    </w:r>
    <w:r w:rsidR="00861F18">
      <w:rPr>
        <w:rFonts w:cs="Arial"/>
        <w:sz w:val="16"/>
        <w:szCs w:val="16"/>
      </w:rPr>
      <w:t>8</w:t>
    </w:r>
    <w:r w:rsidR="00DD6C69">
      <w:rPr>
        <w:rFonts w:cs="Arial"/>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E16C1" w:rsidR="003D65D8" w:rsidP="004E16C1" w:rsidRDefault="00FC75C4" w14:paraId="47EB60B7" w14:textId="77777777">
    <w:fldSimple w:instr=" DOCPROPERTY &quot;DocRef&quot;  \* MERGEFORMAT ">
      <w:r w:rsidRPr="006F7CA5" w:rsidR="003D65D8">
        <w:rPr>
          <w:b/>
          <w:bCs/>
          <w:sz w:val="16"/>
          <w:lang w:val="en-US"/>
        </w:rPr>
        <w:t>M-21611851-39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79A4" w:rsidRDefault="002879A4" w14:paraId="32537BA2" w14:textId="77777777">
      <w:r>
        <w:separator/>
      </w:r>
    </w:p>
  </w:footnote>
  <w:footnote w:type="continuationSeparator" w:id="0">
    <w:p w:rsidR="002879A4" w:rsidRDefault="002879A4" w14:paraId="624BE72A" w14:textId="77777777">
      <w:r>
        <w:continuationSeparator/>
      </w:r>
    </w:p>
  </w:footnote>
  <w:footnote w:id="1">
    <w:p w:rsidR="00892CE0" w:rsidRDefault="00892CE0" w14:paraId="37AC2EBD" w14:textId="34B2FDA5">
      <w:pPr>
        <w:pStyle w:val="FootnoteText"/>
      </w:pPr>
      <w:r>
        <w:rPr>
          <w:rStyle w:val="FootnoteReference"/>
        </w:rPr>
        <w:footnoteRef/>
      </w:r>
      <w:r>
        <w:t xml:space="preserve"> Please note that Friday 18 October 2024 is not a Dealing Day.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86D" w:rsidP="00124784" w:rsidRDefault="00D2386D" w14:paraId="0FDC5286" w14:textId="2E67B400">
    <w:pPr>
      <w:shd w:val="clear" w:color="auto" w:fill="FFFFFF"/>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2C8BC0E"/>
    <w:lvl w:ilvl="0">
      <w:start w:val="1"/>
      <w:numFmt w:val="lowerRoman"/>
      <w:pStyle w:val="Stylei"/>
      <w:lvlText w:val="(%1)"/>
      <w:lvlJc w:val="left"/>
      <w:pPr>
        <w:tabs>
          <w:tab w:val="num" w:pos="1440"/>
        </w:tabs>
        <w:ind w:left="1440" w:hanging="720"/>
      </w:pPr>
      <w:rPr>
        <w:rFonts w:ascii="Arial" w:hAnsi="Arial" w:cs="Times New Roman" w:hint="default"/>
        <w:b w:val="0"/>
        <w:i w:val="0"/>
        <w:sz w:val="20"/>
        <w:szCs w:val="20"/>
      </w:rPr>
    </w:lvl>
  </w:abstractNum>
  <w:abstractNum w:abstractNumId="1" w15:restartNumberingAfterBreak="0">
    <w:nsid w:val="FFFFFF7F"/>
    <w:multiLevelType w:val="singleLevel"/>
    <w:tmpl w:val="58400804"/>
    <w:lvl w:ilvl="0">
      <w:start w:val="1"/>
      <w:numFmt w:val="upperLetter"/>
      <w:pStyle w:val="StyleA"/>
      <w:lvlText w:val="%1."/>
      <w:lvlJc w:val="left"/>
      <w:pPr>
        <w:tabs>
          <w:tab w:val="num" w:pos="720"/>
        </w:tabs>
        <w:ind w:left="720" w:hanging="720"/>
      </w:pPr>
      <w:rPr>
        <w:rFonts w:ascii="Arial" w:hAnsi="Arial" w:cs="Times New Roman" w:hint="default"/>
        <w:b w:val="0"/>
        <w:i w:val="0"/>
        <w:sz w:val="20"/>
        <w:szCs w:val="20"/>
      </w:rPr>
    </w:lvl>
  </w:abstractNum>
  <w:abstractNum w:abstractNumId="2" w15:restartNumberingAfterBreak="0">
    <w:nsid w:val="FFFFFF88"/>
    <w:multiLevelType w:val="singleLevel"/>
    <w:tmpl w:val="0AC8D490"/>
    <w:lvl w:ilvl="0">
      <w:start w:val="1"/>
      <w:numFmt w:val="decimal"/>
      <w:pStyle w:val="Style1"/>
      <w:lvlText w:val="(%1)"/>
      <w:lvlJc w:val="left"/>
      <w:pPr>
        <w:tabs>
          <w:tab w:val="num" w:pos="1440"/>
        </w:tabs>
        <w:ind w:left="1440" w:hanging="720"/>
      </w:pPr>
      <w:rPr>
        <w:rFonts w:ascii="Arial" w:hAnsi="Arial" w:cs="Times New Roman" w:hint="default"/>
        <w:b w:val="0"/>
        <w:i w:val="0"/>
        <w:sz w:val="20"/>
        <w:szCs w:val="20"/>
      </w:rPr>
    </w:lvl>
  </w:abstractNum>
  <w:abstractNum w:abstractNumId="3" w15:restartNumberingAfterBreak="0">
    <w:nsid w:val="2176624B"/>
    <w:multiLevelType w:val="hybridMultilevel"/>
    <w:tmpl w:val="25465EA6"/>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4" w15:restartNumberingAfterBreak="0">
    <w:nsid w:val="268E3C47"/>
    <w:multiLevelType w:val="multilevel"/>
    <w:tmpl w:val="64069614"/>
    <w:lvl w:ilvl="0">
      <w:start w:val="1"/>
      <w:numFmt w:val="decimal"/>
      <w:pStyle w:val="AppendixHeading"/>
      <w:suff w:val="nothing"/>
      <w:lvlText w:val="Appendix %1"/>
      <w:lvlJc w:val="left"/>
      <w:pPr>
        <w:ind w:left="0" w:firstLine="0"/>
      </w:pPr>
      <w:rPr>
        <w:rFonts w:ascii="Arial Bold" w:hAnsi="Arial Bold" w:hint="default"/>
        <w:b/>
        <w:i w:val="0"/>
        <w:caps/>
        <w:strike w:val="0"/>
        <w:dstrike w:val="0"/>
        <w:vanish w:val="0"/>
        <w:sz w:val="19"/>
        <w:vertAlign w:val="baseline"/>
      </w:rPr>
    </w:lvl>
    <w:lvl w:ilvl="1">
      <w:start w:val="1"/>
      <w:numFmt w:val="decimal"/>
      <w:pStyle w:val="AppendixPart"/>
      <w:suff w:val="nothing"/>
      <w:lvlText w:val="Part %2"/>
      <w:lvlJc w:val="left"/>
      <w:pPr>
        <w:ind w:left="0" w:firstLine="0"/>
      </w:pPr>
      <w:rPr>
        <w:rFonts w:ascii="Arial" w:hAnsi="Arial" w:hint="default"/>
        <w:b/>
        <w:i w:val="0"/>
        <w:caps w:val="0"/>
        <w:strike w:val="0"/>
        <w:dstrike w:val="0"/>
        <w:vanish w:val="0"/>
        <w:sz w:val="19"/>
        <w:vertAlign w:val="baseline"/>
      </w:rPr>
    </w:lvl>
    <w:lvl w:ilvl="2">
      <w:start w:val="1"/>
      <w:numFmt w:val="decimal"/>
      <w:pStyle w:val="Appendix1Number"/>
      <w:lvlText w:val="%3"/>
      <w:lvlJc w:val="left"/>
      <w:pPr>
        <w:ind w:left="624" w:hanging="624"/>
      </w:pPr>
      <w:rPr>
        <w:rFonts w:ascii="Arial" w:hAnsi="Arial" w:hint="default"/>
        <w:b w:val="0"/>
        <w:i w:val="0"/>
        <w:sz w:val="19"/>
      </w:rPr>
    </w:lvl>
    <w:lvl w:ilvl="3">
      <w:start w:val="1"/>
      <w:numFmt w:val="decimal"/>
      <w:pStyle w:val="Appendix2Number"/>
      <w:lvlText w:val="%3.%4"/>
      <w:lvlJc w:val="left"/>
      <w:pPr>
        <w:ind w:left="624" w:hanging="624"/>
      </w:pPr>
      <w:rPr>
        <w:rFonts w:ascii="Arial" w:hAnsi="Arial" w:hint="default"/>
        <w:b w:val="0"/>
        <w:i w:val="0"/>
        <w:caps w:val="0"/>
        <w:strike w:val="0"/>
        <w:dstrike w:val="0"/>
        <w:vanish w:val="0"/>
        <w:sz w:val="19"/>
        <w:vertAlign w:val="baseline"/>
      </w:rPr>
    </w:lvl>
    <w:lvl w:ilvl="4">
      <w:start w:val="1"/>
      <w:numFmt w:val="decimal"/>
      <w:pStyle w:val="Appendix3Number"/>
      <w:lvlText w:val="%3.%4.%5"/>
      <w:lvlJc w:val="left"/>
      <w:pPr>
        <w:ind w:left="1361" w:hanging="737"/>
      </w:pPr>
      <w:rPr>
        <w:rFonts w:ascii="Arial" w:hAnsi="Arial" w:hint="default"/>
        <w:b w:val="0"/>
        <w:i w:val="0"/>
        <w:caps w:val="0"/>
        <w:strike w:val="0"/>
        <w:dstrike w:val="0"/>
        <w:vanish w:val="0"/>
        <w:sz w:val="19"/>
        <w:vertAlign w:val="baseline"/>
      </w:rPr>
    </w:lvl>
    <w:lvl w:ilvl="5">
      <w:start w:val="1"/>
      <w:numFmt w:val="lowerLetter"/>
      <w:pStyle w:val="Appendix4Number"/>
      <w:lvlText w:val="(%6)"/>
      <w:lvlJc w:val="left"/>
      <w:pPr>
        <w:ind w:left="1814" w:hanging="453"/>
      </w:pPr>
      <w:rPr>
        <w:rFonts w:ascii="Arial" w:hAnsi="Arial" w:hint="default"/>
        <w:b w:val="0"/>
        <w:i w:val="0"/>
        <w:caps w:val="0"/>
        <w:strike w:val="0"/>
        <w:dstrike w:val="0"/>
        <w:vanish w:val="0"/>
        <w:sz w:val="19"/>
        <w:vertAlign w:val="baseline"/>
      </w:rPr>
    </w:lvl>
    <w:lvl w:ilvl="6">
      <w:start w:val="1"/>
      <w:numFmt w:val="lowerRoman"/>
      <w:pStyle w:val="Appendix5Number"/>
      <w:lvlText w:val="(%7)"/>
      <w:lvlJc w:val="left"/>
      <w:pPr>
        <w:ind w:left="2211" w:hanging="397"/>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sz w:val="19"/>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5" w15:restartNumberingAfterBreak="0">
    <w:nsid w:val="38124B88"/>
    <w:multiLevelType w:val="multilevel"/>
    <w:tmpl w:val="9F027D4C"/>
    <w:lvl w:ilvl="0">
      <w:start w:val="1"/>
      <w:numFmt w:val="decimal"/>
      <w:pStyle w:val="ALGNo1"/>
      <w:lvlText w:val="%1"/>
      <w:lvlJc w:val="left"/>
      <w:pPr>
        <w:ind w:left="624" w:hanging="624"/>
      </w:pPr>
      <w:rPr>
        <w:rFonts w:ascii="Arial" w:hAnsi="Arial" w:hint="default"/>
        <w:b w:val="0"/>
        <w:i w:val="0"/>
        <w:caps w:val="0"/>
        <w:strike w:val="0"/>
        <w:dstrike w:val="0"/>
        <w:vanish w:val="0"/>
        <w:sz w:val="19"/>
        <w:vertAlign w:val="baseline"/>
      </w:rPr>
    </w:lvl>
    <w:lvl w:ilvl="1">
      <w:start w:val="1"/>
      <w:numFmt w:val="decimal"/>
      <w:pStyle w:val="ALGNo2"/>
      <w:lvlText w:val="%1.%2"/>
      <w:lvlJc w:val="left"/>
      <w:pPr>
        <w:ind w:left="624" w:hanging="624"/>
      </w:pPr>
      <w:rPr>
        <w:rFonts w:ascii="Arial" w:hAnsi="Arial" w:hint="default"/>
        <w:b w:val="0"/>
        <w:i w:val="0"/>
        <w:caps w:val="0"/>
        <w:strike w:val="0"/>
        <w:dstrike w:val="0"/>
        <w:vanish w:val="0"/>
        <w:sz w:val="19"/>
        <w:vertAlign w:val="baseline"/>
      </w:rPr>
    </w:lvl>
    <w:lvl w:ilvl="2">
      <w:start w:val="1"/>
      <w:numFmt w:val="decimal"/>
      <w:pStyle w:val="ALGNo3"/>
      <w:lvlText w:val="%1.%2.%3"/>
      <w:lvlJc w:val="left"/>
      <w:pPr>
        <w:ind w:left="1474" w:hanging="850"/>
      </w:pPr>
      <w:rPr>
        <w:rFonts w:ascii="Arial" w:hAnsi="Arial" w:hint="default"/>
        <w:b w:val="0"/>
        <w:i w:val="0"/>
        <w:caps w:val="0"/>
        <w:strike w:val="0"/>
        <w:dstrike w:val="0"/>
        <w:vanish w:val="0"/>
        <w:sz w:val="19"/>
        <w:vertAlign w:val="baseline"/>
      </w:rPr>
    </w:lvl>
    <w:lvl w:ilvl="3">
      <w:start w:val="1"/>
      <w:numFmt w:val="lowerLetter"/>
      <w:pStyle w:val="ALGNo4"/>
      <w:lvlText w:val="(%4)"/>
      <w:lvlJc w:val="left"/>
      <w:pPr>
        <w:ind w:left="1814" w:hanging="340"/>
      </w:pPr>
      <w:rPr>
        <w:rFonts w:ascii="Arial" w:hAnsi="Arial" w:hint="default"/>
        <w:b w:val="0"/>
        <w:i w:val="0"/>
        <w:caps w:val="0"/>
        <w:strike w:val="0"/>
        <w:dstrike w:val="0"/>
        <w:vanish w:val="0"/>
        <w:sz w:val="19"/>
        <w:vertAlign w:val="baseline"/>
      </w:rPr>
    </w:lvl>
    <w:lvl w:ilvl="4">
      <w:start w:val="1"/>
      <w:numFmt w:val="lowerRoman"/>
      <w:pStyle w:val="ALGNo5"/>
      <w:lvlText w:val="(%5)"/>
      <w:lvlJc w:val="left"/>
      <w:pPr>
        <w:ind w:left="2268" w:hanging="454"/>
      </w:pPr>
      <w:rPr>
        <w:rFonts w:ascii="Arial" w:hAnsi="Arial" w:hint="default"/>
        <w:b w:val="0"/>
        <w:i w:val="0"/>
        <w:caps w:val="0"/>
        <w:strike w:val="0"/>
        <w:dstrike w:val="0"/>
        <w:vanish w:val="0"/>
        <w:sz w:val="19"/>
        <w:vertAlign w:val="baseline"/>
      </w:rPr>
    </w:lvl>
    <w:lvl w:ilvl="5">
      <w:start w:val="1"/>
      <w:numFmt w:val="upperLetter"/>
      <w:pStyle w:val="ALGNo6"/>
      <w:lvlText w:val="(%6)"/>
      <w:lvlJc w:val="left"/>
      <w:pPr>
        <w:ind w:left="2552" w:hanging="341"/>
      </w:pPr>
      <w:rPr>
        <w:rFonts w:ascii="Arial" w:hAnsi="Arial" w:hint="default"/>
        <w:b w:val="0"/>
        <w:i w:val="0"/>
        <w:caps w:val="0"/>
        <w:strike w:val="0"/>
        <w:dstrike w:val="0"/>
        <w:vanish w:val="0"/>
        <w:sz w:val="19"/>
        <w:vertAlign w:val="baseline"/>
      </w:rPr>
    </w:lvl>
    <w:lvl w:ilvl="6">
      <w:start w:val="1"/>
      <w:numFmt w:val="decimal"/>
      <w:pStyle w:val="ALGNo7"/>
      <w:lvlText w:val="(%7)"/>
      <w:lvlJc w:val="left"/>
      <w:pPr>
        <w:ind w:left="2948" w:hanging="34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6" w15:restartNumberingAfterBreak="0">
    <w:nsid w:val="382C3F96"/>
    <w:multiLevelType w:val="multilevel"/>
    <w:tmpl w:val="8AA42982"/>
    <w:lvl w:ilvl="0">
      <w:start w:val="1"/>
      <w:numFmt w:val="bullet"/>
      <w:pStyle w:val="BulletL1"/>
      <w:lvlText w:val=""/>
      <w:lvlJc w:val="left"/>
      <w:pPr>
        <w:ind w:left="624" w:hanging="624"/>
      </w:pPr>
      <w:rPr>
        <w:rFonts w:ascii="Symbol" w:hAnsi="Symbol" w:hint="default"/>
        <w:b w:val="0"/>
        <w:i w:val="0"/>
        <w:caps w:val="0"/>
        <w:strike w:val="0"/>
        <w:dstrike w:val="0"/>
        <w:vanish w:val="0"/>
        <w:color w:val="auto"/>
        <w:sz w:val="19"/>
        <w:vertAlign w:val="baseline"/>
      </w:rPr>
    </w:lvl>
    <w:lvl w:ilvl="1">
      <w:start w:val="1"/>
      <w:numFmt w:val="bullet"/>
      <w:lvlRestart w:val="0"/>
      <w:pStyle w:val="BulletL2"/>
      <w:lvlText w:val=""/>
      <w:lvlJc w:val="left"/>
      <w:pPr>
        <w:tabs>
          <w:tab w:val="num" w:pos="624"/>
        </w:tabs>
        <w:ind w:left="1361" w:hanging="737"/>
      </w:pPr>
      <w:rPr>
        <w:rFonts w:ascii="Symbol" w:hAnsi="Symbol" w:hint="default"/>
        <w:b w:val="0"/>
        <w:i w:val="0"/>
        <w:caps w:val="0"/>
        <w:strike w:val="0"/>
        <w:dstrike w:val="0"/>
        <w:vanish w:val="0"/>
        <w:color w:val="auto"/>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7" w15:restartNumberingAfterBreak="0">
    <w:nsid w:val="3A5F15ED"/>
    <w:multiLevelType w:val="multilevel"/>
    <w:tmpl w:val="B31E0B3C"/>
    <w:lvl w:ilvl="0">
      <w:start w:val="1"/>
      <w:numFmt w:val="decimal"/>
      <w:pStyle w:val="ScheduleHeading"/>
      <w:suff w:val="nothing"/>
      <w:lvlText w:val="Schedule %1"/>
      <w:lvlJc w:val="left"/>
      <w:pPr>
        <w:ind w:left="0" w:firstLine="0"/>
      </w:pPr>
      <w:rPr>
        <w:rFonts w:ascii="Arial" w:hAnsi="Arial" w:hint="default"/>
        <w:b/>
        <w:i w:val="0"/>
        <w:caps/>
        <w:strike w:val="0"/>
        <w:dstrike w:val="0"/>
        <w:vanish w:val="0"/>
        <w:sz w:val="19"/>
        <w:vertAlign w:val="baseline"/>
      </w:rPr>
    </w:lvl>
    <w:lvl w:ilvl="1">
      <w:start w:val="1"/>
      <w:numFmt w:val="decimal"/>
      <w:pStyle w:val="SchedulePart"/>
      <w:suff w:val="nothing"/>
      <w:lvlText w:val="Part %2  "/>
      <w:lvlJc w:val="left"/>
      <w:pPr>
        <w:ind w:left="0" w:firstLine="0"/>
      </w:pPr>
      <w:rPr>
        <w:rFonts w:hint="default"/>
      </w:rPr>
    </w:lvl>
    <w:lvl w:ilvl="2">
      <w:start w:val="1"/>
      <w:numFmt w:val="decimal"/>
      <w:lvlRestart w:val="1"/>
      <w:pStyle w:val="Schedule1Number"/>
      <w:lvlText w:val="%3"/>
      <w:lvlJc w:val="left"/>
      <w:pPr>
        <w:ind w:left="624" w:hanging="624"/>
      </w:pPr>
      <w:rPr>
        <w:rFonts w:ascii="Arial" w:hAnsi="Arial" w:hint="default"/>
        <w:b w:val="0"/>
        <w:i w:val="0"/>
        <w:caps w:val="0"/>
        <w:strike w:val="0"/>
        <w:dstrike w:val="0"/>
        <w:vanish w:val="0"/>
        <w:sz w:val="19"/>
        <w:vertAlign w:val="baseline"/>
      </w:rPr>
    </w:lvl>
    <w:lvl w:ilvl="3">
      <w:start w:val="1"/>
      <w:numFmt w:val="decimal"/>
      <w:pStyle w:val="Schedule2Number"/>
      <w:lvlText w:val="%3.%4"/>
      <w:lvlJc w:val="left"/>
      <w:pPr>
        <w:ind w:left="624" w:hanging="624"/>
      </w:pPr>
      <w:rPr>
        <w:rFonts w:ascii="Arial" w:hAnsi="Arial" w:hint="default"/>
        <w:b w:val="0"/>
        <w:i w:val="0"/>
        <w:sz w:val="19"/>
      </w:rPr>
    </w:lvl>
    <w:lvl w:ilvl="4">
      <w:start w:val="1"/>
      <w:numFmt w:val="decimal"/>
      <w:pStyle w:val="Schedule3Number"/>
      <w:lvlText w:val="%3.%4.%5"/>
      <w:lvlJc w:val="left"/>
      <w:pPr>
        <w:ind w:left="1474" w:hanging="850"/>
      </w:pPr>
      <w:rPr>
        <w:rFonts w:ascii="Arial" w:hAnsi="Arial" w:hint="default"/>
        <w:b w:val="0"/>
        <w:i w:val="0"/>
        <w:sz w:val="19"/>
      </w:rPr>
    </w:lvl>
    <w:lvl w:ilvl="5">
      <w:start w:val="1"/>
      <w:numFmt w:val="lowerLetter"/>
      <w:pStyle w:val="Schedule4Number"/>
      <w:lvlText w:val="(%6)"/>
      <w:lvlJc w:val="left"/>
      <w:pPr>
        <w:ind w:left="1814" w:hanging="340"/>
      </w:pPr>
      <w:rPr>
        <w:rFonts w:ascii="Arial" w:hAnsi="Arial" w:hint="default"/>
        <w:b w:val="0"/>
        <w:i w:val="0"/>
        <w:sz w:val="19"/>
      </w:rPr>
    </w:lvl>
    <w:lvl w:ilvl="6">
      <w:start w:val="1"/>
      <w:numFmt w:val="lowerRoman"/>
      <w:pStyle w:val="Schedule5Number"/>
      <w:lvlText w:val="(%7)"/>
      <w:lvlJc w:val="left"/>
      <w:pPr>
        <w:ind w:left="2155" w:hanging="341"/>
      </w:pPr>
      <w:rPr>
        <w:rFonts w:ascii="Arial" w:hAnsi="Arial" w:hint="default"/>
        <w:b w:val="0"/>
        <w:i w:val="0"/>
        <w:sz w:val="19"/>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8" w15:restartNumberingAfterBreak="0">
    <w:nsid w:val="3FF02991"/>
    <w:multiLevelType w:val="multilevel"/>
    <w:tmpl w:val="4322C77C"/>
    <w:lvl w:ilvl="0">
      <w:start w:val="1"/>
      <w:numFmt w:val="none"/>
      <w:pStyle w:val="Definition"/>
      <w:suff w:val="nothing"/>
      <w:lvlText w:val=""/>
      <w:lvlJc w:val="left"/>
      <w:pPr>
        <w:ind w:left="624" w:firstLine="0"/>
      </w:pPr>
      <w:rPr>
        <w:rFonts w:ascii="Arial" w:hAnsi="Arial" w:hint="default"/>
        <w:b w:val="0"/>
        <w:i w:val="0"/>
        <w:caps w:val="0"/>
        <w:strike w:val="0"/>
        <w:dstrike w:val="0"/>
        <w:vanish w:val="0"/>
        <w:sz w:val="19"/>
        <w:vertAlign w:val="baseline"/>
      </w:rPr>
    </w:lvl>
    <w:lvl w:ilvl="1">
      <w:start w:val="1"/>
      <w:numFmt w:val="lowerLetter"/>
      <w:pStyle w:val="Definitiona"/>
      <w:lvlText w:val="%1(%2)"/>
      <w:lvlJc w:val="left"/>
      <w:pPr>
        <w:ind w:left="1361" w:hanging="737"/>
      </w:pPr>
      <w:rPr>
        <w:rFonts w:ascii="Arial" w:hAnsi="Arial" w:hint="default"/>
        <w:b w:val="0"/>
        <w:i w:val="0"/>
        <w:caps w:val="0"/>
        <w:strike w:val="0"/>
        <w:dstrike w:val="0"/>
        <w:vanish w:val="0"/>
        <w:sz w:val="19"/>
        <w:vertAlign w:val="baseline"/>
      </w:rPr>
    </w:lvl>
    <w:lvl w:ilvl="2">
      <w:start w:val="1"/>
      <w:numFmt w:val="lowerRoman"/>
      <w:pStyle w:val="Definitioni"/>
      <w:lvlText w:val="%1(%3)"/>
      <w:lvlJc w:val="left"/>
      <w:pPr>
        <w:ind w:left="1814" w:hanging="453"/>
      </w:pPr>
      <w:rPr>
        <w:rFonts w:ascii="Arial" w:hAnsi="Arial" w:hint="default"/>
        <w:b w:val="0"/>
        <w:i w:val="0"/>
        <w:caps w:val="0"/>
        <w:strike w:val="0"/>
        <w:dstrike w:val="0"/>
        <w:vanish w:val="0"/>
        <w:sz w:val="19"/>
        <w:vertAlign w:val="baseline"/>
      </w:rPr>
    </w:lvl>
    <w:lvl w:ilvl="3">
      <w:start w:val="1"/>
      <w:numFmt w:val="upperLetter"/>
      <w:pStyle w:val="DefinitionA0"/>
      <w:lvlText w:val="%1(%4)"/>
      <w:lvlJc w:val="left"/>
      <w:pPr>
        <w:ind w:left="2211" w:hanging="397"/>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6%1"/>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9" w15:restartNumberingAfterBreak="0">
    <w:nsid w:val="40635629"/>
    <w:multiLevelType w:val="multilevel"/>
    <w:tmpl w:val="4B4C20CE"/>
    <w:name w:val="Parties"/>
    <w:lvl w:ilvl="0">
      <w:start w:val="1"/>
      <w:numFmt w:val="decimal"/>
      <w:pStyle w:val="Parties"/>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0" w15:restartNumberingAfterBreak="0">
    <w:nsid w:val="4E682DEC"/>
    <w:multiLevelType w:val="hybridMultilevel"/>
    <w:tmpl w:val="71122E72"/>
    <w:lvl w:ilvl="0" w:tplc="7E1EA9D2">
      <w:start w:val="1"/>
      <w:numFmt w:val="decimal"/>
      <w:pStyle w:val="PrecNote1"/>
      <w:lvlText w:val="%1"/>
      <w:lvlJc w:val="left"/>
      <w:pPr>
        <w:ind w:left="720" w:hanging="360"/>
      </w:pPr>
      <w:rPr>
        <w:rFonts w:hint="default"/>
        <w:sz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4514964"/>
    <w:multiLevelType w:val="multilevel"/>
    <w:tmpl w:val="98B4C868"/>
    <w:name w:val="Recitals"/>
    <w:lvl w:ilvl="0">
      <w:start w:val="1"/>
      <w:numFmt w:val="upperLetter"/>
      <w:pStyle w:val="RecitalsA"/>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2" w15:restartNumberingAfterBreak="0">
    <w:nsid w:val="7C482A4B"/>
    <w:multiLevelType w:val="multilevel"/>
    <w:tmpl w:val="C9C41C44"/>
    <w:lvl w:ilvl="0">
      <w:start w:val="1"/>
      <w:numFmt w:val="decimal"/>
      <w:pStyle w:val="Heading1"/>
      <w:lvlText w:val="%1."/>
      <w:lvlJc w:val="left"/>
      <w:pPr>
        <w:tabs>
          <w:tab w:val="num" w:pos="720"/>
        </w:tabs>
        <w:ind w:left="720" w:hanging="720"/>
      </w:pPr>
      <w:rPr>
        <w:rFonts w:ascii="Arial" w:hAnsi="Arial" w:cs="Times New Roman" w:hint="default"/>
        <w:b/>
        <w:i w:val="0"/>
        <w:sz w:val="20"/>
        <w:szCs w:val="20"/>
      </w:rPr>
    </w:lvl>
    <w:lvl w:ilvl="1">
      <w:start w:val="1"/>
      <w:numFmt w:val="decimal"/>
      <w:pStyle w:val="Heading2"/>
      <w:lvlText w:val="%1.%2."/>
      <w:lvlJc w:val="left"/>
      <w:pPr>
        <w:tabs>
          <w:tab w:val="num" w:pos="720"/>
        </w:tabs>
        <w:ind w:left="720" w:hanging="720"/>
      </w:pPr>
      <w:rPr>
        <w:rFonts w:ascii="Arial" w:hAnsi="Arial" w:cs="Times New Roman" w:hint="default"/>
        <w:b w:val="0"/>
        <w:i w:val="0"/>
        <w:sz w:val="20"/>
        <w:szCs w:val="20"/>
      </w:rPr>
    </w:lvl>
    <w:lvl w:ilvl="2">
      <w:start w:val="1"/>
      <w:numFmt w:val="decimal"/>
      <w:pStyle w:val="Heading3"/>
      <w:lvlText w:val="%1.%2.%3."/>
      <w:lvlJc w:val="left"/>
      <w:pPr>
        <w:tabs>
          <w:tab w:val="num" w:pos="1440"/>
        </w:tabs>
        <w:ind w:left="1440" w:hanging="720"/>
      </w:pPr>
      <w:rPr>
        <w:rFonts w:ascii="Arial" w:hAnsi="Arial" w:cs="Times New Roman" w:hint="default"/>
        <w:b w:val="0"/>
        <w:i w:val="0"/>
      </w:rPr>
    </w:lvl>
    <w:lvl w:ilvl="3">
      <w:start w:val="1"/>
      <w:numFmt w:val="decimal"/>
      <w:pStyle w:val="Heading4"/>
      <w:lvlText w:val="(%4)"/>
      <w:lvlJc w:val="left"/>
      <w:pPr>
        <w:tabs>
          <w:tab w:val="num" w:pos="2160"/>
        </w:tabs>
        <w:ind w:left="2160" w:hanging="720"/>
      </w:pPr>
      <w:rPr>
        <w:rFonts w:ascii="Arial" w:hAnsi="Arial" w:cs="Times New Roman" w:hint="default"/>
        <w:b w:val="0"/>
        <w:i w:val="0"/>
        <w:sz w:val="20"/>
        <w:szCs w:val="20"/>
      </w:rPr>
    </w:lvl>
    <w:lvl w:ilvl="4">
      <w:start w:val="1"/>
      <w:numFmt w:val="lowerLetter"/>
      <w:pStyle w:val="Heading5"/>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num w:numId="1" w16cid:durableId="1124347463">
    <w:abstractNumId w:val="12"/>
  </w:num>
  <w:num w:numId="2" w16cid:durableId="629089286">
    <w:abstractNumId w:val="12"/>
  </w:num>
  <w:num w:numId="3" w16cid:durableId="1444113529">
    <w:abstractNumId w:val="2"/>
  </w:num>
  <w:num w:numId="4" w16cid:durableId="406221938">
    <w:abstractNumId w:val="0"/>
  </w:num>
  <w:num w:numId="5" w16cid:durableId="964887838">
    <w:abstractNumId w:val="1"/>
  </w:num>
  <w:num w:numId="6" w16cid:durableId="113995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0081726">
    <w:abstractNumId w:val="3"/>
  </w:num>
  <w:num w:numId="8" w16cid:durableId="152571516">
    <w:abstractNumId w:val="5"/>
  </w:num>
  <w:num w:numId="9" w16cid:durableId="723255402">
    <w:abstractNumId w:val="4"/>
  </w:num>
  <w:num w:numId="10" w16cid:durableId="1470395430">
    <w:abstractNumId w:val="6"/>
  </w:num>
  <w:num w:numId="11" w16cid:durableId="69356884">
    <w:abstractNumId w:val="8"/>
  </w:num>
  <w:num w:numId="12" w16cid:durableId="202984140">
    <w:abstractNumId w:val="9"/>
  </w:num>
  <w:num w:numId="13" w16cid:durableId="1158182447">
    <w:abstractNumId w:val="10"/>
  </w:num>
  <w:num w:numId="14" w16cid:durableId="949750344">
    <w:abstractNumId w:val="11"/>
  </w:num>
  <w:num w:numId="15" w16cid:durableId="166808963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A6"/>
    <w:rsid w:val="00000AEA"/>
    <w:rsid w:val="0000115F"/>
    <w:rsid w:val="0000301C"/>
    <w:rsid w:val="00005959"/>
    <w:rsid w:val="00006E8F"/>
    <w:rsid w:val="00010B6D"/>
    <w:rsid w:val="00012017"/>
    <w:rsid w:val="00014171"/>
    <w:rsid w:val="0001429F"/>
    <w:rsid w:val="00020C65"/>
    <w:rsid w:val="000237EF"/>
    <w:rsid w:val="00023946"/>
    <w:rsid w:val="00024C5C"/>
    <w:rsid w:val="00026108"/>
    <w:rsid w:val="00030AD8"/>
    <w:rsid w:val="00033086"/>
    <w:rsid w:val="000336A6"/>
    <w:rsid w:val="000350DE"/>
    <w:rsid w:val="00035DE0"/>
    <w:rsid w:val="0004077F"/>
    <w:rsid w:val="00043EB1"/>
    <w:rsid w:val="0005031F"/>
    <w:rsid w:val="00051162"/>
    <w:rsid w:val="000511F7"/>
    <w:rsid w:val="00051C5D"/>
    <w:rsid w:val="00054515"/>
    <w:rsid w:val="000608DE"/>
    <w:rsid w:val="000612BA"/>
    <w:rsid w:val="00067150"/>
    <w:rsid w:val="0006739D"/>
    <w:rsid w:val="00067AA6"/>
    <w:rsid w:val="00067B64"/>
    <w:rsid w:val="0007160A"/>
    <w:rsid w:val="00073480"/>
    <w:rsid w:val="00073579"/>
    <w:rsid w:val="000748BA"/>
    <w:rsid w:val="00075332"/>
    <w:rsid w:val="00080806"/>
    <w:rsid w:val="0008327E"/>
    <w:rsid w:val="00087DD6"/>
    <w:rsid w:val="00095636"/>
    <w:rsid w:val="00095B3A"/>
    <w:rsid w:val="000A3E5C"/>
    <w:rsid w:val="000A40B5"/>
    <w:rsid w:val="000A508E"/>
    <w:rsid w:val="000A5242"/>
    <w:rsid w:val="000A651F"/>
    <w:rsid w:val="000A7D97"/>
    <w:rsid w:val="000B1224"/>
    <w:rsid w:val="000B3739"/>
    <w:rsid w:val="000B4DC7"/>
    <w:rsid w:val="000C2196"/>
    <w:rsid w:val="000C2D1E"/>
    <w:rsid w:val="000C47CA"/>
    <w:rsid w:val="000C649A"/>
    <w:rsid w:val="000C66FD"/>
    <w:rsid w:val="000D19BB"/>
    <w:rsid w:val="000D359C"/>
    <w:rsid w:val="000D4A3A"/>
    <w:rsid w:val="000D4FC3"/>
    <w:rsid w:val="000D6821"/>
    <w:rsid w:val="000D79AC"/>
    <w:rsid w:val="000E4B15"/>
    <w:rsid w:val="000E503D"/>
    <w:rsid w:val="000E5AE4"/>
    <w:rsid w:val="000E7301"/>
    <w:rsid w:val="000F225C"/>
    <w:rsid w:val="000F318D"/>
    <w:rsid w:val="000F3A52"/>
    <w:rsid w:val="000F7604"/>
    <w:rsid w:val="000F7FF4"/>
    <w:rsid w:val="00104FBA"/>
    <w:rsid w:val="00105460"/>
    <w:rsid w:val="001075D6"/>
    <w:rsid w:val="00115D79"/>
    <w:rsid w:val="00117BD1"/>
    <w:rsid w:val="00123A32"/>
    <w:rsid w:val="00123AD1"/>
    <w:rsid w:val="00124784"/>
    <w:rsid w:val="00126CC7"/>
    <w:rsid w:val="0012701D"/>
    <w:rsid w:val="00132FBF"/>
    <w:rsid w:val="001359B9"/>
    <w:rsid w:val="00136533"/>
    <w:rsid w:val="00137246"/>
    <w:rsid w:val="0014290E"/>
    <w:rsid w:val="001439D7"/>
    <w:rsid w:val="00144FB0"/>
    <w:rsid w:val="00150AD3"/>
    <w:rsid w:val="0015176C"/>
    <w:rsid w:val="00151924"/>
    <w:rsid w:val="00157207"/>
    <w:rsid w:val="001604BF"/>
    <w:rsid w:val="001627C3"/>
    <w:rsid w:val="00162FA3"/>
    <w:rsid w:val="00165AD6"/>
    <w:rsid w:val="00165E67"/>
    <w:rsid w:val="00167B08"/>
    <w:rsid w:val="00171569"/>
    <w:rsid w:val="001715F4"/>
    <w:rsid w:val="001764CA"/>
    <w:rsid w:val="001765C5"/>
    <w:rsid w:val="00180146"/>
    <w:rsid w:val="0018015B"/>
    <w:rsid w:val="00181E40"/>
    <w:rsid w:val="00182E5B"/>
    <w:rsid w:val="00184C58"/>
    <w:rsid w:val="00184F1B"/>
    <w:rsid w:val="001862CA"/>
    <w:rsid w:val="00190108"/>
    <w:rsid w:val="0019209A"/>
    <w:rsid w:val="0019422A"/>
    <w:rsid w:val="001961C4"/>
    <w:rsid w:val="00196D4E"/>
    <w:rsid w:val="0019754B"/>
    <w:rsid w:val="00197EA6"/>
    <w:rsid w:val="001A16B3"/>
    <w:rsid w:val="001A2753"/>
    <w:rsid w:val="001A2FE1"/>
    <w:rsid w:val="001A6DD4"/>
    <w:rsid w:val="001B0127"/>
    <w:rsid w:val="001B2F3C"/>
    <w:rsid w:val="001B44BD"/>
    <w:rsid w:val="001B4A22"/>
    <w:rsid w:val="001B5D4A"/>
    <w:rsid w:val="001C20AA"/>
    <w:rsid w:val="001C2A12"/>
    <w:rsid w:val="001C3F32"/>
    <w:rsid w:val="001C5265"/>
    <w:rsid w:val="001C53AA"/>
    <w:rsid w:val="001C5DD8"/>
    <w:rsid w:val="001C75F0"/>
    <w:rsid w:val="001C7E5A"/>
    <w:rsid w:val="001D4FE9"/>
    <w:rsid w:val="001D7B19"/>
    <w:rsid w:val="001E069E"/>
    <w:rsid w:val="001E0F89"/>
    <w:rsid w:val="001E14E3"/>
    <w:rsid w:val="001E28E7"/>
    <w:rsid w:val="001E4C14"/>
    <w:rsid w:val="001E6029"/>
    <w:rsid w:val="001F041B"/>
    <w:rsid w:val="001F3B64"/>
    <w:rsid w:val="001F51F7"/>
    <w:rsid w:val="00202681"/>
    <w:rsid w:val="00203DC5"/>
    <w:rsid w:val="0020688E"/>
    <w:rsid w:val="00207C05"/>
    <w:rsid w:val="002142B1"/>
    <w:rsid w:val="002150C7"/>
    <w:rsid w:val="00216F29"/>
    <w:rsid w:val="00217557"/>
    <w:rsid w:val="00220C71"/>
    <w:rsid w:val="00221C74"/>
    <w:rsid w:val="00227386"/>
    <w:rsid w:val="00227CA4"/>
    <w:rsid w:val="002322BD"/>
    <w:rsid w:val="00234917"/>
    <w:rsid w:val="00235240"/>
    <w:rsid w:val="002368FD"/>
    <w:rsid w:val="00236B28"/>
    <w:rsid w:val="00243572"/>
    <w:rsid w:val="00243852"/>
    <w:rsid w:val="00243CAF"/>
    <w:rsid w:val="002467FC"/>
    <w:rsid w:val="00246CE0"/>
    <w:rsid w:val="00247049"/>
    <w:rsid w:val="00250430"/>
    <w:rsid w:val="002523F5"/>
    <w:rsid w:val="00262450"/>
    <w:rsid w:val="00263B5E"/>
    <w:rsid w:val="00265494"/>
    <w:rsid w:val="00266182"/>
    <w:rsid w:val="00267484"/>
    <w:rsid w:val="00270984"/>
    <w:rsid w:val="00272761"/>
    <w:rsid w:val="00272DDE"/>
    <w:rsid w:val="00280983"/>
    <w:rsid w:val="002809D8"/>
    <w:rsid w:val="002827E1"/>
    <w:rsid w:val="00283AC3"/>
    <w:rsid w:val="0028460F"/>
    <w:rsid w:val="00284F2D"/>
    <w:rsid w:val="002879A4"/>
    <w:rsid w:val="00291856"/>
    <w:rsid w:val="00293A71"/>
    <w:rsid w:val="002A0C3F"/>
    <w:rsid w:val="002A238A"/>
    <w:rsid w:val="002A2F47"/>
    <w:rsid w:val="002A3021"/>
    <w:rsid w:val="002A531E"/>
    <w:rsid w:val="002A5DFB"/>
    <w:rsid w:val="002B01E4"/>
    <w:rsid w:val="002B0F1A"/>
    <w:rsid w:val="002B4A64"/>
    <w:rsid w:val="002C3488"/>
    <w:rsid w:val="002C4AC4"/>
    <w:rsid w:val="002C6A37"/>
    <w:rsid w:val="002D0BDF"/>
    <w:rsid w:val="002D0FF1"/>
    <w:rsid w:val="002D19CE"/>
    <w:rsid w:val="002D44FE"/>
    <w:rsid w:val="002D45AA"/>
    <w:rsid w:val="002D6332"/>
    <w:rsid w:val="002D70A6"/>
    <w:rsid w:val="002E0270"/>
    <w:rsid w:val="002E1D40"/>
    <w:rsid w:val="002E7B94"/>
    <w:rsid w:val="002F1B0E"/>
    <w:rsid w:val="002F22D6"/>
    <w:rsid w:val="002F2589"/>
    <w:rsid w:val="00301229"/>
    <w:rsid w:val="003047EB"/>
    <w:rsid w:val="00305364"/>
    <w:rsid w:val="00306FF1"/>
    <w:rsid w:val="00316E99"/>
    <w:rsid w:val="003172F8"/>
    <w:rsid w:val="00322319"/>
    <w:rsid w:val="003225BE"/>
    <w:rsid w:val="00322E26"/>
    <w:rsid w:val="00324D5E"/>
    <w:rsid w:val="00331B37"/>
    <w:rsid w:val="00332606"/>
    <w:rsid w:val="0033584B"/>
    <w:rsid w:val="00343E4D"/>
    <w:rsid w:val="003461B8"/>
    <w:rsid w:val="003467D5"/>
    <w:rsid w:val="00346EA2"/>
    <w:rsid w:val="00351C6B"/>
    <w:rsid w:val="00356176"/>
    <w:rsid w:val="0036240A"/>
    <w:rsid w:val="0036256F"/>
    <w:rsid w:val="00365CA6"/>
    <w:rsid w:val="00370CE8"/>
    <w:rsid w:val="00373622"/>
    <w:rsid w:val="003743B5"/>
    <w:rsid w:val="003758BD"/>
    <w:rsid w:val="0037609E"/>
    <w:rsid w:val="003807BC"/>
    <w:rsid w:val="00380C5B"/>
    <w:rsid w:val="003826A5"/>
    <w:rsid w:val="00382B8E"/>
    <w:rsid w:val="00385795"/>
    <w:rsid w:val="00385D23"/>
    <w:rsid w:val="0038723D"/>
    <w:rsid w:val="003878EA"/>
    <w:rsid w:val="00391762"/>
    <w:rsid w:val="003929B8"/>
    <w:rsid w:val="003974DF"/>
    <w:rsid w:val="003A0748"/>
    <w:rsid w:val="003A3162"/>
    <w:rsid w:val="003A383B"/>
    <w:rsid w:val="003A4603"/>
    <w:rsid w:val="003A5EBA"/>
    <w:rsid w:val="003A62F7"/>
    <w:rsid w:val="003A7B0F"/>
    <w:rsid w:val="003B1639"/>
    <w:rsid w:val="003B465E"/>
    <w:rsid w:val="003B4EC3"/>
    <w:rsid w:val="003C06AC"/>
    <w:rsid w:val="003C0E57"/>
    <w:rsid w:val="003C1DB4"/>
    <w:rsid w:val="003C60D5"/>
    <w:rsid w:val="003C6815"/>
    <w:rsid w:val="003D1738"/>
    <w:rsid w:val="003D3FB6"/>
    <w:rsid w:val="003D4027"/>
    <w:rsid w:val="003D4DB2"/>
    <w:rsid w:val="003D65D8"/>
    <w:rsid w:val="003D7E11"/>
    <w:rsid w:val="003E3693"/>
    <w:rsid w:val="003E4003"/>
    <w:rsid w:val="003E41FB"/>
    <w:rsid w:val="003E5A33"/>
    <w:rsid w:val="003E5B97"/>
    <w:rsid w:val="003E737F"/>
    <w:rsid w:val="003E7D09"/>
    <w:rsid w:val="003F0009"/>
    <w:rsid w:val="003F25B2"/>
    <w:rsid w:val="003F6694"/>
    <w:rsid w:val="00402F51"/>
    <w:rsid w:val="00405508"/>
    <w:rsid w:val="004058E8"/>
    <w:rsid w:val="0040592E"/>
    <w:rsid w:val="004065CF"/>
    <w:rsid w:val="004109D5"/>
    <w:rsid w:val="00410D28"/>
    <w:rsid w:val="00411838"/>
    <w:rsid w:val="0041219A"/>
    <w:rsid w:val="00414E96"/>
    <w:rsid w:val="004174A4"/>
    <w:rsid w:val="00420887"/>
    <w:rsid w:val="00422831"/>
    <w:rsid w:val="00422A0E"/>
    <w:rsid w:val="00425B3D"/>
    <w:rsid w:val="004276BD"/>
    <w:rsid w:val="004311A5"/>
    <w:rsid w:val="00432815"/>
    <w:rsid w:val="00432CFB"/>
    <w:rsid w:val="0043346A"/>
    <w:rsid w:val="00435F03"/>
    <w:rsid w:val="00436277"/>
    <w:rsid w:val="00440479"/>
    <w:rsid w:val="00446E07"/>
    <w:rsid w:val="004476BA"/>
    <w:rsid w:val="00451544"/>
    <w:rsid w:val="00452598"/>
    <w:rsid w:val="00452769"/>
    <w:rsid w:val="004546FD"/>
    <w:rsid w:val="0046026D"/>
    <w:rsid w:val="00460F95"/>
    <w:rsid w:val="0046186F"/>
    <w:rsid w:val="00465CFE"/>
    <w:rsid w:val="00467807"/>
    <w:rsid w:val="00471BDB"/>
    <w:rsid w:val="00472A5A"/>
    <w:rsid w:val="00476134"/>
    <w:rsid w:val="00476AC1"/>
    <w:rsid w:val="0048025E"/>
    <w:rsid w:val="00480562"/>
    <w:rsid w:val="00480E54"/>
    <w:rsid w:val="00482EEF"/>
    <w:rsid w:val="0048447D"/>
    <w:rsid w:val="004875F7"/>
    <w:rsid w:val="00490035"/>
    <w:rsid w:val="0049093F"/>
    <w:rsid w:val="0049236D"/>
    <w:rsid w:val="00496F58"/>
    <w:rsid w:val="00497BFB"/>
    <w:rsid w:val="004A0D02"/>
    <w:rsid w:val="004A64EB"/>
    <w:rsid w:val="004A771A"/>
    <w:rsid w:val="004B1C13"/>
    <w:rsid w:val="004B39EE"/>
    <w:rsid w:val="004B3FCB"/>
    <w:rsid w:val="004B48DE"/>
    <w:rsid w:val="004B5ACA"/>
    <w:rsid w:val="004B77FA"/>
    <w:rsid w:val="004C0CDD"/>
    <w:rsid w:val="004C0E80"/>
    <w:rsid w:val="004C27F7"/>
    <w:rsid w:val="004C56CA"/>
    <w:rsid w:val="004C7018"/>
    <w:rsid w:val="004E16C1"/>
    <w:rsid w:val="004E16FC"/>
    <w:rsid w:val="004E1B1E"/>
    <w:rsid w:val="004E46CB"/>
    <w:rsid w:val="004E66D8"/>
    <w:rsid w:val="004F20EB"/>
    <w:rsid w:val="004F2190"/>
    <w:rsid w:val="004F3216"/>
    <w:rsid w:val="004F42AF"/>
    <w:rsid w:val="004F6212"/>
    <w:rsid w:val="0050161A"/>
    <w:rsid w:val="0050423A"/>
    <w:rsid w:val="00504F00"/>
    <w:rsid w:val="00507745"/>
    <w:rsid w:val="00507791"/>
    <w:rsid w:val="00507CDF"/>
    <w:rsid w:val="00511DD9"/>
    <w:rsid w:val="0051272D"/>
    <w:rsid w:val="00513274"/>
    <w:rsid w:val="005165B6"/>
    <w:rsid w:val="005175A3"/>
    <w:rsid w:val="00517D6B"/>
    <w:rsid w:val="00520825"/>
    <w:rsid w:val="005210F2"/>
    <w:rsid w:val="00522D0A"/>
    <w:rsid w:val="005248CD"/>
    <w:rsid w:val="005259A8"/>
    <w:rsid w:val="00525FBD"/>
    <w:rsid w:val="005273FF"/>
    <w:rsid w:val="00527451"/>
    <w:rsid w:val="00530196"/>
    <w:rsid w:val="0053066F"/>
    <w:rsid w:val="005326CB"/>
    <w:rsid w:val="00534584"/>
    <w:rsid w:val="00537BC2"/>
    <w:rsid w:val="005402C1"/>
    <w:rsid w:val="0054097D"/>
    <w:rsid w:val="00545D5B"/>
    <w:rsid w:val="00547CE8"/>
    <w:rsid w:val="00551ADC"/>
    <w:rsid w:val="00551B12"/>
    <w:rsid w:val="00552422"/>
    <w:rsid w:val="00552DB8"/>
    <w:rsid w:val="00553AA3"/>
    <w:rsid w:val="00553D30"/>
    <w:rsid w:val="00562BA2"/>
    <w:rsid w:val="005661C1"/>
    <w:rsid w:val="00570B53"/>
    <w:rsid w:val="00571986"/>
    <w:rsid w:val="00571A72"/>
    <w:rsid w:val="00573182"/>
    <w:rsid w:val="005741FA"/>
    <w:rsid w:val="005748F4"/>
    <w:rsid w:val="00580A56"/>
    <w:rsid w:val="00580DC1"/>
    <w:rsid w:val="00585DFA"/>
    <w:rsid w:val="00587B05"/>
    <w:rsid w:val="0059024D"/>
    <w:rsid w:val="005907AA"/>
    <w:rsid w:val="00591DD5"/>
    <w:rsid w:val="00593976"/>
    <w:rsid w:val="005A03EB"/>
    <w:rsid w:val="005B1470"/>
    <w:rsid w:val="005B2F06"/>
    <w:rsid w:val="005B2F16"/>
    <w:rsid w:val="005B5322"/>
    <w:rsid w:val="005B547D"/>
    <w:rsid w:val="005B55A7"/>
    <w:rsid w:val="005C44BC"/>
    <w:rsid w:val="005C62BC"/>
    <w:rsid w:val="005D1533"/>
    <w:rsid w:val="005D3168"/>
    <w:rsid w:val="005D60BB"/>
    <w:rsid w:val="005E14A2"/>
    <w:rsid w:val="005E1997"/>
    <w:rsid w:val="005E287F"/>
    <w:rsid w:val="005E2F6B"/>
    <w:rsid w:val="005E30BB"/>
    <w:rsid w:val="005E406A"/>
    <w:rsid w:val="005F1F4B"/>
    <w:rsid w:val="005F3956"/>
    <w:rsid w:val="005F3F76"/>
    <w:rsid w:val="005F4E8A"/>
    <w:rsid w:val="005F5B6E"/>
    <w:rsid w:val="005F6752"/>
    <w:rsid w:val="005F76AA"/>
    <w:rsid w:val="005F7ADD"/>
    <w:rsid w:val="00610327"/>
    <w:rsid w:val="00612755"/>
    <w:rsid w:val="0061298C"/>
    <w:rsid w:val="006155AE"/>
    <w:rsid w:val="006160B1"/>
    <w:rsid w:val="00617D66"/>
    <w:rsid w:val="00620D19"/>
    <w:rsid w:val="00621BE6"/>
    <w:rsid w:val="00627095"/>
    <w:rsid w:val="00627415"/>
    <w:rsid w:val="0063007A"/>
    <w:rsid w:val="006300B6"/>
    <w:rsid w:val="006322D7"/>
    <w:rsid w:val="0063249A"/>
    <w:rsid w:val="00632CC7"/>
    <w:rsid w:val="00637EDB"/>
    <w:rsid w:val="00644F17"/>
    <w:rsid w:val="00650771"/>
    <w:rsid w:val="00650E42"/>
    <w:rsid w:val="00652DA7"/>
    <w:rsid w:val="00663CDE"/>
    <w:rsid w:val="006647F7"/>
    <w:rsid w:val="006650C9"/>
    <w:rsid w:val="00670D02"/>
    <w:rsid w:val="00671845"/>
    <w:rsid w:val="00672BEC"/>
    <w:rsid w:val="00673510"/>
    <w:rsid w:val="00675F57"/>
    <w:rsid w:val="00677894"/>
    <w:rsid w:val="00677CBB"/>
    <w:rsid w:val="0068075D"/>
    <w:rsid w:val="00683523"/>
    <w:rsid w:val="00684A35"/>
    <w:rsid w:val="00685BC3"/>
    <w:rsid w:val="006908A0"/>
    <w:rsid w:val="00691375"/>
    <w:rsid w:val="0069140C"/>
    <w:rsid w:val="006A21D3"/>
    <w:rsid w:val="006A3527"/>
    <w:rsid w:val="006A5808"/>
    <w:rsid w:val="006B4B1F"/>
    <w:rsid w:val="006B7624"/>
    <w:rsid w:val="006C11BB"/>
    <w:rsid w:val="006C356B"/>
    <w:rsid w:val="006C40F7"/>
    <w:rsid w:val="006C599B"/>
    <w:rsid w:val="006C6559"/>
    <w:rsid w:val="006C6EEF"/>
    <w:rsid w:val="006C7C32"/>
    <w:rsid w:val="006D3B39"/>
    <w:rsid w:val="006D4232"/>
    <w:rsid w:val="006D518B"/>
    <w:rsid w:val="006D78C4"/>
    <w:rsid w:val="006E0F6C"/>
    <w:rsid w:val="006E1892"/>
    <w:rsid w:val="006E3ADC"/>
    <w:rsid w:val="006E6303"/>
    <w:rsid w:val="006F08F8"/>
    <w:rsid w:val="006F12DC"/>
    <w:rsid w:val="006F62AE"/>
    <w:rsid w:val="006F66BD"/>
    <w:rsid w:val="006F6796"/>
    <w:rsid w:val="006F771C"/>
    <w:rsid w:val="006F7CA5"/>
    <w:rsid w:val="006F7D6D"/>
    <w:rsid w:val="00701A03"/>
    <w:rsid w:val="007050D3"/>
    <w:rsid w:val="00711F8D"/>
    <w:rsid w:val="00713668"/>
    <w:rsid w:val="00713EED"/>
    <w:rsid w:val="00716612"/>
    <w:rsid w:val="0071765D"/>
    <w:rsid w:val="00722043"/>
    <w:rsid w:val="00726C85"/>
    <w:rsid w:val="0072741F"/>
    <w:rsid w:val="00731CDD"/>
    <w:rsid w:val="00733F5D"/>
    <w:rsid w:val="00737460"/>
    <w:rsid w:val="00737F52"/>
    <w:rsid w:val="00743F73"/>
    <w:rsid w:val="007445A4"/>
    <w:rsid w:val="0074462E"/>
    <w:rsid w:val="0074474B"/>
    <w:rsid w:val="00745D11"/>
    <w:rsid w:val="00746078"/>
    <w:rsid w:val="007469CD"/>
    <w:rsid w:val="00750C7E"/>
    <w:rsid w:val="00751136"/>
    <w:rsid w:val="00754F36"/>
    <w:rsid w:val="0075504F"/>
    <w:rsid w:val="00757C44"/>
    <w:rsid w:val="00760134"/>
    <w:rsid w:val="00761636"/>
    <w:rsid w:val="00761DFA"/>
    <w:rsid w:val="007639C3"/>
    <w:rsid w:val="00763CF9"/>
    <w:rsid w:val="00772E1D"/>
    <w:rsid w:val="00774F9C"/>
    <w:rsid w:val="007779FE"/>
    <w:rsid w:val="00780307"/>
    <w:rsid w:val="00780648"/>
    <w:rsid w:val="00780DA4"/>
    <w:rsid w:val="00781F54"/>
    <w:rsid w:val="0078562F"/>
    <w:rsid w:val="00785A55"/>
    <w:rsid w:val="00785DCB"/>
    <w:rsid w:val="00787AAE"/>
    <w:rsid w:val="00787C9D"/>
    <w:rsid w:val="00791B12"/>
    <w:rsid w:val="0079360E"/>
    <w:rsid w:val="00794766"/>
    <w:rsid w:val="00796016"/>
    <w:rsid w:val="007974BA"/>
    <w:rsid w:val="007A084C"/>
    <w:rsid w:val="007A22BC"/>
    <w:rsid w:val="007A2723"/>
    <w:rsid w:val="007A29B8"/>
    <w:rsid w:val="007A6F8F"/>
    <w:rsid w:val="007B0567"/>
    <w:rsid w:val="007B0C0F"/>
    <w:rsid w:val="007B2C87"/>
    <w:rsid w:val="007B4715"/>
    <w:rsid w:val="007B5CBC"/>
    <w:rsid w:val="007B7811"/>
    <w:rsid w:val="007C007E"/>
    <w:rsid w:val="007C1F8D"/>
    <w:rsid w:val="007C26FD"/>
    <w:rsid w:val="007C3F92"/>
    <w:rsid w:val="007C5321"/>
    <w:rsid w:val="007C6849"/>
    <w:rsid w:val="007C6B72"/>
    <w:rsid w:val="007C7A5E"/>
    <w:rsid w:val="007D0FB3"/>
    <w:rsid w:val="007D1513"/>
    <w:rsid w:val="007D4471"/>
    <w:rsid w:val="007D6D7C"/>
    <w:rsid w:val="007E07D3"/>
    <w:rsid w:val="007E0BF4"/>
    <w:rsid w:val="007E26B9"/>
    <w:rsid w:val="007E3C30"/>
    <w:rsid w:val="007E3E7D"/>
    <w:rsid w:val="007E6EC2"/>
    <w:rsid w:val="007E7F9B"/>
    <w:rsid w:val="007F0D33"/>
    <w:rsid w:val="007F204F"/>
    <w:rsid w:val="007F3D95"/>
    <w:rsid w:val="007F47D4"/>
    <w:rsid w:val="007F5BC2"/>
    <w:rsid w:val="007F6172"/>
    <w:rsid w:val="007F6E73"/>
    <w:rsid w:val="007F73BD"/>
    <w:rsid w:val="007F767E"/>
    <w:rsid w:val="0080148E"/>
    <w:rsid w:val="00801E54"/>
    <w:rsid w:val="00802560"/>
    <w:rsid w:val="00802DBE"/>
    <w:rsid w:val="00806C99"/>
    <w:rsid w:val="00807474"/>
    <w:rsid w:val="00810856"/>
    <w:rsid w:val="00812770"/>
    <w:rsid w:val="0081384C"/>
    <w:rsid w:val="00813867"/>
    <w:rsid w:val="00814A0C"/>
    <w:rsid w:val="00814EC5"/>
    <w:rsid w:val="00820BE5"/>
    <w:rsid w:val="008213B4"/>
    <w:rsid w:val="0082276A"/>
    <w:rsid w:val="00826EB0"/>
    <w:rsid w:val="008272C6"/>
    <w:rsid w:val="00832A8E"/>
    <w:rsid w:val="00832E18"/>
    <w:rsid w:val="008352BB"/>
    <w:rsid w:val="00836769"/>
    <w:rsid w:val="00836D46"/>
    <w:rsid w:val="008437B8"/>
    <w:rsid w:val="008438C0"/>
    <w:rsid w:val="0084574E"/>
    <w:rsid w:val="008466D4"/>
    <w:rsid w:val="008527D4"/>
    <w:rsid w:val="0085638A"/>
    <w:rsid w:val="00856728"/>
    <w:rsid w:val="00857031"/>
    <w:rsid w:val="00860703"/>
    <w:rsid w:val="00861F18"/>
    <w:rsid w:val="00863E35"/>
    <w:rsid w:val="008648D5"/>
    <w:rsid w:val="008648EA"/>
    <w:rsid w:val="008656F8"/>
    <w:rsid w:val="00865CC8"/>
    <w:rsid w:val="008700C0"/>
    <w:rsid w:val="0088240A"/>
    <w:rsid w:val="008838A8"/>
    <w:rsid w:val="00886A5B"/>
    <w:rsid w:val="0089045A"/>
    <w:rsid w:val="0089168D"/>
    <w:rsid w:val="0089294E"/>
    <w:rsid w:val="00892CE0"/>
    <w:rsid w:val="00894844"/>
    <w:rsid w:val="00894BC2"/>
    <w:rsid w:val="008971A6"/>
    <w:rsid w:val="008A1396"/>
    <w:rsid w:val="008A1CB8"/>
    <w:rsid w:val="008A21E7"/>
    <w:rsid w:val="008A3A41"/>
    <w:rsid w:val="008A3ABF"/>
    <w:rsid w:val="008A3C6D"/>
    <w:rsid w:val="008A6D3F"/>
    <w:rsid w:val="008A6E63"/>
    <w:rsid w:val="008A79FA"/>
    <w:rsid w:val="008B12D6"/>
    <w:rsid w:val="008B17AE"/>
    <w:rsid w:val="008B272E"/>
    <w:rsid w:val="008C37F1"/>
    <w:rsid w:val="008C7B25"/>
    <w:rsid w:val="008D364F"/>
    <w:rsid w:val="008D69D2"/>
    <w:rsid w:val="008D6A5D"/>
    <w:rsid w:val="008E29F6"/>
    <w:rsid w:val="008E3FA4"/>
    <w:rsid w:val="008E5DBE"/>
    <w:rsid w:val="008E650B"/>
    <w:rsid w:val="008E6FA8"/>
    <w:rsid w:val="008F2F13"/>
    <w:rsid w:val="008F3B6D"/>
    <w:rsid w:val="008F7F72"/>
    <w:rsid w:val="009014B4"/>
    <w:rsid w:val="009040E3"/>
    <w:rsid w:val="0090565C"/>
    <w:rsid w:val="009112E6"/>
    <w:rsid w:val="00911DB8"/>
    <w:rsid w:val="009142D5"/>
    <w:rsid w:val="00914B7E"/>
    <w:rsid w:val="0091620F"/>
    <w:rsid w:val="009170D7"/>
    <w:rsid w:val="009211B6"/>
    <w:rsid w:val="009214C5"/>
    <w:rsid w:val="00922ED9"/>
    <w:rsid w:val="00923280"/>
    <w:rsid w:val="0092337B"/>
    <w:rsid w:val="009240BA"/>
    <w:rsid w:val="00924DAA"/>
    <w:rsid w:val="009258DB"/>
    <w:rsid w:val="00925CEB"/>
    <w:rsid w:val="009274DD"/>
    <w:rsid w:val="00931A9D"/>
    <w:rsid w:val="00937270"/>
    <w:rsid w:val="00944080"/>
    <w:rsid w:val="00951192"/>
    <w:rsid w:val="0095377F"/>
    <w:rsid w:val="00960675"/>
    <w:rsid w:val="009624F4"/>
    <w:rsid w:val="00963C75"/>
    <w:rsid w:val="00964A47"/>
    <w:rsid w:val="0096501E"/>
    <w:rsid w:val="00965A49"/>
    <w:rsid w:val="00967336"/>
    <w:rsid w:val="0096775C"/>
    <w:rsid w:val="009705E1"/>
    <w:rsid w:val="00972E60"/>
    <w:rsid w:val="00973057"/>
    <w:rsid w:val="0097500E"/>
    <w:rsid w:val="0097711E"/>
    <w:rsid w:val="00980E9C"/>
    <w:rsid w:val="00983DA0"/>
    <w:rsid w:val="009842E3"/>
    <w:rsid w:val="00984950"/>
    <w:rsid w:val="009861C5"/>
    <w:rsid w:val="00992A1C"/>
    <w:rsid w:val="009946EF"/>
    <w:rsid w:val="00995567"/>
    <w:rsid w:val="00996755"/>
    <w:rsid w:val="0099677F"/>
    <w:rsid w:val="00996CC0"/>
    <w:rsid w:val="00997D68"/>
    <w:rsid w:val="009A0092"/>
    <w:rsid w:val="009A2710"/>
    <w:rsid w:val="009A41E5"/>
    <w:rsid w:val="009A4D11"/>
    <w:rsid w:val="009A6437"/>
    <w:rsid w:val="009B034D"/>
    <w:rsid w:val="009B0F43"/>
    <w:rsid w:val="009B163B"/>
    <w:rsid w:val="009B2D7E"/>
    <w:rsid w:val="009B4E06"/>
    <w:rsid w:val="009B52D9"/>
    <w:rsid w:val="009B5938"/>
    <w:rsid w:val="009B7584"/>
    <w:rsid w:val="009B77B8"/>
    <w:rsid w:val="009B792C"/>
    <w:rsid w:val="009C10EB"/>
    <w:rsid w:val="009C1207"/>
    <w:rsid w:val="009C6A48"/>
    <w:rsid w:val="009D6B1B"/>
    <w:rsid w:val="009E0342"/>
    <w:rsid w:val="009F06C0"/>
    <w:rsid w:val="009F28E6"/>
    <w:rsid w:val="009F3B03"/>
    <w:rsid w:val="009F4328"/>
    <w:rsid w:val="009F4E42"/>
    <w:rsid w:val="009F51BA"/>
    <w:rsid w:val="009F6696"/>
    <w:rsid w:val="009F733B"/>
    <w:rsid w:val="00A0061B"/>
    <w:rsid w:val="00A00848"/>
    <w:rsid w:val="00A019DA"/>
    <w:rsid w:val="00A021BB"/>
    <w:rsid w:val="00A023A4"/>
    <w:rsid w:val="00A0641F"/>
    <w:rsid w:val="00A113B4"/>
    <w:rsid w:val="00A11AAB"/>
    <w:rsid w:val="00A139A9"/>
    <w:rsid w:val="00A13F14"/>
    <w:rsid w:val="00A14D21"/>
    <w:rsid w:val="00A15664"/>
    <w:rsid w:val="00A15B76"/>
    <w:rsid w:val="00A17677"/>
    <w:rsid w:val="00A25C37"/>
    <w:rsid w:val="00A27840"/>
    <w:rsid w:val="00A27F14"/>
    <w:rsid w:val="00A335A9"/>
    <w:rsid w:val="00A335D6"/>
    <w:rsid w:val="00A35FBA"/>
    <w:rsid w:val="00A36310"/>
    <w:rsid w:val="00A36E98"/>
    <w:rsid w:val="00A37547"/>
    <w:rsid w:val="00A40AF0"/>
    <w:rsid w:val="00A42272"/>
    <w:rsid w:val="00A455DA"/>
    <w:rsid w:val="00A479AF"/>
    <w:rsid w:val="00A51D8E"/>
    <w:rsid w:val="00A51EA8"/>
    <w:rsid w:val="00A531DE"/>
    <w:rsid w:val="00A541D7"/>
    <w:rsid w:val="00A61FED"/>
    <w:rsid w:val="00A645A4"/>
    <w:rsid w:val="00A672A2"/>
    <w:rsid w:val="00A679A3"/>
    <w:rsid w:val="00A70624"/>
    <w:rsid w:val="00A727AE"/>
    <w:rsid w:val="00A7344F"/>
    <w:rsid w:val="00A74550"/>
    <w:rsid w:val="00A81928"/>
    <w:rsid w:val="00A82E7A"/>
    <w:rsid w:val="00A835BF"/>
    <w:rsid w:val="00A92CF8"/>
    <w:rsid w:val="00A94043"/>
    <w:rsid w:val="00A94BC9"/>
    <w:rsid w:val="00A9724D"/>
    <w:rsid w:val="00A973F4"/>
    <w:rsid w:val="00A978DB"/>
    <w:rsid w:val="00AA0206"/>
    <w:rsid w:val="00AA124A"/>
    <w:rsid w:val="00AA2B49"/>
    <w:rsid w:val="00AA37AA"/>
    <w:rsid w:val="00AA38A3"/>
    <w:rsid w:val="00AA3ECF"/>
    <w:rsid w:val="00AA6938"/>
    <w:rsid w:val="00AA76DE"/>
    <w:rsid w:val="00AB19B0"/>
    <w:rsid w:val="00AB1AD9"/>
    <w:rsid w:val="00AB2757"/>
    <w:rsid w:val="00AC049E"/>
    <w:rsid w:val="00AC2CB4"/>
    <w:rsid w:val="00AC2DE6"/>
    <w:rsid w:val="00AC663C"/>
    <w:rsid w:val="00AC66EB"/>
    <w:rsid w:val="00AC7B6F"/>
    <w:rsid w:val="00AC7D67"/>
    <w:rsid w:val="00AD310E"/>
    <w:rsid w:val="00AD35F3"/>
    <w:rsid w:val="00AD721B"/>
    <w:rsid w:val="00AE2EA9"/>
    <w:rsid w:val="00AE511A"/>
    <w:rsid w:val="00AE5198"/>
    <w:rsid w:val="00AF379A"/>
    <w:rsid w:val="00AF4F33"/>
    <w:rsid w:val="00AF7A4F"/>
    <w:rsid w:val="00B002B6"/>
    <w:rsid w:val="00B05965"/>
    <w:rsid w:val="00B06614"/>
    <w:rsid w:val="00B0773D"/>
    <w:rsid w:val="00B12C97"/>
    <w:rsid w:val="00B15408"/>
    <w:rsid w:val="00B17207"/>
    <w:rsid w:val="00B17743"/>
    <w:rsid w:val="00B24214"/>
    <w:rsid w:val="00B252A3"/>
    <w:rsid w:val="00B255F7"/>
    <w:rsid w:val="00B2592B"/>
    <w:rsid w:val="00B277BC"/>
    <w:rsid w:val="00B27987"/>
    <w:rsid w:val="00B318B1"/>
    <w:rsid w:val="00B319BF"/>
    <w:rsid w:val="00B3316C"/>
    <w:rsid w:val="00B332A2"/>
    <w:rsid w:val="00B36EE7"/>
    <w:rsid w:val="00B42103"/>
    <w:rsid w:val="00B423A1"/>
    <w:rsid w:val="00B426C4"/>
    <w:rsid w:val="00B42F9A"/>
    <w:rsid w:val="00B43BA0"/>
    <w:rsid w:val="00B44626"/>
    <w:rsid w:val="00B45BAA"/>
    <w:rsid w:val="00B51D79"/>
    <w:rsid w:val="00B530C6"/>
    <w:rsid w:val="00B53912"/>
    <w:rsid w:val="00B53AF6"/>
    <w:rsid w:val="00B53B17"/>
    <w:rsid w:val="00B557D4"/>
    <w:rsid w:val="00B55B65"/>
    <w:rsid w:val="00B61F0C"/>
    <w:rsid w:val="00B63030"/>
    <w:rsid w:val="00B63683"/>
    <w:rsid w:val="00B63DB0"/>
    <w:rsid w:val="00B65469"/>
    <w:rsid w:val="00B65A3B"/>
    <w:rsid w:val="00B66E20"/>
    <w:rsid w:val="00B74B50"/>
    <w:rsid w:val="00B74E37"/>
    <w:rsid w:val="00B753A1"/>
    <w:rsid w:val="00B80E20"/>
    <w:rsid w:val="00B818F9"/>
    <w:rsid w:val="00B83AD5"/>
    <w:rsid w:val="00B86B07"/>
    <w:rsid w:val="00B91159"/>
    <w:rsid w:val="00B92AE2"/>
    <w:rsid w:val="00B938F0"/>
    <w:rsid w:val="00B97AC6"/>
    <w:rsid w:val="00B97E37"/>
    <w:rsid w:val="00BA1668"/>
    <w:rsid w:val="00BA505D"/>
    <w:rsid w:val="00BB22D6"/>
    <w:rsid w:val="00BB2EA6"/>
    <w:rsid w:val="00BB5D4C"/>
    <w:rsid w:val="00BB7C24"/>
    <w:rsid w:val="00BC4952"/>
    <w:rsid w:val="00BC5C68"/>
    <w:rsid w:val="00BC6364"/>
    <w:rsid w:val="00BC7EE3"/>
    <w:rsid w:val="00BC7FFE"/>
    <w:rsid w:val="00BD0623"/>
    <w:rsid w:val="00BD0A81"/>
    <w:rsid w:val="00BD0E6D"/>
    <w:rsid w:val="00BD1187"/>
    <w:rsid w:val="00BD3A8B"/>
    <w:rsid w:val="00BD579B"/>
    <w:rsid w:val="00BD61A7"/>
    <w:rsid w:val="00BF101F"/>
    <w:rsid w:val="00BF3B92"/>
    <w:rsid w:val="00BF7DAF"/>
    <w:rsid w:val="00C00E29"/>
    <w:rsid w:val="00C041E3"/>
    <w:rsid w:val="00C04460"/>
    <w:rsid w:val="00C12A1D"/>
    <w:rsid w:val="00C12E66"/>
    <w:rsid w:val="00C14BC4"/>
    <w:rsid w:val="00C24312"/>
    <w:rsid w:val="00C27EF8"/>
    <w:rsid w:val="00C32091"/>
    <w:rsid w:val="00C3341F"/>
    <w:rsid w:val="00C3556B"/>
    <w:rsid w:val="00C35B54"/>
    <w:rsid w:val="00C37CC6"/>
    <w:rsid w:val="00C4074A"/>
    <w:rsid w:val="00C40897"/>
    <w:rsid w:val="00C40967"/>
    <w:rsid w:val="00C40B45"/>
    <w:rsid w:val="00C4398A"/>
    <w:rsid w:val="00C46656"/>
    <w:rsid w:val="00C503BB"/>
    <w:rsid w:val="00C51719"/>
    <w:rsid w:val="00C57E7E"/>
    <w:rsid w:val="00C628B2"/>
    <w:rsid w:val="00C631BE"/>
    <w:rsid w:val="00C65E2D"/>
    <w:rsid w:val="00C67B6C"/>
    <w:rsid w:val="00C70849"/>
    <w:rsid w:val="00C73A86"/>
    <w:rsid w:val="00C751AC"/>
    <w:rsid w:val="00C8041C"/>
    <w:rsid w:val="00C80622"/>
    <w:rsid w:val="00C86289"/>
    <w:rsid w:val="00C91559"/>
    <w:rsid w:val="00C91CE8"/>
    <w:rsid w:val="00C929E4"/>
    <w:rsid w:val="00CA0B4B"/>
    <w:rsid w:val="00CA0ED9"/>
    <w:rsid w:val="00CA3D67"/>
    <w:rsid w:val="00CA539D"/>
    <w:rsid w:val="00CA5450"/>
    <w:rsid w:val="00CA5AAD"/>
    <w:rsid w:val="00CA5B2B"/>
    <w:rsid w:val="00CA69A8"/>
    <w:rsid w:val="00CB099C"/>
    <w:rsid w:val="00CB0FC3"/>
    <w:rsid w:val="00CB3733"/>
    <w:rsid w:val="00CB541E"/>
    <w:rsid w:val="00CB6BDA"/>
    <w:rsid w:val="00CB71E9"/>
    <w:rsid w:val="00CB788F"/>
    <w:rsid w:val="00CB797A"/>
    <w:rsid w:val="00CB7ACC"/>
    <w:rsid w:val="00CC098C"/>
    <w:rsid w:val="00CC0C7A"/>
    <w:rsid w:val="00CC1666"/>
    <w:rsid w:val="00CC45F6"/>
    <w:rsid w:val="00CC6EDD"/>
    <w:rsid w:val="00CD04E6"/>
    <w:rsid w:val="00CD1819"/>
    <w:rsid w:val="00CD1DF9"/>
    <w:rsid w:val="00CD217D"/>
    <w:rsid w:val="00CD234E"/>
    <w:rsid w:val="00CD4B20"/>
    <w:rsid w:val="00CD78F6"/>
    <w:rsid w:val="00CE06A7"/>
    <w:rsid w:val="00CE0CAA"/>
    <w:rsid w:val="00CE3A1F"/>
    <w:rsid w:val="00CE4E25"/>
    <w:rsid w:val="00CE64CC"/>
    <w:rsid w:val="00CF1B53"/>
    <w:rsid w:val="00CF226F"/>
    <w:rsid w:val="00CF357E"/>
    <w:rsid w:val="00CF5427"/>
    <w:rsid w:val="00CF63B7"/>
    <w:rsid w:val="00CF6F85"/>
    <w:rsid w:val="00CF7545"/>
    <w:rsid w:val="00D01DA7"/>
    <w:rsid w:val="00D024D4"/>
    <w:rsid w:val="00D02F95"/>
    <w:rsid w:val="00D03CC1"/>
    <w:rsid w:val="00D05021"/>
    <w:rsid w:val="00D05577"/>
    <w:rsid w:val="00D06BA4"/>
    <w:rsid w:val="00D101AB"/>
    <w:rsid w:val="00D10364"/>
    <w:rsid w:val="00D10F76"/>
    <w:rsid w:val="00D144E5"/>
    <w:rsid w:val="00D150F4"/>
    <w:rsid w:val="00D16EF5"/>
    <w:rsid w:val="00D20194"/>
    <w:rsid w:val="00D20543"/>
    <w:rsid w:val="00D20597"/>
    <w:rsid w:val="00D233CA"/>
    <w:rsid w:val="00D2386D"/>
    <w:rsid w:val="00D2392D"/>
    <w:rsid w:val="00D24EF9"/>
    <w:rsid w:val="00D261CD"/>
    <w:rsid w:val="00D261DF"/>
    <w:rsid w:val="00D3172F"/>
    <w:rsid w:val="00D31D58"/>
    <w:rsid w:val="00D33DE6"/>
    <w:rsid w:val="00D36E7C"/>
    <w:rsid w:val="00D417B9"/>
    <w:rsid w:val="00D41CF0"/>
    <w:rsid w:val="00D42AA1"/>
    <w:rsid w:val="00D44580"/>
    <w:rsid w:val="00D46AF2"/>
    <w:rsid w:val="00D50448"/>
    <w:rsid w:val="00D51CFC"/>
    <w:rsid w:val="00D5271E"/>
    <w:rsid w:val="00D5457D"/>
    <w:rsid w:val="00D54B48"/>
    <w:rsid w:val="00D55191"/>
    <w:rsid w:val="00D56FA2"/>
    <w:rsid w:val="00D62013"/>
    <w:rsid w:val="00D6248D"/>
    <w:rsid w:val="00D6252A"/>
    <w:rsid w:val="00D64A18"/>
    <w:rsid w:val="00D66783"/>
    <w:rsid w:val="00D72C2E"/>
    <w:rsid w:val="00D762CA"/>
    <w:rsid w:val="00D76AE3"/>
    <w:rsid w:val="00D76FBE"/>
    <w:rsid w:val="00D779E1"/>
    <w:rsid w:val="00D81209"/>
    <w:rsid w:val="00D84D10"/>
    <w:rsid w:val="00D93DC1"/>
    <w:rsid w:val="00D946E9"/>
    <w:rsid w:val="00DA1308"/>
    <w:rsid w:val="00DA22D5"/>
    <w:rsid w:val="00DA25C9"/>
    <w:rsid w:val="00DA308A"/>
    <w:rsid w:val="00DA3378"/>
    <w:rsid w:val="00DA4793"/>
    <w:rsid w:val="00DA4E42"/>
    <w:rsid w:val="00DA5193"/>
    <w:rsid w:val="00DA70A8"/>
    <w:rsid w:val="00DA75FB"/>
    <w:rsid w:val="00DB106F"/>
    <w:rsid w:val="00DB3266"/>
    <w:rsid w:val="00DB378A"/>
    <w:rsid w:val="00DC74F8"/>
    <w:rsid w:val="00DC7BB0"/>
    <w:rsid w:val="00DD03E8"/>
    <w:rsid w:val="00DD1D5B"/>
    <w:rsid w:val="00DD4268"/>
    <w:rsid w:val="00DD486D"/>
    <w:rsid w:val="00DD5006"/>
    <w:rsid w:val="00DD597B"/>
    <w:rsid w:val="00DD64F2"/>
    <w:rsid w:val="00DD6C69"/>
    <w:rsid w:val="00DD7098"/>
    <w:rsid w:val="00DE284D"/>
    <w:rsid w:val="00DE3E6A"/>
    <w:rsid w:val="00DE57D7"/>
    <w:rsid w:val="00DE5B64"/>
    <w:rsid w:val="00DE6253"/>
    <w:rsid w:val="00DF0584"/>
    <w:rsid w:val="00DF2134"/>
    <w:rsid w:val="00DF2421"/>
    <w:rsid w:val="00DF2DC3"/>
    <w:rsid w:val="00DF2F12"/>
    <w:rsid w:val="00DF7390"/>
    <w:rsid w:val="00E00581"/>
    <w:rsid w:val="00E01B5A"/>
    <w:rsid w:val="00E02FC7"/>
    <w:rsid w:val="00E032DD"/>
    <w:rsid w:val="00E04221"/>
    <w:rsid w:val="00E04722"/>
    <w:rsid w:val="00E0568F"/>
    <w:rsid w:val="00E07890"/>
    <w:rsid w:val="00E120A8"/>
    <w:rsid w:val="00E22C7B"/>
    <w:rsid w:val="00E2357F"/>
    <w:rsid w:val="00E247AE"/>
    <w:rsid w:val="00E40B2E"/>
    <w:rsid w:val="00E43A17"/>
    <w:rsid w:val="00E44F41"/>
    <w:rsid w:val="00E45F49"/>
    <w:rsid w:val="00E46956"/>
    <w:rsid w:val="00E50F6D"/>
    <w:rsid w:val="00E55927"/>
    <w:rsid w:val="00E60D49"/>
    <w:rsid w:val="00E60EA3"/>
    <w:rsid w:val="00E62659"/>
    <w:rsid w:val="00E6542C"/>
    <w:rsid w:val="00E65EED"/>
    <w:rsid w:val="00E67835"/>
    <w:rsid w:val="00E67BCA"/>
    <w:rsid w:val="00E70113"/>
    <w:rsid w:val="00E70C8B"/>
    <w:rsid w:val="00E728FC"/>
    <w:rsid w:val="00E731BF"/>
    <w:rsid w:val="00E74E49"/>
    <w:rsid w:val="00E7716E"/>
    <w:rsid w:val="00E77668"/>
    <w:rsid w:val="00E80166"/>
    <w:rsid w:val="00E8148E"/>
    <w:rsid w:val="00E82F0A"/>
    <w:rsid w:val="00E83592"/>
    <w:rsid w:val="00E83B3B"/>
    <w:rsid w:val="00E87264"/>
    <w:rsid w:val="00E87622"/>
    <w:rsid w:val="00E912C2"/>
    <w:rsid w:val="00E91E4D"/>
    <w:rsid w:val="00E92D29"/>
    <w:rsid w:val="00E94FC9"/>
    <w:rsid w:val="00E95E33"/>
    <w:rsid w:val="00EA219A"/>
    <w:rsid w:val="00EA2F5E"/>
    <w:rsid w:val="00EA33F9"/>
    <w:rsid w:val="00EA4A66"/>
    <w:rsid w:val="00EA55E8"/>
    <w:rsid w:val="00EA6287"/>
    <w:rsid w:val="00EA73D6"/>
    <w:rsid w:val="00EB0EA5"/>
    <w:rsid w:val="00EB3D81"/>
    <w:rsid w:val="00EB419D"/>
    <w:rsid w:val="00EC1B87"/>
    <w:rsid w:val="00EC51A2"/>
    <w:rsid w:val="00EC5BDE"/>
    <w:rsid w:val="00EC5DBF"/>
    <w:rsid w:val="00EC639B"/>
    <w:rsid w:val="00EC6D69"/>
    <w:rsid w:val="00EC6F3F"/>
    <w:rsid w:val="00ED1D5A"/>
    <w:rsid w:val="00ED37AB"/>
    <w:rsid w:val="00ED611F"/>
    <w:rsid w:val="00ED7DE8"/>
    <w:rsid w:val="00EE18CD"/>
    <w:rsid w:val="00EE7C12"/>
    <w:rsid w:val="00EF1DBE"/>
    <w:rsid w:val="00EF6BE8"/>
    <w:rsid w:val="00EF7ED7"/>
    <w:rsid w:val="00F0414D"/>
    <w:rsid w:val="00F04888"/>
    <w:rsid w:val="00F04B61"/>
    <w:rsid w:val="00F04D19"/>
    <w:rsid w:val="00F05488"/>
    <w:rsid w:val="00F05DCB"/>
    <w:rsid w:val="00F06AB0"/>
    <w:rsid w:val="00F1358B"/>
    <w:rsid w:val="00F13B00"/>
    <w:rsid w:val="00F1531C"/>
    <w:rsid w:val="00F165F2"/>
    <w:rsid w:val="00F20E23"/>
    <w:rsid w:val="00F222D5"/>
    <w:rsid w:val="00F232E1"/>
    <w:rsid w:val="00F27DBA"/>
    <w:rsid w:val="00F3041A"/>
    <w:rsid w:val="00F30C1B"/>
    <w:rsid w:val="00F32D62"/>
    <w:rsid w:val="00F40623"/>
    <w:rsid w:val="00F449F1"/>
    <w:rsid w:val="00F4526D"/>
    <w:rsid w:val="00F50394"/>
    <w:rsid w:val="00F553AF"/>
    <w:rsid w:val="00F61898"/>
    <w:rsid w:val="00F619E6"/>
    <w:rsid w:val="00F63D5B"/>
    <w:rsid w:val="00F6403B"/>
    <w:rsid w:val="00F673D3"/>
    <w:rsid w:val="00F705BB"/>
    <w:rsid w:val="00F71F46"/>
    <w:rsid w:val="00F74C8F"/>
    <w:rsid w:val="00F75E3E"/>
    <w:rsid w:val="00F7788D"/>
    <w:rsid w:val="00F80474"/>
    <w:rsid w:val="00F825DC"/>
    <w:rsid w:val="00F832A4"/>
    <w:rsid w:val="00F85C99"/>
    <w:rsid w:val="00F86039"/>
    <w:rsid w:val="00F90E79"/>
    <w:rsid w:val="00F92E2D"/>
    <w:rsid w:val="00F95629"/>
    <w:rsid w:val="00F96517"/>
    <w:rsid w:val="00F967F0"/>
    <w:rsid w:val="00F96BA2"/>
    <w:rsid w:val="00FA0E4D"/>
    <w:rsid w:val="00FA0F3D"/>
    <w:rsid w:val="00FA2A3B"/>
    <w:rsid w:val="00FA2B19"/>
    <w:rsid w:val="00FA2F8E"/>
    <w:rsid w:val="00FA42DD"/>
    <w:rsid w:val="00FA4484"/>
    <w:rsid w:val="00FA5566"/>
    <w:rsid w:val="00FA6477"/>
    <w:rsid w:val="00FA7617"/>
    <w:rsid w:val="00FA7EC4"/>
    <w:rsid w:val="00FB01D2"/>
    <w:rsid w:val="00FB29AA"/>
    <w:rsid w:val="00FB6228"/>
    <w:rsid w:val="00FB64A1"/>
    <w:rsid w:val="00FC13E9"/>
    <w:rsid w:val="00FC1D5F"/>
    <w:rsid w:val="00FC2BEC"/>
    <w:rsid w:val="00FC56DD"/>
    <w:rsid w:val="00FC7319"/>
    <w:rsid w:val="00FC75C4"/>
    <w:rsid w:val="00FC76F5"/>
    <w:rsid w:val="00FD0A51"/>
    <w:rsid w:val="00FD22DD"/>
    <w:rsid w:val="00FD409A"/>
    <w:rsid w:val="00FD4715"/>
    <w:rsid w:val="00FD509F"/>
    <w:rsid w:val="00FD7CC6"/>
    <w:rsid w:val="00FE01F6"/>
    <w:rsid w:val="00FE1376"/>
    <w:rsid w:val="00FE1875"/>
    <w:rsid w:val="00FE5391"/>
    <w:rsid w:val="00FE5856"/>
    <w:rsid w:val="00FE6B58"/>
    <w:rsid w:val="00FE7C63"/>
    <w:rsid w:val="00FF1F0B"/>
    <w:rsid w:val="00FF2184"/>
    <w:rsid w:val="00FF30B0"/>
    <w:rsid w:val="00FF4FC3"/>
    <w:rsid w:val="00FF6DC1"/>
    <w:rsid w:val="00FF7CDB"/>
    <w:rsid w:val="00FF7F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23A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99"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9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E2F6B"/>
    <w:pPr>
      <w:widowControl w:val="0"/>
    </w:pPr>
    <w:rPr>
      <w:rFonts w:hAnsi="Arial"/>
      <w:lang w:eastAsia="en-US"/>
    </w:rPr>
  </w:style>
  <w:style w:type="paragraph" w:styleId="Heading1">
    <w:name w:val="heading 1"/>
    <w:basedOn w:val="Normal"/>
    <w:next w:val="Normal"/>
    <w:link w:val="Heading1Char"/>
    <w:qFormat/>
    <w:rsid w:val="00E91E4D"/>
    <w:pPr>
      <w:numPr>
        <w:numId w:val="2"/>
      </w:numPr>
      <w:outlineLvl w:val="0"/>
    </w:pPr>
    <w:rPr>
      <w:b/>
      <w:bCs/>
    </w:rPr>
  </w:style>
  <w:style w:type="paragraph" w:styleId="Heading2">
    <w:name w:val="heading 2"/>
    <w:basedOn w:val="Normal"/>
    <w:next w:val="Normal"/>
    <w:link w:val="Heading2Char"/>
    <w:qFormat/>
    <w:rsid w:val="005E2F6B"/>
    <w:pPr>
      <w:numPr>
        <w:ilvl w:val="1"/>
        <w:numId w:val="2"/>
      </w:numPr>
      <w:outlineLvl w:val="1"/>
    </w:pPr>
    <w:rPr>
      <w:bCs/>
      <w:iCs/>
      <w:szCs w:val="28"/>
    </w:rPr>
  </w:style>
  <w:style w:type="paragraph" w:styleId="Heading3">
    <w:name w:val="heading 3"/>
    <w:basedOn w:val="Normal"/>
    <w:next w:val="Normal"/>
    <w:link w:val="Heading3Char"/>
    <w:qFormat/>
    <w:rsid w:val="005E2F6B"/>
    <w:pPr>
      <w:numPr>
        <w:ilvl w:val="2"/>
        <w:numId w:val="2"/>
      </w:numPr>
      <w:outlineLvl w:val="2"/>
    </w:pPr>
    <w:rPr>
      <w:bCs/>
      <w:szCs w:val="26"/>
    </w:rPr>
  </w:style>
  <w:style w:type="paragraph" w:styleId="Heading4">
    <w:name w:val="heading 4"/>
    <w:basedOn w:val="Normal"/>
    <w:next w:val="Normal"/>
    <w:link w:val="Heading4Char"/>
    <w:qFormat/>
    <w:rsid w:val="005E2F6B"/>
    <w:pPr>
      <w:numPr>
        <w:ilvl w:val="3"/>
        <w:numId w:val="2"/>
      </w:numPr>
      <w:outlineLvl w:val="3"/>
    </w:pPr>
    <w:rPr>
      <w:bCs/>
      <w:szCs w:val="28"/>
    </w:rPr>
  </w:style>
  <w:style w:type="paragraph" w:styleId="Heading5">
    <w:name w:val="heading 5"/>
    <w:basedOn w:val="Normal"/>
    <w:next w:val="Normal"/>
    <w:link w:val="Heading5Char"/>
    <w:qFormat/>
    <w:rsid w:val="005E2F6B"/>
    <w:pPr>
      <w:numPr>
        <w:ilvl w:val="4"/>
        <w:numId w:val="2"/>
      </w:numPr>
      <w:outlineLvl w:val="4"/>
    </w:pPr>
    <w:rPr>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F97B12"/>
    <w:rPr>
      <w:rFonts w:hAnsi="Arial"/>
      <w:b/>
      <w:bCs/>
      <w:lang w:eastAsia="en-US"/>
    </w:rPr>
  </w:style>
  <w:style w:type="character" w:styleId="Heading2Char" w:customStyle="1">
    <w:name w:val="Heading 2 Char"/>
    <w:link w:val="Heading2"/>
    <w:locked/>
    <w:rsid w:val="00F97B12"/>
    <w:rPr>
      <w:rFonts w:hAnsi="Arial"/>
      <w:bCs/>
      <w:iCs/>
      <w:szCs w:val="28"/>
      <w:lang w:eastAsia="en-US"/>
    </w:rPr>
  </w:style>
  <w:style w:type="character" w:styleId="Heading3Char" w:customStyle="1">
    <w:name w:val="Heading 3 Char"/>
    <w:link w:val="Heading3"/>
    <w:locked/>
    <w:rsid w:val="00F97B12"/>
    <w:rPr>
      <w:rFonts w:hAnsi="Arial"/>
      <w:bCs/>
      <w:szCs w:val="26"/>
      <w:lang w:eastAsia="en-US"/>
    </w:rPr>
  </w:style>
  <w:style w:type="character" w:styleId="Heading4Char" w:customStyle="1">
    <w:name w:val="Heading 4 Char"/>
    <w:link w:val="Heading4"/>
    <w:locked/>
    <w:rsid w:val="00F97B12"/>
    <w:rPr>
      <w:rFonts w:hAnsi="Arial"/>
      <w:bCs/>
      <w:szCs w:val="28"/>
      <w:lang w:eastAsia="en-US"/>
    </w:rPr>
  </w:style>
  <w:style w:type="character" w:styleId="Heading5Char" w:customStyle="1">
    <w:name w:val="Heading 5 Char"/>
    <w:link w:val="Heading5"/>
    <w:locked/>
    <w:rsid w:val="00F97B12"/>
    <w:rPr>
      <w:rFonts w:hAnsi="Arial"/>
      <w:bCs/>
      <w:iCs/>
      <w:szCs w:val="26"/>
      <w:lang w:eastAsia="en-US"/>
    </w:rPr>
  </w:style>
  <w:style w:type="paragraph" w:styleId="BalloonText">
    <w:name w:val="Balloon Text"/>
    <w:basedOn w:val="Normal"/>
    <w:link w:val="BalloonTextChar"/>
    <w:rsid w:val="00F97B12"/>
    <w:pPr>
      <w:widowControl/>
    </w:pPr>
    <w:rPr>
      <w:rFonts w:ascii="Tahoma" w:hAnsi="Tahoma" w:cs="Tahoma"/>
      <w:sz w:val="16"/>
      <w:szCs w:val="16"/>
      <w:lang w:val="en-GB" w:eastAsia="en-GB"/>
    </w:rPr>
  </w:style>
  <w:style w:type="character" w:styleId="BalloonTextChar" w:customStyle="1">
    <w:name w:val="Balloon Text Char"/>
    <w:link w:val="BalloonText"/>
    <w:locked/>
    <w:rsid w:val="00F97B12"/>
    <w:rPr>
      <w:rFonts w:ascii="Tahoma" w:hAnsi="Tahoma" w:cs="Tahoma"/>
      <w:sz w:val="16"/>
      <w:szCs w:val="16"/>
      <w:lang w:eastAsia="en-US"/>
    </w:rPr>
  </w:style>
  <w:style w:type="paragraph" w:styleId="Footer">
    <w:name w:val="footer"/>
    <w:basedOn w:val="Normal"/>
    <w:link w:val="FooterChar"/>
    <w:rsid w:val="005E2F6B"/>
    <w:rPr>
      <w:szCs w:val="24"/>
    </w:rPr>
  </w:style>
  <w:style w:type="character" w:styleId="FooterChar" w:customStyle="1">
    <w:name w:val="Footer Char"/>
    <w:link w:val="Footer"/>
    <w:locked/>
    <w:rsid w:val="00F97B12"/>
    <w:rPr>
      <w:rFonts w:hAnsi="Arial" w:cs="Times New Roman"/>
      <w:sz w:val="20"/>
      <w:szCs w:val="20"/>
      <w:lang w:eastAsia="en-US"/>
    </w:rPr>
  </w:style>
  <w:style w:type="character" w:styleId="FootnoteReference">
    <w:name w:val="footnote reference"/>
    <w:rsid w:val="005E2F6B"/>
    <w:rPr>
      <w:rFonts w:ascii="Arial" w:hAnsi="Arial" w:cs="Times New Roman"/>
      <w:b/>
      <w:sz w:val="32"/>
      <w:vertAlign w:val="superscript"/>
    </w:rPr>
  </w:style>
  <w:style w:type="paragraph" w:styleId="FootnoteText">
    <w:name w:val="footnote text"/>
    <w:basedOn w:val="Normal"/>
    <w:link w:val="FootnoteTextChar"/>
    <w:rsid w:val="005E2F6B"/>
    <w:rPr>
      <w:b/>
      <w:i/>
      <w:sz w:val="16"/>
    </w:rPr>
  </w:style>
  <w:style w:type="character" w:styleId="FootnoteTextChar" w:customStyle="1">
    <w:name w:val="Footnote Text Char"/>
    <w:link w:val="FootnoteText"/>
    <w:locked/>
    <w:rsid w:val="00F97B12"/>
    <w:rPr>
      <w:rFonts w:hAnsi="Arial" w:cs="Times New Roman"/>
      <w:sz w:val="20"/>
      <w:szCs w:val="20"/>
      <w:lang w:eastAsia="en-US"/>
    </w:rPr>
  </w:style>
  <w:style w:type="paragraph" w:styleId="Header">
    <w:name w:val="header"/>
    <w:basedOn w:val="Normal"/>
    <w:link w:val="HeaderChar"/>
    <w:rsid w:val="005E2F6B"/>
    <w:pPr>
      <w:overflowPunct w:val="0"/>
      <w:autoSpaceDE w:val="0"/>
      <w:autoSpaceDN w:val="0"/>
      <w:adjustRightInd w:val="0"/>
      <w:textAlignment w:val="baseline"/>
    </w:pPr>
  </w:style>
  <w:style w:type="character" w:styleId="HeaderChar" w:customStyle="1">
    <w:name w:val="Header Char"/>
    <w:link w:val="Header"/>
    <w:locked/>
    <w:rsid w:val="00F97B12"/>
    <w:rPr>
      <w:rFonts w:hAnsi="Arial" w:cs="Times New Roman"/>
      <w:sz w:val="20"/>
      <w:szCs w:val="20"/>
      <w:lang w:eastAsia="en-US"/>
    </w:rPr>
  </w:style>
  <w:style w:type="paragraph" w:styleId="Heading1BoldCaps" w:customStyle="1">
    <w:name w:val="Heading 1 Bold/Caps"/>
    <w:basedOn w:val="Heading1"/>
    <w:next w:val="Normal"/>
    <w:rsid w:val="005E2F6B"/>
    <w:pPr>
      <w:numPr>
        <w:numId w:val="0"/>
      </w:numPr>
    </w:pPr>
    <w:rPr>
      <w:b w:val="0"/>
      <w:caps/>
    </w:rPr>
  </w:style>
  <w:style w:type="character" w:styleId="iManFooter" w:customStyle="1">
    <w:name w:val="iManFooter"/>
    <w:rsid w:val="005E2F6B"/>
    <w:rPr>
      <w:rFonts w:ascii="Arial" w:hAnsi="Arial" w:cs="Times New Roman"/>
      <w:sz w:val="12"/>
      <w:szCs w:val="12"/>
    </w:rPr>
  </w:style>
  <w:style w:type="paragraph" w:styleId="L1Para" w:customStyle="1">
    <w:name w:val="L1Para"/>
    <w:basedOn w:val="Normal"/>
    <w:next w:val="Normal"/>
    <w:rsid w:val="005E2F6B"/>
    <w:pPr>
      <w:ind w:left="720"/>
    </w:pPr>
  </w:style>
  <w:style w:type="paragraph" w:styleId="L2Para" w:customStyle="1">
    <w:name w:val="L2Para"/>
    <w:basedOn w:val="Normal"/>
    <w:next w:val="Normal"/>
    <w:rsid w:val="005E2F6B"/>
    <w:pPr>
      <w:ind w:left="720"/>
    </w:pPr>
  </w:style>
  <w:style w:type="paragraph" w:styleId="L3Para" w:customStyle="1">
    <w:name w:val="L3Para"/>
    <w:basedOn w:val="Normal"/>
    <w:next w:val="Normal"/>
    <w:rsid w:val="005E2F6B"/>
    <w:pPr>
      <w:ind w:left="1440"/>
    </w:pPr>
  </w:style>
  <w:style w:type="paragraph" w:styleId="L4Para" w:customStyle="1">
    <w:name w:val="L4Para"/>
    <w:basedOn w:val="Normal"/>
    <w:next w:val="Normal"/>
    <w:rsid w:val="005E2F6B"/>
    <w:pPr>
      <w:ind w:left="2160"/>
    </w:pPr>
  </w:style>
  <w:style w:type="paragraph" w:styleId="L5Para" w:customStyle="1">
    <w:name w:val="L5Para"/>
    <w:basedOn w:val="Normal"/>
    <w:next w:val="Normal"/>
    <w:rsid w:val="005E2F6B"/>
    <w:pPr>
      <w:ind w:left="2880"/>
    </w:pPr>
  </w:style>
  <w:style w:type="character" w:styleId="PageNumber">
    <w:name w:val="page number"/>
    <w:rsid w:val="005E2F6B"/>
    <w:rPr>
      <w:rFonts w:ascii="Arial" w:hAnsi="Arial" w:cs="Times New Roman"/>
      <w:sz w:val="20"/>
      <w:szCs w:val="20"/>
    </w:rPr>
  </w:style>
  <w:style w:type="paragraph" w:styleId="Style1" w:customStyle="1">
    <w:name w:val="Style (1)"/>
    <w:basedOn w:val="Normal"/>
    <w:next w:val="Normal"/>
    <w:rsid w:val="005E2F6B"/>
    <w:pPr>
      <w:numPr>
        <w:numId w:val="3"/>
      </w:numPr>
    </w:pPr>
  </w:style>
  <w:style w:type="paragraph" w:styleId="Stylei" w:customStyle="1">
    <w:name w:val="Style (i)"/>
    <w:basedOn w:val="Normal"/>
    <w:next w:val="Normal"/>
    <w:rsid w:val="005E2F6B"/>
    <w:pPr>
      <w:numPr>
        <w:numId w:val="4"/>
      </w:numPr>
    </w:pPr>
  </w:style>
  <w:style w:type="paragraph" w:styleId="StyleA" w:customStyle="1">
    <w:name w:val="Style A."/>
    <w:basedOn w:val="Normal"/>
    <w:next w:val="Normal"/>
    <w:link w:val="StyleAChar"/>
    <w:rsid w:val="005E2F6B"/>
    <w:pPr>
      <w:numPr>
        <w:numId w:val="5"/>
      </w:numPr>
    </w:pPr>
  </w:style>
  <w:style w:type="paragraph" w:styleId="TOC1">
    <w:name w:val="toc 1"/>
    <w:basedOn w:val="Normal"/>
    <w:next w:val="Normal"/>
    <w:autoRedefine/>
    <w:uiPriority w:val="39"/>
    <w:rsid w:val="00CD234E"/>
    <w:pPr>
      <w:tabs>
        <w:tab w:val="left" w:pos="720"/>
        <w:tab w:val="left" w:leader="dot" w:pos="8640"/>
      </w:tabs>
      <w:spacing w:line="360" w:lineRule="auto"/>
    </w:pPr>
    <w:rPr>
      <w:rFonts w:ascii="Arial Bold" w:hAnsi="Arial Bold"/>
      <w:b/>
      <w:sz w:val="19"/>
    </w:rPr>
  </w:style>
  <w:style w:type="character" w:styleId="Hyperlink">
    <w:name w:val="Hyperlink"/>
    <w:uiPriority w:val="99"/>
    <w:rsid w:val="00F63D5B"/>
    <w:rPr>
      <w:rFonts w:cs="Times New Roman"/>
      <w:color w:val="0000FF"/>
      <w:u w:val="single"/>
    </w:rPr>
  </w:style>
  <w:style w:type="paragraph" w:styleId="ListParagraph">
    <w:name w:val="List Paragraph"/>
    <w:basedOn w:val="Normal"/>
    <w:uiPriority w:val="34"/>
    <w:qFormat/>
    <w:rsid w:val="00BB2EA6"/>
    <w:pPr>
      <w:widowControl/>
      <w:spacing w:after="200" w:line="276" w:lineRule="auto"/>
      <w:ind w:left="720"/>
      <w:contextualSpacing/>
    </w:pPr>
    <w:rPr>
      <w:rFonts w:asciiTheme="minorHAnsi" w:hAnsiTheme="minorHAnsi" w:eastAsiaTheme="minorHAnsi" w:cstheme="minorBidi"/>
      <w:sz w:val="22"/>
      <w:szCs w:val="22"/>
      <w:lang w:val="it-IT"/>
    </w:rPr>
  </w:style>
  <w:style w:type="paragraph" w:styleId="BodyText">
    <w:name w:val="Body Text"/>
    <w:basedOn w:val="Normal"/>
    <w:link w:val="BodyTextChar"/>
    <w:rsid w:val="0050423A"/>
    <w:pPr>
      <w:widowControl/>
      <w:overflowPunct w:val="0"/>
      <w:autoSpaceDE w:val="0"/>
      <w:autoSpaceDN w:val="0"/>
      <w:adjustRightInd w:val="0"/>
      <w:spacing w:after="120"/>
      <w:textAlignment w:val="baseline"/>
    </w:pPr>
    <w:rPr>
      <w:rFonts w:ascii="Times New Roman" w:hAnsi="Times New Roman" w:eastAsia="Calibri"/>
      <w:sz w:val="24"/>
      <w:lang w:val="en-US"/>
    </w:rPr>
  </w:style>
  <w:style w:type="character" w:styleId="BodyTextChar" w:customStyle="1">
    <w:name w:val="Body Text Char"/>
    <w:basedOn w:val="DefaultParagraphFont"/>
    <w:link w:val="BodyText"/>
    <w:rsid w:val="0050423A"/>
    <w:rPr>
      <w:rFonts w:ascii="Times New Roman" w:eastAsia="Calibri"/>
      <w:sz w:val="24"/>
      <w:lang w:val="en-US" w:eastAsia="en-US"/>
    </w:rPr>
  </w:style>
  <w:style w:type="character" w:styleId="deltaviewinsertion" w:customStyle="1">
    <w:name w:val="deltaviewinsertion"/>
    <w:basedOn w:val="DefaultParagraphFont"/>
    <w:rsid w:val="0050423A"/>
  </w:style>
  <w:style w:type="paragraph" w:styleId="Body1" w:customStyle="1">
    <w:name w:val="Body 1"/>
    <w:basedOn w:val="Normal"/>
    <w:rsid w:val="0088240A"/>
    <w:pPr>
      <w:widowControl/>
      <w:spacing w:after="210" w:line="264" w:lineRule="auto"/>
      <w:jc w:val="both"/>
    </w:pPr>
    <w:rPr>
      <w:rFonts w:cs="Arial"/>
      <w:kern w:val="28"/>
      <w:sz w:val="21"/>
      <w:lang w:val="en-GB" w:eastAsia="zh-CN"/>
    </w:rPr>
  </w:style>
  <w:style w:type="character" w:styleId="DeltaViewInsertion0" w:customStyle="1">
    <w:name w:val="DeltaView Insertion"/>
    <w:rsid w:val="00D150F4"/>
    <w:rPr>
      <w:color w:val="0000FF"/>
      <w:spacing w:val="0"/>
      <w:u w:val="double"/>
    </w:rPr>
  </w:style>
  <w:style w:type="character" w:styleId="FollowedHyperlink">
    <w:name w:val="FollowedHyperlink"/>
    <w:basedOn w:val="DefaultParagraphFont"/>
    <w:rsid w:val="007E6EC2"/>
    <w:rPr>
      <w:color w:val="800080" w:themeColor="followedHyperlink"/>
      <w:u w:val="single"/>
    </w:rPr>
  </w:style>
  <w:style w:type="paragraph" w:styleId="BodyText2">
    <w:name w:val="Body Text 2"/>
    <w:basedOn w:val="Normal"/>
    <w:link w:val="BodyText2Char"/>
    <w:rsid w:val="007C7A5E"/>
    <w:pPr>
      <w:spacing w:after="120" w:line="480" w:lineRule="auto"/>
    </w:pPr>
  </w:style>
  <w:style w:type="character" w:styleId="BodyText2Char" w:customStyle="1">
    <w:name w:val="Body Text 2 Char"/>
    <w:basedOn w:val="DefaultParagraphFont"/>
    <w:link w:val="BodyText2"/>
    <w:rsid w:val="007C7A5E"/>
    <w:rPr>
      <w:rFonts w:hAnsi="Arial"/>
      <w:lang w:eastAsia="en-US"/>
    </w:rPr>
  </w:style>
  <w:style w:type="character" w:styleId="StyleAChar" w:customStyle="1">
    <w:name w:val="Style A. Char"/>
    <w:link w:val="StyleA"/>
    <w:rsid w:val="007C7A5E"/>
    <w:rPr>
      <w:rFonts w:hAnsi="Arial"/>
      <w:lang w:eastAsia="en-US"/>
    </w:rPr>
  </w:style>
  <w:style w:type="character" w:styleId="CommentReference">
    <w:name w:val="annotation reference"/>
    <w:basedOn w:val="DefaultParagraphFont"/>
    <w:semiHidden/>
    <w:unhideWhenUsed/>
    <w:rsid w:val="00440479"/>
    <w:rPr>
      <w:sz w:val="16"/>
      <w:szCs w:val="16"/>
    </w:rPr>
  </w:style>
  <w:style w:type="paragraph" w:styleId="CommentText">
    <w:name w:val="annotation text"/>
    <w:basedOn w:val="Normal"/>
    <w:link w:val="CommentTextChar"/>
    <w:semiHidden/>
    <w:unhideWhenUsed/>
    <w:rsid w:val="00440479"/>
  </w:style>
  <w:style w:type="character" w:styleId="CommentTextChar" w:customStyle="1">
    <w:name w:val="Comment Text Char"/>
    <w:basedOn w:val="DefaultParagraphFont"/>
    <w:link w:val="CommentText"/>
    <w:semiHidden/>
    <w:rsid w:val="00440479"/>
    <w:rPr>
      <w:rFonts w:hAnsi="Arial"/>
      <w:lang w:eastAsia="en-US"/>
    </w:rPr>
  </w:style>
  <w:style w:type="paragraph" w:styleId="CommentSubject">
    <w:name w:val="annotation subject"/>
    <w:basedOn w:val="CommentText"/>
    <w:next w:val="CommentText"/>
    <w:link w:val="CommentSubjectChar"/>
    <w:semiHidden/>
    <w:unhideWhenUsed/>
    <w:rsid w:val="00440479"/>
    <w:rPr>
      <w:b/>
      <w:bCs/>
    </w:rPr>
  </w:style>
  <w:style w:type="character" w:styleId="CommentSubjectChar" w:customStyle="1">
    <w:name w:val="Comment Subject Char"/>
    <w:basedOn w:val="CommentTextChar"/>
    <w:link w:val="CommentSubject"/>
    <w:semiHidden/>
    <w:rsid w:val="00440479"/>
    <w:rPr>
      <w:rFonts w:hAnsi="Arial"/>
      <w:b/>
      <w:bCs/>
      <w:lang w:eastAsia="en-US"/>
    </w:rPr>
  </w:style>
  <w:style w:type="paragraph" w:styleId="ALGNo1" w:customStyle="1">
    <w:name w:val="ALG No 1"/>
    <w:uiPriority w:val="1"/>
    <w:qFormat/>
    <w:rsid w:val="00202681"/>
    <w:pPr>
      <w:numPr>
        <w:numId w:val="8"/>
      </w:numPr>
      <w:spacing w:before="240" w:line="288" w:lineRule="auto"/>
      <w:jc w:val="both"/>
    </w:pPr>
    <w:rPr>
      <w:rFonts w:hAnsi="Arial" w:eastAsiaTheme="minorHAnsi" w:cstheme="minorBidi"/>
      <w:sz w:val="19"/>
      <w:szCs w:val="19"/>
      <w:lang w:eastAsia="en-US"/>
    </w:rPr>
  </w:style>
  <w:style w:type="paragraph" w:styleId="ALGHd1" w:customStyle="1">
    <w:name w:val="ALG Hd 1"/>
    <w:basedOn w:val="ALGNo1"/>
    <w:next w:val="Normal"/>
    <w:uiPriority w:val="1"/>
    <w:qFormat/>
    <w:rsid w:val="00202681"/>
    <w:pPr>
      <w:keepNext/>
      <w:jc w:val="left"/>
      <w:outlineLvl w:val="0"/>
    </w:pPr>
    <w:rPr>
      <w:b/>
      <w:caps/>
    </w:rPr>
  </w:style>
  <w:style w:type="paragraph" w:styleId="ALGNo2" w:customStyle="1">
    <w:name w:val="ALG No 2"/>
    <w:uiPriority w:val="1"/>
    <w:qFormat/>
    <w:rsid w:val="00202681"/>
    <w:pPr>
      <w:numPr>
        <w:ilvl w:val="1"/>
        <w:numId w:val="8"/>
      </w:numPr>
      <w:spacing w:before="240" w:line="288" w:lineRule="auto"/>
      <w:jc w:val="both"/>
    </w:pPr>
    <w:rPr>
      <w:rFonts w:hAnsi="Arial" w:eastAsiaTheme="minorHAnsi" w:cstheme="minorBidi"/>
      <w:sz w:val="19"/>
      <w:szCs w:val="19"/>
      <w:lang w:eastAsia="en-US"/>
    </w:rPr>
  </w:style>
  <w:style w:type="paragraph" w:styleId="ALGHd2" w:customStyle="1">
    <w:name w:val="ALG Hd 2"/>
    <w:basedOn w:val="ALGNo2"/>
    <w:next w:val="Normal"/>
    <w:uiPriority w:val="1"/>
    <w:qFormat/>
    <w:rsid w:val="00202681"/>
    <w:pPr>
      <w:keepNext/>
      <w:jc w:val="left"/>
      <w:outlineLvl w:val="1"/>
    </w:pPr>
    <w:rPr>
      <w:b/>
    </w:rPr>
  </w:style>
  <w:style w:type="paragraph" w:styleId="ALGNo3" w:customStyle="1">
    <w:name w:val="ALG No 3"/>
    <w:uiPriority w:val="1"/>
    <w:qFormat/>
    <w:rsid w:val="00202681"/>
    <w:pPr>
      <w:numPr>
        <w:ilvl w:val="2"/>
        <w:numId w:val="8"/>
      </w:numPr>
      <w:spacing w:before="240" w:line="288" w:lineRule="auto"/>
      <w:jc w:val="both"/>
    </w:pPr>
    <w:rPr>
      <w:rFonts w:hAnsi="Arial" w:eastAsiaTheme="minorHAnsi" w:cstheme="minorBidi"/>
      <w:sz w:val="19"/>
      <w:szCs w:val="19"/>
      <w:lang w:eastAsia="en-US"/>
    </w:rPr>
  </w:style>
  <w:style w:type="paragraph" w:styleId="ALGHd3" w:customStyle="1">
    <w:name w:val="ALG Hd 3"/>
    <w:basedOn w:val="ALGNo3"/>
    <w:next w:val="Normal"/>
    <w:uiPriority w:val="1"/>
    <w:qFormat/>
    <w:rsid w:val="00202681"/>
    <w:pPr>
      <w:keepNext/>
      <w:jc w:val="left"/>
      <w:outlineLvl w:val="2"/>
    </w:pPr>
    <w:rPr>
      <w:b/>
      <w:i/>
    </w:rPr>
  </w:style>
  <w:style w:type="paragraph" w:styleId="ALGNo4" w:customStyle="1">
    <w:name w:val="ALG No 4"/>
    <w:uiPriority w:val="1"/>
    <w:qFormat/>
    <w:rsid w:val="00202681"/>
    <w:pPr>
      <w:numPr>
        <w:ilvl w:val="3"/>
        <w:numId w:val="8"/>
      </w:numPr>
      <w:spacing w:before="240" w:line="288" w:lineRule="auto"/>
      <w:jc w:val="both"/>
    </w:pPr>
    <w:rPr>
      <w:rFonts w:hAnsi="Arial" w:eastAsiaTheme="minorHAnsi" w:cstheme="minorBidi"/>
      <w:sz w:val="19"/>
      <w:szCs w:val="19"/>
      <w:lang w:eastAsia="en-US"/>
    </w:rPr>
  </w:style>
  <w:style w:type="paragraph" w:styleId="ALGHd4" w:customStyle="1">
    <w:name w:val="ALG Hd 4"/>
    <w:basedOn w:val="ALGNo4"/>
    <w:next w:val="Normal"/>
    <w:uiPriority w:val="1"/>
    <w:qFormat/>
    <w:rsid w:val="00202681"/>
    <w:pPr>
      <w:keepNext/>
      <w:jc w:val="left"/>
    </w:pPr>
    <w:rPr>
      <w:i/>
    </w:rPr>
  </w:style>
  <w:style w:type="paragraph" w:styleId="ALGNo5" w:customStyle="1">
    <w:name w:val="ALG No 5"/>
    <w:uiPriority w:val="1"/>
    <w:qFormat/>
    <w:rsid w:val="00202681"/>
    <w:pPr>
      <w:numPr>
        <w:ilvl w:val="4"/>
        <w:numId w:val="8"/>
      </w:numPr>
      <w:spacing w:before="240" w:line="288" w:lineRule="auto"/>
      <w:jc w:val="both"/>
    </w:pPr>
    <w:rPr>
      <w:rFonts w:hAnsi="Arial" w:eastAsiaTheme="minorHAnsi" w:cstheme="minorBidi"/>
      <w:sz w:val="19"/>
      <w:szCs w:val="19"/>
      <w:lang w:eastAsia="en-US"/>
    </w:rPr>
  </w:style>
  <w:style w:type="paragraph" w:styleId="ALGNo6" w:customStyle="1">
    <w:name w:val="ALG No 6"/>
    <w:uiPriority w:val="1"/>
    <w:unhideWhenUsed/>
    <w:qFormat/>
    <w:rsid w:val="00202681"/>
    <w:pPr>
      <w:numPr>
        <w:ilvl w:val="5"/>
        <w:numId w:val="8"/>
      </w:numPr>
      <w:spacing w:before="240" w:line="288" w:lineRule="auto"/>
      <w:jc w:val="both"/>
    </w:pPr>
    <w:rPr>
      <w:rFonts w:hAnsi="Arial" w:eastAsiaTheme="minorHAnsi" w:cstheme="minorBidi"/>
      <w:sz w:val="19"/>
      <w:szCs w:val="19"/>
      <w:lang w:eastAsia="en-US"/>
    </w:rPr>
  </w:style>
  <w:style w:type="paragraph" w:styleId="ALGNo7" w:customStyle="1">
    <w:name w:val="ALG No 7"/>
    <w:uiPriority w:val="1"/>
    <w:unhideWhenUsed/>
    <w:qFormat/>
    <w:rsid w:val="00202681"/>
    <w:pPr>
      <w:numPr>
        <w:ilvl w:val="6"/>
        <w:numId w:val="8"/>
      </w:numPr>
      <w:spacing w:before="240" w:line="288" w:lineRule="auto"/>
      <w:jc w:val="both"/>
    </w:pPr>
    <w:rPr>
      <w:rFonts w:hAnsi="Arial" w:eastAsiaTheme="minorHAnsi" w:cstheme="minorBidi"/>
      <w:sz w:val="19"/>
      <w:szCs w:val="19"/>
      <w:lang w:eastAsia="en-US"/>
    </w:rPr>
  </w:style>
  <w:style w:type="table" w:styleId="ALGTable" w:customStyle="1">
    <w:name w:val="ALG Table"/>
    <w:basedOn w:val="TableNormal"/>
    <w:uiPriority w:val="99"/>
    <w:rsid w:val="00202681"/>
    <w:pPr>
      <w:spacing w:before="80" w:after="80"/>
    </w:pPr>
    <w:rPr>
      <w:rFonts w:hAnsi="Arial" w:eastAsia="Batang" w:cstheme="minorBidi"/>
      <w:sz w:val="1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Arial" w:hAnsi="Arial"/>
        <w:sz w:val="18"/>
      </w:rPr>
      <w:tblPr/>
      <w:tcPr>
        <w:shd w:val="clear" w:color="auto" w:fill="2CD5C4"/>
      </w:tcPr>
    </w:tblStylePr>
  </w:style>
  <w:style w:type="table" w:styleId="ALGTable2" w:customStyle="1">
    <w:name w:val="ALG Table 2"/>
    <w:basedOn w:val="ALGTable"/>
    <w:uiPriority w:val="99"/>
    <w:rsid w:val="00202681"/>
    <w:pPr>
      <w:jc w:val="both"/>
    </w:pPr>
    <w:tblPr/>
    <w:tblStylePr w:type="firstRow">
      <w:rPr>
        <w:rFonts w:ascii="Arial Bold" w:hAnsi="Arial Bold"/>
        <w:b/>
        <w:color w:val="4F81BD" w:themeColor="accent1"/>
        <w:sz w:val="18"/>
      </w:rPr>
      <w:tblPr/>
      <w:tcPr>
        <w:shd w:val="clear" w:color="auto" w:fill="8064A2" w:themeFill="accent4"/>
      </w:tcPr>
    </w:tblStylePr>
  </w:style>
  <w:style w:type="table" w:styleId="ALGTable3" w:customStyle="1">
    <w:name w:val="ALG Table 3"/>
    <w:basedOn w:val="ALGTable"/>
    <w:uiPriority w:val="99"/>
    <w:rsid w:val="00202681"/>
    <w:pPr>
      <w:jc w:val="both"/>
    </w:pPr>
    <w:tblPr/>
    <w:tblStylePr w:type="firstRow">
      <w:rPr>
        <w:rFonts w:ascii="Arial" w:hAnsi="Arial"/>
        <w:sz w:val="18"/>
      </w:rPr>
      <w:tblPr/>
      <w:tcPr>
        <w:shd w:val="clear" w:color="auto" w:fill="FFFFFF" w:themeFill="background1"/>
      </w:tcPr>
    </w:tblStylePr>
    <w:tblStylePr w:type="firstCol">
      <w:rPr>
        <w:b/>
        <w:i w:val="0"/>
      </w:rPr>
      <w:tblPr/>
      <w:tcPr>
        <w:shd w:val="clear" w:color="auto" w:fill="4F81BD" w:themeFill="accent1"/>
      </w:tcPr>
    </w:tblStylePr>
    <w:tblStylePr w:type="nwCell">
      <w:tblPr/>
      <w:tcPr>
        <w:shd w:val="clear" w:color="auto" w:fill="4F81BD" w:themeFill="accent1"/>
      </w:tcPr>
    </w:tblStylePr>
  </w:style>
  <w:style w:type="table" w:styleId="ALGTable4" w:customStyle="1">
    <w:name w:val="ALG Table 4"/>
    <w:basedOn w:val="ALGTable"/>
    <w:uiPriority w:val="99"/>
    <w:rsid w:val="00202681"/>
    <w:pPr>
      <w:jc w:val="both"/>
    </w:pPr>
    <w:tblPr/>
    <w:tblStylePr w:type="firstRow">
      <w:rPr>
        <w:rFonts w:ascii="Arial" w:hAnsi="Arial"/>
        <w:sz w:val="18"/>
      </w:rPr>
      <w:tblPr/>
      <w:tcPr>
        <w:shd w:val="clear" w:color="auto" w:fill="FFFFFF" w:themeFill="background1"/>
      </w:tcPr>
    </w:tblStylePr>
    <w:tblStylePr w:type="firstCol">
      <w:rPr>
        <w:b/>
        <w:color w:val="4F81BD" w:themeColor="accent1"/>
      </w:rPr>
      <w:tblPr/>
      <w:tcPr>
        <w:shd w:val="clear" w:color="auto" w:fill="8064A2" w:themeFill="accent4"/>
      </w:tcPr>
    </w:tblStylePr>
    <w:tblStylePr w:type="nwCell">
      <w:tblPr/>
      <w:tcPr>
        <w:shd w:val="clear" w:color="auto" w:fill="8064A2" w:themeFill="accent4"/>
      </w:tcPr>
    </w:tblStylePr>
  </w:style>
  <w:style w:type="table" w:styleId="ALGTable5" w:customStyle="1">
    <w:name w:val="ALG Table 5"/>
    <w:basedOn w:val="ALGTable"/>
    <w:uiPriority w:val="99"/>
    <w:rsid w:val="00202681"/>
    <w:tblPr/>
    <w:tblStylePr w:type="firstRow">
      <w:rPr>
        <w:rFonts w:ascii="Arial" w:hAnsi="Arial"/>
        <w:b/>
        <w:color w:val="8064A2" w:themeColor="accent4"/>
        <w:sz w:val="18"/>
      </w:rPr>
      <w:tblPr/>
      <w:tcPr>
        <w:shd w:val="clear" w:color="auto" w:fill="2CD5C4"/>
      </w:tcPr>
    </w:tblStylePr>
    <w:tblStylePr w:type="firstCol">
      <w:rPr>
        <w:b/>
        <w:color w:val="8064A2" w:themeColor="accent4"/>
      </w:rPr>
      <w:tblPr/>
      <w:tcPr>
        <w:shd w:val="clear" w:color="auto" w:fill="4F81BD" w:themeFill="accent1"/>
      </w:tcPr>
    </w:tblStylePr>
    <w:tblStylePr w:type="nwCell">
      <w:pPr>
        <w:wordWrap/>
        <w:spacing w:before="80" w:beforeLines="0" w:beforeAutospacing="0" w:after="80" w:afterLines="0" w:afterAutospacing="0" w:line="240" w:lineRule="auto"/>
        <w:jc w:val="both"/>
        <w:outlineLvl w:val="9"/>
      </w:pPr>
      <w:rPr>
        <w:color w:val="4F81BD" w:themeColor="accent1"/>
      </w:rPr>
    </w:tblStylePr>
  </w:style>
  <w:style w:type="table" w:styleId="ALGTable6" w:customStyle="1">
    <w:name w:val="ALG Table 6"/>
    <w:basedOn w:val="ALGTable"/>
    <w:uiPriority w:val="99"/>
    <w:rsid w:val="00202681"/>
    <w:pPr>
      <w:jc w:val="both"/>
    </w:p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tblStylePr w:type="firstRow">
      <w:rPr>
        <w:rFonts w:ascii="Arial" w:hAnsi="Arial"/>
        <w:b/>
        <w:color w:val="4F81BD" w:themeColor="accent1"/>
        <w:sz w:val="18"/>
      </w:rPr>
      <w:tblPr/>
      <w:tcPr>
        <w:shd w:val="clear" w:color="auto" w:fill="8064A2" w:themeFill="accent4"/>
      </w:tcPr>
    </w:tblStylePr>
    <w:tblStylePr w:type="firstCol">
      <w:rPr>
        <w:b/>
        <w:color w:val="FFFFFF" w:themeColor="background1"/>
      </w:rPr>
      <w:tblPr/>
      <w:tcPr>
        <w:shd w:val="clear" w:color="auto" w:fill="8064A2" w:themeFill="accent4"/>
      </w:tcPr>
    </w:tblStylePr>
    <w:tblStylePr w:type="nwCell">
      <w:rPr>
        <w:color w:val="8064A2" w:themeColor="accent4"/>
      </w:rPr>
    </w:tblStylePr>
  </w:style>
  <w:style w:type="paragraph" w:styleId="Appendix1Number" w:customStyle="1">
    <w:name w:val="Appendix 1 Number"/>
    <w:next w:val="Normal"/>
    <w:uiPriority w:val="34"/>
    <w:qFormat/>
    <w:rsid w:val="00202681"/>
    <w:pPr>
      <w:numPr>
        <w:ilvl w:val="2"/>
        <w:numId w:val="9"/>
      </w:numPr>
      <w:spacing w:before="240" w:line="288" w:lineRule="auto"/>
      <w:jc w:val="both"/>
    </w:pPr>
    <w:rPr>
      <w:rFonts w:hAnsi="Arial" w:eastAsiaTheme="minorHAnsi" w:cstheme="minorBidi"/>
      <w:sz w:val="19"/>
      <w:szCs w:val="19"/>
      <w:lang w:eastAsia="en-US"/>
    </w:rPr>
  </w:style>
  <w:style w:type="paragraph" w:styleId="Appendix2Number" w:customStyle="1">
    <w:name w:val="Appendix 2 Number"/>
    <w:next w:val="Normal"/>
    <w:uiPriority w:val="34"/>
    <w:qFormat/>
    <w:rsid w:val="00202681"/>
    <w:pPr>
      <w:numPr>
        <w:ilvl w:val="3"/>
        <w:numId w:val="9"/>
      </w:numPr>
      <w:spacing w:before="240" w:line="288" w:lineRule="auto"/>
      <w:jc w:val="both"/>
    </w:pPr>
    <w:rPr>
      <w:rFonts w:hAnsi="Arial" w:eastAsiaTheme="minorHAnsi" w:cstheme="minorBidi"/>
      <w:sz w:val="19"/>
      <w:szCs w:val="19"/>
      <w:lang w:eastAsia="en-US"/>
    </w:rPr>
  </w:style>
  <w:style w:type="paragraph" w:styleId="Appendix3Number" w:customStyle="1">
    <w:name w:val="Appendix 3 Number"/>
    <w:next w:val="Normal"/>
    <w:uiPriority w:val="34"/>
    <w:qFormat/>
    <w:rsid w:val="00202681"/>
    <w:pPr>
      <w:numPr>
        <w:ilvl w:val="4"/>
        <w:numId w:val="9"/>
      </w:numPr>
      <w:spacing w:before="240" w:line="288" w:lineRule="auto"/>
      <w:jc w:val="both"/>
    </w:pPr>
    <w:rPr>
      <w:rFonts w:hAnsi="Arial" w:eastAsiaTheme="minorHAnsi" w:cstheme="minorBidi"/>
      <w:sz w:val="19"/>
      <w:szCs w:val="19"/>
      <w:lang w:eastAsia="en-US"/>
    </w:rPr>
  </w:style>
  <w:style w:type="paragraph" w:styleId="Appendix4Number" w:customStyle="1">
    <w:name w:val="Appendix 4 Number"/>
    <w:next w:val="Normal"/>
    <w:uiPriority w:val="34"/>
    <w:qFormat/>
    <w:rsid w:val="00202681"/>
    <w:pPr>
      <w:numPr>
        <w:ilvl w:val="5"/>
        <w:numId w:val="9"/>
      </w:numPr>
      <w:spacing w:before="240" w:line="288" w:lineRule="auto"/>
      <w:jc w:val="both"/>
    </w:pPr>
    <w:rPr>
      <w:rFonts w:hAnsi="Arial" w:eastAsiaTheme="minorHAnsi" w:cstheme="minorBidi"/>
      <w:sz w:val="19"/>
      <w:szCs w:val="19"/>
      <w:lang w:eastAsia="en-US"/>
    </w:rPr>
  </w:style>
  <w:style w:type="paragraph" w:styleId="Appendix5Number" w:customStyle="1">
    <w:name w:val="Appendix 5 Number"/>
    <w:next w:val="Normal"/>
    <w:uiPriority w:val="34"/>
    <w:qFormat/>
    <w:rsid w:val="00202681"/>
    <w:pPr>
      <w:numPr>
        <w:ilvl w:val="6"/>
        <w:numId w:val="9"/>
      </w:numPr>
      <w:spacing w:before="240" w:line="288" w:lineRule="auto"/>
      <w:jc w:val="both"/>
    </w:pPr>
    <w:rPr>
      <w:rFonts w:hAnsi="Arial" w:eastAsiaTheme="minorHAnsi" w:cstheme="minorBidi"/>
      <w:sz w:val="19"/>
      <w:szCs w:val="19"/>
      <w:lang w:eastAsia="en-US"/>
    </w:rPr>
  </w:style>
  <w:style w:type="paragraph" w:styleId="AppendixHeading" w:customStyle="1">
    <w:name w:val="Appendix Heading"/>
    <w:next w:val="Normal"/>
    <w:uiPriority w:val="32"/>
    <w:qFormat/>
    <w:rsid w:val="00202681"/>
    <w:pPr>
      <w:pageBreakBefore/>
      <w:widowControl w:val="0"/>
      <w:numPr>
        <w:numId w:val="9"/>
      </w:numPr>
      <w:spacing w:before="240" w:line="288" w:lineRule="auto"/>
      <w:jc w:val="center"/>
      <w:outlineLvl w:val="0"/>
    </w:pPr>
    <w:rPr>
      <w:rFonts w:hAnsi="Arial" w:eastAsiaTheme="minorHAnsi" w:cstheme="minorBidi"/>
      <w:b/>
      <w:caps/>
      <w:sz w:val="19"/>
      <w:szCs w:val="19"/>
      <w:lang w:eastAsia="en-US"/>
    </w:rPr>
  </w:style>
  <w:style w:type="paragraph" w:styleId="AppendixPart" w:customStyle="1">
    <w:name w:val="Appendix Part"/>
    <w:next w:val="Normal"/>
    <w:uiPriority w:val="33"/>
    <w:qFormat/>
    <w:rsid w:val="00202681"/>
    <w:pPr>
      <w:keepNext/>
      <w:widowControl w:val="0"/>
      <w:numPr>
        <w:ilvl w:val="1"/>
        <w:numId w:val="9"/>
      </w:numPr>
      <w:spacing w:before="240" w:line="288" w:lineRule="auto"/>
      <w:jc w:val="center"/>
      <w:outlineLvl w:val="1"/>
    </w:pPr>
    <w:rPr>
      <w:rFonts w:hAnsi="Arial" w:eastAsiaTheme="minorHAnsi" w:cstheme="minorBidi"/>
      <w:b/>
      <w:sz w:val="19"/>
      <w:szCs w:val="19"/>
      <w:lang w:eastAsia="en-US"/>
    </w:rPr>
  </w:style>
  <w:style w:type="paragraph" w:styleId="Body1ALG" w:customStyle="1">
    <w:name w:val="Body 1 ALG"/>
    <w:uiPriority w:val="1"/>
    <w:qFormat/>
    <w:rsid w:val="00202681"/>
    <w:pPr>
      <w:spacing w:before="240" w:line="288" w:lineRule="auto"/>
      <w:ind w:left="624"/>
      <w:jc w:val="both"/>
    </w:pPr>
    <w:rPr>
      <w:rFonts w:hAnsi="Arial" w:eastAsiaTheme="minorHAnsi" w:cstheme="minorBidi"/>
      <w:sz w:val="19"/>
      <w:szCs w:val="19"/>
      <w:lang w:eastAsia="en-US"/>
    </w:rPr>
  </w:style>
  <w:style w:type="paragraph" w:styleId="Body2ALG" w:customStyle="1">
    <w:name w:val="Body 2 ALG"/>
    <w:uiPriority w:val="2"/>
    <w:qFormat/>
    <w:rsid w:val="00202681"/>
    <w:pPr>
      <w:spacing w:before="240" w:line="288" w:lineRule="auto"/>
      <w:ind w:left="624"/>
      <w:jc w:val="both"/>
    </w:pPr>
    <w:rPr>
      <w:rFonts w:hAnsi="Arial" w:eastAsiaTheme="minorHAnsi" w:cstheme="minorBidi"/>
      <w:sz w:val="19"/>
      <w:szCs w:val="19"/>
      <w:lang w:eastAsia="en-US"/>
    </w:rPr>
  </w:style>
  <w:style w:type="paragraph" w:styleId="Body3ALG" w:customStyle="1">
    <w:name w:val="Body 3 ALG"/>
    <w:uiPriority w:val="4"/>
    <w:qFormat/>
    <w:rsid w:val="00202681"/>
    <w:pPr>
      <w:spacing w:before="240" w:line="288" w:lineRule="auto"/>
      <w:ind w:left="1474"/>
      <w:jc w:val="both"/>
    </w:pPr>
    <w:rPr>
      <w:rFonts w:hAnsi="Arial" w:eastAsiaTheme="minorHAnsi" w:cstheme="minorBidi"/>
      <w:sz w:val="19"/>
      <w:szCs w:val="19"/>
      <w:lang w:eastAsia="en-US"/>
    </w:rPr>
  </w:style>
  <w:style w:type="paragraph" w:styleId="Body4ALG" w:customStyle="1">
    <w:name w:val="Body 4 ALG"/>
    <w:uiPriority w:val="5"/>
    <w:qFormat/>
    <w:rsid w:val="00202681"/>
    <w:pPr>
      <w:spacing w:before="240" w:line="288" w:lineRule="auto"/>
      <w:ind w:left="1814"/>
      <w:jc w:val="both"/>
    </w:pPr>
    <w:rPr>
      <w:rFonts w:hAnsi="Arial" w:eastAsiaTheme="minorHAnsi" w:cstheme="minorBidi"/>
      <w:sz w:val="19"/>
      <w:szCs w:val="19"/>
      <w:lang w:eastAsia="en-US"/>
    </w:rPr>
  </w:style>
  <w:style w:type="paragraph" w:styleId="Body5ALG" w:customStyle="1">
    <w:name w:val="Body 5 ALG"/>
    <w:uiPriority w:val="7"/>
    <w:qFormat/>
    <w:rsid w:val="00202681"/>
    <w:pPr>
      <w:spacing w:before="240" w:line="288" w:lineRule="auto"/>
      <w:ind w:left="2211"/>
      <w:jc w:val="both"/>
    </w:pPr>
    <w:rPr>
      <w:rFonts w:hAnsi="Arial" w:eastAsiaTheme="minorHAnsi" w:cstheme="minorBidi"/>
      <w:sz w:val="19"/>
      <w:szCs w:val="19"/>
      <w:lang w:eastAsia="en-US"/>
    </w:rPr>
  </w:style>
  <w:style w:type="paragraph" w:styleId="Body6ALG" w:customStyle="1">
    <w:name w:val="Body 6 ALG"/>
    <w:uiPriority w:val="9"/>
    <w:qFormat/>
    <w:rsid w:val="00202681"/>
    <w:pPr>
      <w:spacing w:before="240" w:line="288" w:lineRule="auto"/>
      <w:ind w:left="2608"/>
      <w:jc w:val="both"/>
    </w:pPr>
    <w:rPr>
      <w:rFonts w:hAnsi="Arial" w:eastAsiaTheme="minorHAnsi" w:cstheme="minorBidi"/>
      <w:sz w:val="19"/>
      <w:szCs w:val="19"/>
      <w:lang w:eastAsia="en-US"/>
    </w:rPr>
  </w:style>
  <w:style w:type="paragraph" w:styleId="Body7ALG" w:customStyle="1">
    <w:name w:val="Body 7 ALG"/>
    <w:uiPriority w:val="10"/>
    <w:qFormat/>
    <w:rsid w:val="00202681"/>
    <w:pPr>
      <w:spacing w:before="240" w:line="288" w:lineRule="auto"/>
      <w:ind w:left="3005"/>
      <w:jc w:val="both"/>
    </w:pPr>
    <w:rPr>
      <w:rFonts w:hAnsi="Arial" w:eastAsiaTheme="minorHAnsi" w:cstheme="minorBidi"/>
      <w:sz w:val="19"/>
      <w:szCs w:val="19"/>
      <w:lang w:eastAsia="en-US"/>
    </w:rPr>
  </w:style>
  <w:style w:type="paragraph" w:styleId="BodyALG" w:customStyle="1">
    <w:name w:val="Body ALG"/>
    <w:qFormat/>
    <w:rsid w:val="00202681"/>
    <w:pPr>
      <w:spacing w:before="240" w:line="288" w:lineRule="auto"/>
      <w:jc w:val="both"/>
    </w:pPr>
    <w:rPr>
      <w:rFonts w:hAnsi="Arial" w:eastAsiaTheme="minorHAnsi" w:cstheme="minorBidi"/>
      <w:sz w:val="19"/>
      <w:szCs w:val="19"/>
      <w:lang w:eastAsia="en-US"/>
    </w:rPr>
  </w:style>
  <w:style w:type="paragraph" w:styleId="BulletL1" w:customStyle="1">
    <w:name w:val="Bullet L1"/>
    <w:uiPriority w:val="24"/>
    <w:qFormat/>
    <w:rsid w:val="00202681"/>
    <w:pPr>
      <w:numPr>
        <w:numId w:val="10"/>
      </w:numPr>
      <w:spacing w:before="240" w:line="288" w:lineRule="auto"/>
      <w:jc w:val="both"/>
    </w:pPr>
    <w:rPr>
      <w:rFonts w:hAnsi="Arial" w:eastAsiaTheme="minorHAnsi" w:cstheme="minorBidi"/>
      <w:sz w:val="19"/>
      <w:szCs w:val="19"/>
      <w:lang w:eastAsia="en-US"/>
    </w:rPr>
  </w:style>
  <w:style w:type="paragraph" w:styleId="BulletL2" w:customStyle="1">
    <w:name w:val="Bullet L2"/>
    <w:uiPriority w:val="25"/>
    <w:qFormat/>
    <w:rsid w:val="00202681"/>
    <w:pPr>
      <w:numPr>
        <w:ilvl w:val="1"/>
        <w:numId w:val="10"/>
      </w:numPr>
      <w:spacing w:before="240" w:line="288" w:lineRule="auto"/>
      <w:jc w:val="both"/>
    </w:pPr>
    <w:rPr>
      <w:rFonts w:hAnsi="Arial" w:eastAsiaTheme="minorHAnsi" w:cstheme="minorBidi"/>
      <w:sz w:val="19"/>
      <w:szCs w:val="19"/>
      <w:lang w:eastAsia="en-US"/>
    </w:rPr>
  </w:style>
  <w:style w:type="paragraph" w:styleId="Definition" w:customStyle="1">
    <w:name w:val="Definition"/>
    <w:uiPriority w:val="17"/>
    <w:qFormat/>
    <w:rsid w:val="00202681"/>
    <w:pPr>
      <w:numPr>
        <w:numId w:val="11"/>
      </w:numPr>
      <w:spacing w:before="240" w:line="288" w:lineRule="auto"/>
      <w:jc w:val="both"/>
    </w:pPr>
    <w:rPr>
      <w:rFonts w:hAnsi="Arial" w:eastAsiaTheme="minorHAnsi" w:cstheme="minorBidi"/>
      <w:sz w:val="19"/>
      <w:szCs w:val="19"/>
      <w:lang w:eastAsia="en-US"/>
    </w:rPr>
  </w:style>
  <w:style w:type="paragraph" w:styleId="Definitiona" w:customStyle="1">
    <w:name w:val="Definition (a)"/>
    <w:uiPriority w:val="18"/>
    <w:qFormat/>
    <w:rsid w:val="00202681"/>
    <w:pPr>
      <w:numPr>
        <w:ilvl w:val="1"/>
        <w:numId w:val="11"/>
      </w:numPr>
      <w:spacing w:before="240" w:line="288" w:lineRule="auto"/>
      <w:jc w:val="both"/>
    </w:pPr>
    <w:rPr>
      <w:rFonts w:hAnsi="Arial" w:eastAsiaTheme="minorHAnsi" w:cstheme="minorBidi"/>
      <w:sz w:val="19"/>
      <w:szCs w:val="19"/>
      <w:lang w:eastAsia="en-US"/>
    </w:rPr>
  </w:style>
  <w:style w:type="paragraph" w:styleId="DefinitionA0" w:customStyle="1">
    <w:name w:val="Definition (A)"/>
    <w:uiPriority w:val="20"/>
    <w:qFormat/>
    <w:rsid w:val="00202681"/>
    <w:pPr>
      <w:numPr>
        <w:ilvl w:val="3"/>
        <w:numId w:val="11"/>
      </w:numPr>
      <w:spacing w:before="240" w:line="288" w:lineRule="auto"/>
      <w:jc w:val="both"/>
    </w:pPr>
    <w:rPr>
      <w:rFonts w:hAnsi="Arial" w:eastAsiaTheme="minorHAnsi" w:cstheme="minorBidi"/>
      <w:sz w:val="19"/>
      <w:szCs w:val="19"/>
      <w:lang w:eastAsia="en-US"/>
    </w:rPr>
  </w:style>
  <w:style w:type="paragraph" w:styleId="Definitioni" w:customStyle="1">
    <w:name w:val="Definition (i)"/>
    <w:uiPriority w:val="19"/>
    <w:qFormat/>
    <w:rsid w:val="00202681"/>
    <w:pPr>
      <w:numPr>
        <w:ilvl w:val="2"/>
        <w:numId w:val="11"/>
      </w:numPr>
      <w:spacing w:before="240" w:line="288" w:lineRule="auto"/>
      <w:jc w:val="both"/>
    </w:pPr>
    <w:rPr>
      <w:rFonts w:hAnsi="Arial" w:eastAsiaTheme="minorHAnsi" w:cstheme="minorBidi"/>
      <w:sz w:val="19"/>
      <w:szCs w:val="19"/>
      <w:lang w:eastAsia="en-US"/>
    </w:rPr>
  </w:style>
  <w:style w:type="paragraph" w:styleId="EndnoteText">
    <w:name w:val="endnote text"/>
    <w:link w:val="EndnoteTextChar"/>
    <w:uiPriority w:val="99"/>
    <w:unhideWhenUsed/>
    <w:rsid w:val="00202681"/>
    <w:pPr>
      <w:jc w:val="both"/>
    </w:pPr>
    <w:rPr>
      <w:rFonts w:hAnsi="Arial" w:eastAsiaTheme="minorHAnsi" w:cstheme="minorBidi"/>
      <w:sz w:val="16"/>
      <w:lang w:eastAsia="en-US"/>
    </w:rPr>
  </w:style>
  <w:style w:type="character" w:styleId="EndnoteTextChar" w:customStyle="1">
    <w:name w:val="Endnote Text Char"/>
    <w:basedOn w:val="DefaultParagraphFont"/>
    <w:link w:val="EndnoteText"/>
    <w:uiPriority w:val="99"/>
    <w:rsid w:val="00202681"/>
    <w:rPr>
      <w:rFonts w:hAnsi="Arial" w:eastAsiaTheme="minorHAnsi" w:cstheme="minorBidi"/>
      <w:sz w:val="16"/>
      <w:lang w:eastAsia="en-US"/>
    </w:rPr>
  </w:style>
  <w:style w:type="paragraph" w:styleId="Parties" w:customStyle="1">
    <w:name w:val="Parties"/>
    <w:uiPriority w:val="10"/>
    <w:qFormat/>
    <w:rsid w:val="00202681"/>
    <w:pPr>
      <w:numPr>
        <w:numId w:val="12"/>
      </w:numPr>
      <w:spacing w:before="240" w:line="288" w:lineRule="auto"/>
      <w:jc w:val="both"/>
    </w:pPr>
    <w:rPr>
      <w:rFonts w:hAnsi="Arial" w:eastAsiaTheme="minorHAnsi" w:cstheme="minorBidi"/>
      <w:sz w:val="19"/>
      <w:szCs w:val="19"/>
      <w:lang w:eastAsia="en-US"/>
    </w:rPr>
  </w:style>
  <w:style w:type="character" w:styleId="PlaceholderText">
    <w:name w:val="Placeholder Text"/>
    <w:basedOn w:val="DefaultParagraphFont"/>
    <w:uiPriority w:val="99"/>
    <w:rsid w:val="00202681"/>
    <w:rPr>
      <w:color w:val="808080"/>
    </w:rPr>
  </w:style>
  <w:style w:type="paragraph" w:styleId="PrecNote1" w:customStyle="1">
    <w:name w:val="PrecNote1"/>
    <w:uiPriority w:val="99"/>
    <w:qFormat/>
    <w:rsid w:val="00202681"/>
    <w:pPr>
      <w:numPr>
        <w:numId w:val="13"/>
      </w:numPr>
      <w:spacing w:before="240" w:line="288" w:lineRule="auto"/>
      <w:jc w:val="both"/>
    </w:pPr>
    <w:rPr>
      <w:rFonts w:hAnsi="Arial" w:eastAsiaTheme="minorHAnsi" w:cstheme="minorBidi"/>
      <w:b/>
      <w:i/>
      <w:sz w:val="19"/>
      <w:szCs w:val="19"/>
      <w:lang w:eastAsia="en-US"/>
    </w:rPr>
  </w:style>
  <w:style w:type="paragraph" w:styleId="Recitals" w:customStyle="1">
    <w:name w:val="Recitals"/>
    <w:next w:val="Normal"/>
    <w:uiPriority w:val="10"/>
    <w:qFormat/>
    <w:rsid w:val="00202681"/>
    <w:pPr>
      <w:keepNext/>
      <w:spacing w:before="240" w:line="288" w:lineRule="auto"/>
      <w:jc w:val="both"/>
    </w:pPr>
    <w:rPr>
      <w:rFonts w:hAnsi="Arial" w:eastAsiaTheme="minorHAnsi" w:cstheme="minorBidi"/>
      <w:b/>
      <w:caps/>
      <w:sz w:val="19"/>
      <w:szCs w:val="19"/>
      <w:lang w:eastAsia="en-US"/>
    </w:rPr>
  </w:style>
  <w:style w:type="paragraph" w:styleId="RecitalsA" w:customStyle="1">
    <w:name w:val="Recitals (A)"/>
    <w:uiPriority w:val="10"/>
    <w:qFormat/>
    <w:rsid w:val="00202681"/>
    <w:pPr>
      <w:numPr>
        <w:numId w:val="14"/>
      </w:numPr>
      <w:spacing w:before="240" w:line="288" w:lineRule="auto"/>
      <w:jc w:val="both"/>
    </w:pPr>
    <w:rPr>
      <w:rFonts w:hAnsi="Arial" w:eastAsiaTheme="minorHAnsi" w:cstheme="minorBidi"/>
      <w:sz w:val="19"/>
      <w:szCs w:val="19"/>
      <w:lang w:eastAsia="en-US"/>
    </w:rPr>
  </w:style>
  <w:style w:type="paragraph" w:styleId="Schedule1Number" w:customStyle="1">
    <w:name w:val="Schedule 1 Number"/>
    <w:uiPriority w:val="30"/>
    <w:qFormat/>
    <w:rsid w:val="00202681"/>
    <w:pPr>
      <w:numPr>
        <w:ilvl w:val="2"/>
        <w:numId w:val="15"/>
      </w:numPr>
      <w:spacing w:before="240" w:line="288" w:lineRule="auto"/>
      <w:jc w:val="both"/>
    </w:pPr>
    <w:rPr>
      <w:rFonts w:hAnsi="Arial" w:eastAsiaTheme="minorHAnsi" w:cstheme="minorBidi"/>
      <w:sz w:val="19"/>
      <w:szCs w:val="19"/>
      <w:lang w:eastAsia="en-US"/>
    </w:rPr>
  </w:style>
  <w:style w:type="paragraph" w:styleId="Schedule1Heading" w:customStyle="1">
    <w:name w:val="Schedule 1 Heading"/>
    <w:basedOn w:val="Schedule1Number"/>
    <w:next w:val="Normal"/>
    <w:uiPriority w:val="29"/>
    <w:qFormat/>
    <w:rsid w:val="00202681"/>
    <w:pPr>
      <w:keepNext/>
      <w:jc w:val="left"/>
      <w:outlineLvl w:val="0"/>
    </w:pPr>
    <w:rPr>
      <w:b/>
      <w:caps/>
    </w:rPr>
  </w:style>
  <w:style w:type="paragraph" w:styleId="Schedule2Number" w:customStyle="1">
    <w:name w:val="Schedule 2 Number"/>
    <w:uiPriority w:val="30"/>
    <w:qFormat/>
    <w:rsid w:val="00202681"/>
    <w:pPr>
      <w:numPr>
        <w:ilvl w:val="3"/>
        <w:numId w:val="15"/>
      </w:numPr>
      <w:spacing w:before="240" w:line="288" w:lineRule="auto"/>
      <w:jc w:val="both"/>
    </w:pPr>
    <w:rPr>
      <w:rFonts w:hAnsi="Arial" w:eastAsiaTheme="minorHAnsi" w:cstheme="minorBidi"/>
      <w:sz w:val="19"/>
      <w:szCs w:val="19"/>
      <w:lang w:eastAsia="en-US"/>
    </w:rPr>
  </w:style>
  <w:style w:type="paragraph" w:styleId="Schedule2Heading" w:customStyle="1">
    <w:name w:val="Schedule 2 Heading"/>
    <w:basedOn w:val="Schedule2Number"/>
    <w:next w:val="Body2ALG"/>
    <w:uiPriority w:val="29"/>
    <w:qFormat/>
    <w:rsid w:val="00202681"/>
    <w:pPr>
      <w:keepNext/>
      <w:jc w:val="left"/>
      <w:outlineLvl w:val="1"/>
    </w:pPr>
    <w:rPr>
      <w:b/>
    </w:rPr>
  </w:style>
  <w:style w:type="paragraph" w:styleId="Schedule3Number" w:customStyle="1">
    <w:name w:val="Schedule 3 Number"/>
    <w:uiPriority w:val="30"/>
    <w:qFormat/>
    <w:rsid w:val="00202681"/>
    <w:pPr>
      <w:numPr>
        <w:ilvl w:val="4"/>
        <w:numId w:val="15"/>
      </w:numPr>
      <w:spacing w:before="240" w:line="288" w:lineRule="auto"/>
      <w:jc w:val="both"/>
    </w:pPr>
    <w:rPr>
      <w:rFonts w:hAnsi="Arial" w:eastAsiaTheme="minorHAnsi" w:cstheme="minorBidi"/>
      <w:sz w:val="19"/>
      <w:szCs w:val="19"/>
      <w:lang w:eastAsia="en-US"/>
    </w:rPr>
  </w:style>
  <w:style w:type="paragraph" w:styleId="Schedule3Heading" w:customStyle="1">
    <w:name w:val="Schedule 3 Heading"/>
    <w:basedOn w:val="Schedule3Number"/>
    <w:next w:val="Body3ALG"/>
    <w:uiPriority w:val="29"/>
    <w:qFormat/>
    <w:rsid w:val="00202681"/>
    <w:pPr>
      <w:keepNext/>
      <w:jc w:val="left"/>
      <w:outlineLvl w:val="2"/>
    </w:pPr>
    <w:rPr>
      <w:b/>
      <w:i/>
    </w:rPr>
  </w:style>
  <w:style w:type="paragraph" w:styleId="Schedule4Number" w:customStyle="1">
    <w:name w:val="Schedule 4 Number"/>
    <w:uiPriority w:val="30"/>
    <w:qFormat/>
    <w:rsid w:val="00202681"/>
    <w:pPr>
      <w:numPr>
        <w:ilvl w:val="5"/>
        <w:numId w:val="15"/>
      </w:numPr>
      <w:spacing w:before="240" w:line="288" w:lineRule="auto"/>
      <w:jc w:val="both"/>
    </w:pPr>
    <w:rPr>
      <w:rFonts w:hAnsi="Arial" w:eastAsiaTheme="minorHAnsi" w:cstheme="minorBidi"/>
      <w:sz w:val="19"/>
      <w:szCs w:val="19"/>
      <w:lang w:eastAsia="en-US"/>
    </w:rPr>
  </w:style>
  <w:style w:type="paragraph" w:styleId="Schedule4Heading" w:customStyle="1">
    <w:name w:val="Schedule 4 Heading"/>
    <w:basedOn w:val="Schedule4Number"/>
    <w:next w:val="Body4ALG"/>
    <w:uiPriority w:val="29"/>
    <w:qFormat/>
    <w:rsid w:val="00202681"/>
    <w:pPr>
      <w:keepNext/>
      <w:ind w:left="1815" w:hanging="454"/>
    </w:pPr>
    <w:rPr>
      <w:i/>
      <w:lang w:val="en-GB"/>
    </w:rPr>
  </w:style>
  <w:style w:type="paragraph" w:styleId="Schedule5Number" w:customStyle="1">
    <w:name w:val="Schedule 5 Number"/>
    <w:uiPriority w:val="30"/>
    <w:qFormat/>
    <w:rsid w:val="00202681"/>
    <w:pPr>
      <w:numPr>
        <w:ilvl w:val="6"/>
        <w:numId w:val="15"/>
      </w:numPr>
      <w:spacing w:before="240" w:line="288" w:lineRule="auto"/>
      <w:jc w:val="both"/>
    </w:pPr>
    <w:rPr>
      <w:rFonts w:hAnsi="Arial" w:eastAsiaTheme="minorHAnsi" w:cstheme="minorBidi"/>
      <w:sz w:val="19"/>
      <w:szCs w:val="19"/>
      <w:lang w:eastAsia="en-US"/>
    </w:rPr>
  </w:style>
  <w:style w:type="paragraph" w:styleId="ScheduleHeading" w:customStyle="1">
    <w:name w:val="Schedule Heading"/>
    <w:next w:val="BodyALG"/>
    <w:uiPriority w:val="28"/>
    <w:qFormat/>
    <w:rsid w:val="00202681"/>
    <w:pPr>
      <w:pageBreakBefore/>
      <w:widowControl w:val="0"/>
      <w:numPr>
        <w:numId w:val="15"/>
      </w:numPr>
      <w:spacing w:before="240" w:line="288" w:lineRule="auto"/>
      <w:jc w:val="center"/>
      <w:outlineLvl w:val="0"/>
    </w:pPr>
    <w:rPr>
      <w:rFonts w:hAnsi="Arial" w:eastAsiaTheme="minorHAnsi" w:cstheme="minorBidi"/>
      <w:b/>
      <w:caps/>
      <w:sz w:val="19"/>
      <w:szCs w:val="19"/>
      <w:lang w:eastAsia="en-US"/>
    </w:rPr>
  </w:style>
  <w:style w:type="paragraph" w:styleId="SchedulePart" w:customStyle="1">
    <w:name w:val="Schedule Part"/>
    <w:next w:val="BodyALG"/>
    <w:uiPriority w:val="28"/>
    <w:qFormat/>
    <w:rsid w:val="00202681"/>
    <w:pPr>
      <w:keepNext/>
      <w:widowControl w:val="0"/>
      <w:numPr>
        <w:ilvl w:val="1"/>
        <w:numId w:val="15"/>
      </w:numPr>
      <w:spacing w:before="240" w:line="288" w:lineRule="auto"/>
      <w:jc w:val="center"/>
      <w:outlineLvl w:val="1"/>
    </w:pPr>
    <w:rPr>
      <w:rFonts w:hAnsi="Arial" w:eastAsiaTheme="minorHAnsi" w:cstheme="minorBidi"/>
      <w:b/>
      <w:sz w:val="19"/>
      <w:szCs w:val="19"/>
      <w:lang w:eastAsia="en-US"/>
    </w:rPr>
  </w:style>
  <w:style w:type="paragraph" w:styleId="Singleline" w:customStyle="1">
    <w:name w:val="Singleline"/>
    <w:uiPriority w:val="99"/>
    <w:qFormat/>
    <w:rsid w:val="00202681"/>
    <w:pPr>
      <w:jc w:val="both"/>
    </w:pPr>
    <w:rPr>
      <w:rFonts w:hAnsi="Arial" w:eastAsiaTheme="minorHAnsi" w:cstheme="minorBidi"/>
      <w:sz w:val="19"/>
      <w:szCs w:val="19"/>
      <w:lang w:eastAsia="en-US"/>
    </w:rPr>
  </w:style>
  <w:style w:type="table" w:styleId="TableGrid">
    <w:name w:val="Table Grid"/>
    <w:basedOn w:val="TableNormal"/>
    <w:uiPriority w:val="59"/>
    <w:rsid w:val="00202681"/>
    <w:pPr>
      <w:jc w:val="both"/>
    </w:pPr>
    <w:rPr>
      <w:rFonts w:hAnsi="Arial" w:eastAsiaTheme="minorHAnsi" w:cstheme="minorBidi"/>
      <w:sz w:val="19"/>
      <w:szCs w:val="19"/>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next w:val="BodyALG"/>
    <w:autoRedefine/>
    <w:uiPriority w:val="39"/>
    <w:unhideWhenUsed/>
    <w:rsid w:val="00202681"/>
    <w:pPr>
      <w:tabs>
        <w:tab w:val="right" w:leader="dot" w:pos="9877"/>
      </w:tabs>
      <w:spacing w:before="120" w:line="288" w:lineRule="auto"/>
      <w:ind w:left="454" w:hanging="454"/>
      <w:jc w:val="both"/>
    </w:pPr>
    <w:rPr>
      <w:rFonts w:hAnsi="Arial" w:eastAsiaTheme="minorHAnsi" w:cstheme="minorBidi"/>
      <w:sz w:val="19"/>
      <w:szCs w:val="19"/>
      <w:lang w:eastAsia="en-US"/>
    </w:rPr>
  </w:style>
  <w:style w:type="paragraph" w:styleId="TOC3">
    <w:name w:val="toc 3"/>
    <w:basedOn w:val="TOC1"/>
    <w:next w:val="BodyALG"/>
    <w:autoRedefine/>
    <w:uiPriority w:val="39"/>
    <w:rsid w:val="00202681"/>
    <w:pPr>
      <w:widowControl/>
      <w:tabs>
        <w:tab w:val="clear" w:pos="720"/>
        <w:tab w:val="clear" w:pos="8640"/>
        <w:tab w:val="right" w:leader="dot" w:pos="9877"/>
      </w:tabs>
      <w:spacing w:before="120" w:line="288" w:lineRule="auto"/>
      <w:ind w:left="624"/>
      <w:jc w:val="center"/>
    </w:pPr>
    <w:rPr>
      <w:rFonts w:ascii="Arial" w:hAnsi="Arial" w:eastAsiaTheme="minorHAnsi" w:cstheme="minorBidi"/>
      <w:b w:val="0"/>
      <w:noProof/>
      <w:szCs w:val="19"/>
    </w:rPr>
  </w:style>
  <w:style w:type="paragraph" w:styleId="TOCHeading">
    <w:name w:val="TOC Heading"/>
    <w:next w:val="Normal"/>
    <w:uiPriority w:val="99"/>
    <w:semiHidden/>
    <w:rsid w:val="00202681"/>
    <w:pPr>
      <w:spacing w:before="240" w:line="276" w:lineRule="auto"/>
      <w:jc w:val="center"/>
    </w:pPr>
    <w:rPr>
      <w:rFonts w:hAnsi="Arial" w:eastAsiaTheme="majorEastAsia" w:cstheme="majorBidi"/>
      <w:b/>
      <w:bCs/>
      <w:sz w:val="19"/>
      <w:szCs w:val="28"/>
      <w:lang w:val="en-US" w:eastAsia="ja-JP"/>
    </w:rPr>
  </w:style>
  <w:style w:type="paragraph" w:styleId="TOCTitle" w:customStyle="1">
    <w:name w:val="TOC Title"/>
    <w:basedOn w:val="BodyALG"/>
    <w:next w:val="BodyALG"/>
    <w:uiPriority w:val="99"/>
    <w:unhideWhenUsed/>
    <w:qFormat/>
    <w:rsid w:val="00202681"/>
    <w:pPr>
      <w:jc w:val="center"/>
    </w:pPr>
    <w:rPr>
      <w:rFonts w:ascii="Arial Bold" w:hAnsi="Arial Bold"/>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8563">
      <w:bodyDiv w:val="1"/>
      <w:marLeft w:val="0"/>
      <w:marRight w:val="0"/>
      <w:marTop w:val="0"/>
      <w:marBottom w:val="0"/>
      <w:divBdr>
        <w:top w:val="none" w:sz="0" w:space="0" w:color="auto"/>
        <w:left w:val="none" w:sz="0" w:space="0" w:color="auto"/>
        <w:bottom w:val="none" w:sz="0" w:space="0" w:color="auto"/>
        <w:right w:val="none" w:sz="0" w:space="0" w:color="auto"/>
      </w:divBdr>
    </w:div>
    <w:div w:id="855385549">
      <w:bodyDiv w:val="1"/>
      <w:marLeft w:val="0"/>
      <w:marRight w:val="0"/>
      <w:marTop w:val="0"/>
      <w:marBottom w:val="0"/>
      <w:divBdr>
        <w:top w:val="none" w:sz="0" w:space="0" w:color="auto"/>
        <w:left w:val="none" w:sz="0" w:space="0" w:color="auto"/>
        <w:bottom w:val="none" w:sz="0" w:space="0" w:color="auto"/>
        <w:right w:val="none" w:sz="0" w:space="0" w:color="auto"/>
      </w:divBdr>
    </w:div>
    <w:div w:id="10812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3.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file>