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2072F" w14:textId="77777777" w:rsidR="006352D8" w:rsidRDefault="006352D8" w:rsidP="004D4433">
      <w:pPr>
        <w:pStyle w:val="BodyText"/>
        <w:tabs>
          <w:tab w:val="left" w:pos="1695"/>
          <w:tab w:val="center" w:pos="4513"/>
        </w:tabs>
        <w:spacing w:before="0" w:after="0"/>
        <w:rPr>
          <w:bCs/>
        </w:rPr>
      </w:pPr>
    </w:p>
    <w:p w14:paraId="08A3BDD1" w14:textId="77777777" w:rsidR="006352D8" w:rsidRDefault="006352D8" w:rsidP="004D4433">
      <w:pPr>
        <w:pStyle w:val="BodyText"/>
        <w:tabs>
          <w:tab w:val="left" w:pos="1695"/>
          <w:tab w:val="center" w:pos="4513"/>
        </w:tabs>
        <w:spacing w:before="0" w:after="0"/>
        <w:rPr>
          <w:bCs/>
        </w:rPr>
      </w:pPr>
    </w:p>
    <w:p w14:paraId="5BD5161F" w14:textId="77777777" w:rsidR="00BD2D3E" w:rsidRDefault="00BD2D3E" w:rsidP="004D4433">
      <w:pPr>
        <w:pStyle w:val="BodyText"/>
        <w:tabs>
          <w:tab w:val="left" w:pos="1695"/>
          <w:tab w:val="center" w:pos="4513"/>
        </w:tabs>
        <w:spacing w:before="0" w:after="0"/>
        <w:rPr>
          <w:bCs/>
        </w:rPr>
      </w:pPr>
    </w:p>
    <w:p w14:paraId="4D484CBE" w14:textId="77777777" w:rsidR="00BD2D3E" w:rsidRDefault="00BD2D3E" w:rsidP="004D4433">
      <w:pPr>
        <w:pStyle w:val="BodyText"/>
        <w:tabs>
          <w:tab w:val="left" w:pos="1695"/>
          <w:tab w:val="center" w:pos="4513"/>
        </w:tabs>
        <w:spacing w:before="0" w:after="0"/>
        <w:rPr>
          <w:bCs/>
        </w:rPr>
      </w:pPr>
    </w:p>
    <w:p w14:paraId="71A2FAD9" w14:textId="77777777" w:rsidR="00BD2D3E" w:rsidRDefault="00BD2D3E" w:rsidP="004D4433">
      <w:pPr>
        <w:pStyle w:val="BodyText"/>
        <w:tabs>
          <w:tab w:val="left" w:pos="1695"/>
          <w:tab w:val="center" w:pos="4513"/>
        </w:tabs>
        <w:spacing w:before="0" w:after="0"/>
        <w:rPr>
          <w:bCs/>
        </w:rPr>
      </w:pPr>
    </w:p>
    <w:p w14:paraId="218A764A" w14:textId="77777777" w:rsidR="00FA3527" w:rsidRDefault="00FA3527" w:rsidP="004D4433">
      <w:pPr>
        <w:pStyle w:val="BodyText"/>
        <w:tabs>
          <w:tab w:val="left" w:pos="1695"/>
          <w:tab w:val="center" w:pos="4513"/>
        </w:tabs>
        <w:spacing w:before="0" w:after="0"/>
        <w:rPr>
          <w:bCs/>
        </w:rPr>
      </w:pPr>
    </w:p>
    <w:p w14:paraId="05975A87" w14:textId="77777777" w:rsidR="00FA3527" w:rsidRDefault="00FA3527" w:rsidP="004D4433">
      <w:pPr>
        <w:pStyle w:val="BodyText"/>
        <w:tabs>
          <w:tab w:val="left" w:pos="1695"/>
          <w:tab w:val="center" w:pos="4513"/>
        </w:tabs>
        <w:spacing w:before="0" w:after="0"/>
        <w:rPr>
          <w:bCs/>
        </w:rPr>
      </w:pPr>
    </w:p>
    <w:p w14:paraId="49DA4C23" w14:textId="77777777" w:rsidR="003476AC" w:rsidRDefault="003476AC" w:rsidP="004D4433">
      <w:pPr>
        <w:pStyle w:val="BodyText"/>
        <w:tabs>
          <w:tab w:val="left" w:pos="1695"/>
          <w:tab w:val="center" w:pos="4513"/>
        </w:tabs>
        <w:spacing w:before="0" w:after="0"/>
        <w:rPr>
          <w:bCs/>
        </w:rPr>
      </w:pPr>
    </w:p>
    <w:p w14:paraId="403998B6" w14:textId="77777777" w:rsidR="003476AC" w:rsidRDefault="003476AC" w:rsidP="004D4433">
      <w:pPr>
        <w:pStyle w:val="BodyText"/>
        <w:tabs>
          <w:tab w:val="left" w:pos="1695"/>
          <w:tab w:val="center" w:pos="4513"/>
        </w:tabs>
        <w:spacing w:before="0" w:after="0"/>
        <w:rPr>
          <w:bCs/>
        </w:rPr>
      </w:pPr>
    </w:p>
    <w:p w14:paraId="061DF834" w14:textId="77777777" w:rsidR="003B7575" w:rsidRDefault="003B7575" w:rsidP="004D4433">
      <w:pPr>
        <w:pStyle w:val="BodyText"/>
        <w:tabs>
          <w:tab w:val="left" w:pos="1695"/>
          <w:tab w:val="center" w:pos="4513"/>
        </w:tabs>
        <w:spacing w:before="0" w:after="0"/>
        <w:rPr>
          <w:bCs/>
        </w:rPr>
      </w:pPr>
    </w:p>
    <w:p w14:paraId="0B840863" w14:textId="77777777" w:rsidR="003B7575" w:rsidRDefault="003B7575" w:rsidP="004D4433">
      <w:pPr>
        <w:pStyle w:val="BodyText"/>
        <w:tabs>
          <w:tab w:val="left" w:pos="1695"/>
          <w:tab w:val="center" w:pos="4513"/>
        </w:tabs>
        <w:spacing w:before="0" w:after="0"/>
        <w:rPr>
          <w:bCs/>
        </w:rPr>
      </w:pPr>
    </w:p>
    <w:p w14:paraId="009CC7CC" w14:textId="77777777" w:rsidR="00995BA7" w:rsidRDefault="00995BA7" w:rsidP="004D4433">
      <w:pPr>
        <w:pStyle w:val="BodyText"/>
        <w:tabs>
          <w:tab w:val="left" w:pos="1695"/>
          <w:tab w:val="center" w:pos="4513"/>
        </w:tabs>
        <w:spacing w:before="0" w:after="0"/>
        <w:rPr>
          <w:bCs/>
        </w:rPr>
      </w:pPr>
    </w:p>
    <w:p w14:paraId="7AFD38AB" w14:textId="77777777" w:rsidR="00995BA7" w:rsidRDefault="00995BA7" w:rsidP="004D4433">
      <w:pPr>
        <w:pStyle w:val="BodyText"/>
        <w:tabs>
          <w:tab w:val="left" w:pos="1695"/>
          <w:tab w:val="center" w:pos="4513"/>
        </w:tabs>
        <w:spacing w:before="0" w:after="0"/>
        <w:rPr>
          <w:bCs/>
        </w:rPr>
      </w:pPr>
    </w:p>
    <w:p w14:paraId="3F0D12A7" w14:textId="77777777" w:rsidR="00C86F2A" w:rsidRDefault="00C86F2A" w:rsidP="004D4433">
      <w:pPr>
        <w:pStyle w:val="BodyText"/>
        <w:tabs>
          <w:tab w:val="left" w:pos="1695"/>
          <w:tab w:val="center" w:pos="4513"/>
        </w:tabs>
        <w:spacing w:before="0" w:after="0"/>
        <w:rPr>
          <w:bCs/>
        </w:rPr>
      </w:pPr>
    </w:p>
    <w:p w14:paraId="5C7F32D1" w14:textId="77777777" w:rsidR="00A71224" w:rsidRPr="00A71224" w:rsidRDefault="00A71224" w:rsidP="00FD4382">
      <w:pPr>
        <w:pStyle w:val="BodyText"/>
        <w:tabs>
          <w:tab w:val="left" w:pos="1695"/>
          <w:tab w:val="center" w:pos="4513"/>
        </w:tabs>
        <w:rPr>
          <w:b/>
        </w:rPr>
      </w:pPr>
    </w:p>
    <w:p w14:paraId="7759BFA6" w14:textId="77777777" w:rsidR="0077068C" w:rsidRPr="00DD6CB3" w:rsidRDefault="0077068C" w:rsidP="00262F89">
      <w:pPr>
        <w:pStyle w:val="BodyText"/>
        <w:tabs>
          <w:tab w:val="left" w:pos="1695"/>
          <w:tab w:val="center" w:pos="4513"/>
        </w:tabs>
        <w:jc w:val="center"/>
        <w:rPr>
          <w:b/>
        </w:rPr>
      </w:pPr>
      <w:r>
        <w:rPr>
          <w:b/>
        </w:rPr>
        <w:t>Davy Funds p.l.c</w:t>
      </w:r>
      <w:r w:rsidRPr="00DD6CB3">
        <w:rPr>
          <w:b/>
        </w:rPr>
        <w:t>.</w:t>
      </w:r>
    </w:p>
    <w:p w14:paraId="491A2ED4" w14:textId="77777777" w:rsidR="0077068C" w:rsidRDefault="0077068C" w:rsidP="0077068C">
      <w:pPr>
        <w:pStyle w:val="BodyText"/>
        <w:spacing w:before="0" w:after="0"/>
        <w:jc w:val="center"/>
      </w:pPr>
      <w:r>
        <w:t>An open-ended umbrella investment company</w:t>
      </w:r>
    </w:p>
    <w:p w14:paraId="0C8347AC" w14:textId="77777777" w:rsidR="0077068C" w:rsidRDefault="0077068C" w:rsidP="0077068C">
      <w:pPr>
        <w:pStyle w:val="BodyText"/>
        <w:spacing w:before="0" w:after="0"/>
        <w:jc w:val="center"/>
      </w:pPr>
      <w:r>
        <w:t>with variable capital and segregated liability between sub-funds</w:t>
      </w:r>
    </w:p>
    <w:p w14:paraId="23613DFE" w14:textId="77777777" w:rsidR="0077068C" w:rsidRDefault="0077068C" w:rsidP="0077068C">
      <w:pPr>
        <w:pStyle w:val="BodyText"/>
        <w:spacing w:before="0" w:after="0"/>
        <w:jc w:val="center"/>
      </w:pPr>
      <w:r>
        <w:t>incorporated with limited liability in Ireland</w:t>
      </w:r>
    </w:p>
    <w:p w14:paraId="64940F10" w14:textId="77777777" w:rsidR="0077068C" w:rsidRDefault="0077068C" w:rsidP="0077068C">
      <w:pPr>
        <w:pStyle w:val="BodyText"/>
        <w:spacing w:before="0" w:after="0"/>
        <w:jc w:val="center"/>
      </w:pPr>
      <w:r>
        <w:t>under the Companies Act 2014</w:t>
      </w:r>
    </w:p>
    <w:p w14:paraId="1F12D831" w14:textId="77777777" w:rsidR="0077068C" w:rsidRDefault="0077068C" w:rsidP="0077068C">
      <w:pPr>
        <w:pStyle w:val="BodyText"/>
        <w:spacing w:before="0" w:after="0"/>
        <w:jc w:val="center"/>
      </w:pPr>
      <w:r>
        <w:t>with registration number 533779</w:t>
      </w:r>
    </w:p>
    <w:p w14:paraId="30FCA18C" w14:textId="77777777" w:rsidR="0077068C" w:rsidRDefault="0077068C" w:rsidP="0077068C">
      <w:pPr>
        <w:pStyle w:val="BodyText"/>
      </w:pPr>
    </w:p>
    <w:p w14:paraId="66CE5837" w14:textId="77777777" w:rsidR="0077068C" w:rsidRDefault="0077068C" w:rsidP="0077068C">
      <w:pPr>
        <w:pStyle w:val="BodyText"/>
      </w:pPr>
    </w:p>
    <w:p w14:paraId="151B2673" w14:textId="77777777" w:rsidR="0077068C" w:rsidRDefault="0077068C" w:rsidP="0077068C">
      <w:pPr>
        <w:pStyle w:val="BodyText"/>
      </w:pPr>
    </w:p>
    <w:p w14:paraId="4D9ED5E7" w14:textId="77777777" w:rsidR="0077068C" w:rsidRDefault="0077068C" w:rsidP="0077068C">
      <w:pPr>
        <w:pStyle w:val="BodyText"/>
      </w:pPr>
    </w:p>
    <w:p w14:paraId="6180EDBC" w14:textId="77777777" w:rsidR="0077068C" w:rsidRDefault="0077068C" w:rsidP="0077068C">
      <w:pPr>
        <w:pStyle w:val="BodyText"/>
      </w:pPr>
    </w:p>
    <w:p w14:paraId="2A2D37F0" w14:textId="77777777" w:rsidR="0077068C" w:rsidRPr="005D5957" w:rsidRDefault="0077068C" w:rsidP="0077068C">
      <w:pPr>
        <w:pStyle w:val="BodyText"/>
        <w:jc w:val="center"/>
        <w:rPr>
          <w:b/>
        </w:rPr>
      </w:pPr>
      <w:r w:rsidRPr="005D5957">
        <w:rPr>
          <w:b/>
        </w:rPr>
        <w:t>SUPPLEMENT</w:t>
      </w:r>
    </w:p>
    <w:p w14:paraId="23C7C895" w14:textId="30DCBC35" w:rsidR="0077068C" w:rsidRPr="005D5957" w:rsidRDefault="00AE1EE8" w:rsidP="0077068C">
      <w:pPr>
        <w:pStyle w:val="BodyText"/>
        <w:jc w:val="center"/>
        <w:rPr>
          <w:b/>
        </w:rPr>
      </w:pPr>
      <w:r>
        <w:rPr>
          <w:b/>
        </w:rPr>
        <w:t xml:space="preserve">IQ EQ </w:t>
      </w:r>
      <w:r w:rsidR="0077068C">
        <w:rPr>
          <w:b/>
        </w:rPr>
        <w:t>Global</w:t>
      </w:r>
      <w:r w:rsidR="000319D8">
        <w:rPr>
          <w:b/>
        </w:rPr>
        <w:t xml:space="preserve"> Focus</w:t>
      </w:r>
      <w:r w:rsidR="0077068C">
        <w:rPr>
          <w:b/>
        </w:rPr>
        <w:t xml:space="preserve"> Fund</w:t>
      </w:r>
    </w:p>
    <w:p w14:paraId="4266C02A" w14:textId="77777777" w:rsidR="0077068C" w:rsidRDefault="0077068C" w:rsidP="0077068C">
      <w:pPr>
        <w:pStyle w:val="BodyText"/>
      </w:pPr>
    </w:p>
    <w:p w14:paraId="7AE6E265" w14:textId="77777777" w:rsidR="0077068C" w:rsidRDefault="0077068C" w:rsidP="0077068C">
      <w:pPr>
        <w:pStyle w:val="BodyText"/>
      </w:pPr>
    </w:p>
    <w:p w14:paraId="0688466A" w14:textId="77777777" w:rsidR="0077068C" w:rsidRDefault="0077068C" w:rsidP="0077068C">
      <w:pPr>
        <w:pStyle w:val="BodyText"/>
      </w:pPr>
    </w:p>
    <w:p w14:paraId="3501FE97" w14:textId="77777777" w:rsidR="0077068C" w:rsidRDefault="0077068C" w:rsidP="0077068C">
      <w:pPr>
        <w:pStyle w:val="BodyText"/>
      </w:pPr>
    </w:p>
    <w:p w14:paraId="2890B588" w14:textId="77777777" w:rsidR="0077068C" w:rsidRDefault="0077068C" w:rsidP="0077068C">
      <w:pPr>
        <w:pStyle w:val="BodyText"/>
      </w:pPr>
    </w:p>
    <w:p w14:paraId="25BD58C8" w14:textId="3CB0B989" w:rsidR="000F50E5" w:rsidRPr="00B8081F" w:rsidRDefault="000F50E5" w:rsidP="000F50E5">
      <w:pPr>
        <w:spacing w:before="120"/>
        <w:jc w:val="center"/>
        <w:rPr>
          <w:lang w:val="en-GB" w:eastAsia="en-GB"/>
        </w:rPr>
      </w:pPr>
      <w:r w:rsidRPr="00B8081F">
        <w:rPr>
          <w:lang w:val="en-GB" w:eastAsia="en-GB"/>
        </w:rPr>
        <w:t xml:space="preserve">Dated </w:t>
      </w:r>
      <w:r w:rsidR="00F12B41">
        <w:rPr>
          <w:lang w:val="en-GB" w:eastAsia="en-GB"/>
        </w:rPr>
        <w:t>28 June</w:t>
      </w:r>
      <w:r w:rsidR="00AE1EE8">
        <w:rPr>
          <w:lang w:val="en-GB" w:eastAsia="en-GB"/>
        </w:rPr>
        <w:t xml:space="preserve"> 202</w:t>
      </w:r>
      <w:r w:rsidR="00A32EF4">
        <w:rPr>
          <w:lang w:val="en-GB" w:eastAsia="en-GB"/>
        </w:rPr>
        <w:t>4</w:t>
      </w:r>
    </w:p>
    <w:p w14:paraId="1D91A0ED" w14:textId="77777777" w:rsidR="0077068C" w:rsidRDefault="0077068C" w:rsidP="0077068C">
      <w:pPr>
        <w:pStyle w:val="BodyText"/>
      </w:pPr>
      <w:r>
        <w:br w:type="page"/>
      </w:r>
      <w:r>
        <w:lastRenderedPageBreak/>
        <w:t>_____________________________________________________________________________</w:t>
      </w:r>
    </w:p>
    <w:p w14:paraId="76D760DD" w14:textId="77777777" w:rsidR="0077068C" w:rsidRDefault="0077068C" w:rsidP="0077068C">
      <w:pPr>
        <w:pStyle w:val="Agreement1"/>
        <w:jc w:val="center"/>
      </w:pPr>
      <w:r>
        <w:t>IMPORTANT INFORMATION</w:t>
      </w:r>
    </w:p>
    <w:p w14:paraId="3FABE40A" w14:textId="77777777" w:rsidR="0077068C" w:rsidRDefault="0077068C" w:rsidP="0077068C">
      <w:pPr>
        <w:pStyle w:val="BodyText"/>
      </w:pPr>
      <w:r>
        <w:t>_____________________________________________________________________________</w:t>
      </w:r>
    </w:p>
    <w:p w14:paraId="405820E2" w14:textId="77777777" w:rsidR="0077068C" w:rsidRDefault="0077068C" w:rsidP="0077068C">
      <w:pPr>
        <w:pStyle w:val="BodyText"/>
        <w:rPr>
          <w:b/>
        </w:rPr>
      </w:pPr>
      <w:r w:rsidRPr="00D55579">
        <w:rPr>
          <w:b/>
        </w:rPr>
        <w:t xml:space="preserve">The Directors </w:t>
      </w:r>
      <w:r>
        <w:rPr>
          <w:b/>
        </w:rPr>
        <w:t>(whose names appear under the heading "Management of the Company - Directors" in the Prospectus)</w:t>
      </w:r>
      <w:r w:rsidRPr="00D55579">
        <w:rPr>
          <w:b/>
        </w:rPr>
        <w:t>, accept responsibility for the information contained in this Supplement and the Prospectus. To the best of the knowledge and belief of the Directors (who have taken all reasonable care to ensure that such is the case) the information contained in this Supplement and in the Prospectus is in accordance with the facts and does not omit anything likely to affect the import of such information. The Directors accept responsibility accordingly.</w:t>
      </w:r>
    </w:p>
    <w:p w14:paraId="0FF2625C" w14:textId="13B88FD8" w:rsidR="0077068C" w:rsidRDefault="0077068C" w:rsidP="0077068C">
      <w:pPr>
        <w:pStyle w:val="BodyText"/>
      </w:pPr>
      <w:r>
        <w:t xml:space="preserve">This Supplement contains information relating specifically to </w:t>
      </w:r>
      <w:r w:rsidR="00AE1EE8">
        <w:t xml:space="preserve">IQ EQ Global </w:t>
      </w:r>
      <w:r w:rsidR="000319D8">
        <w:t>Focus</w:t>
      </w:r>
      <w:r>
        <w:t xml:space="preserve"> Fund (the "</w:t>
      </w:r>
      <w:r w:rsidRPr="005259CF">
        <w:rPr>
          <w:b/>
        </w:rPr>
        <w:t>Fund</w:t>
      </w:r>
      <w:r>
        <w:t>"), a Fund of Davy Funds p.l.c. (the "</w:t>
      </w:r>
      <w:r w:rsidRPr="005259CF">
        <w:rPr>
          <w:b/>
        </w:rPr>
        <w:t>Company</w:t>
      </w:r>
      <w:r>
        <w:t xml:space="preserve">"), an open-ended umbrella fund with segregated liability between sub-funds authorised by the Central Bank as a UCITS pursuant to the Regulations.  </w:t>
      </w:r>
    </w:p>
    <w:p w14:paraId="60B4183F" w14:textId="259C3A7B" w:rsidR="0077068C" w:rsidRPr="00D55579" w:rsidRDefault="0077068C" w:rsidP="00C62DCE">
      <w:pPr>
        <w:rPr>
          <w:b/>
          <w:lang w:eastAsia="en-GB"/>
        </w:rPr>
      </w:pPr>
      <w:r w:rsidRPr="00D55579">
        <w:rPr>
          <w:b/>
        </w:rPr>
        <w:t>This Supplement forms part of and should be read in the context of and in conjunction with the Pros</w:t>
      </w:r>
      <w:r w:rsidR="009D26FB">
        <w:rPr>
          <w:b/>
        </w:rPr>
        <w:t>pectus for the Company dated</w:t>
      </w:r>
      <w:r w:rsidR="00F12B41">
        <w:rPr>
          <w:b/>
          <w:lang w:val="en-GB" w:eastAsia="en-GB"/>
        </w:rPr>
        <w:t xml:space="preserve"> 28 June 2024</w:t>
      </w:r>
      <w:r w:rsidR="00C62DCE">
        <w:rPr>
          <w:b/>
          <w:lang w:val="en-GB" w:eastAsia="en-GB"/>
        </w:rPr>
        <w:t xml:space="preserve"> </w:t>
      </w:r>
      <w:r w:rsidRPr="00D55579">
        <w:rPr>
          <w:b/>
        </w:rPr>
        <w:t>(the "Prospectus").</w:t>
      </w:r>
    </w:p>
    <w:p w14:paraId="781304E5" w14:textId="77777777" w:rsidR="0077068C" w:rsidRDefault="0077068C" w:rsidP="0077068C">
      <w:pPr>
        <w:pStyle w:val="BodyText"/>
        <w:rPr>
          <w:b/>
        </w:rPr>
      </w:pPr>
      <w:r w:rsidRPr="00D55579">
        <w:rPr>
          <w:b/>
        </w:rPr>
        <w:t>The Fund is suitable for investors who are prepared to acc</w:t>
      </w:r>
      <w:r>
        <w:rPr>
          <w:b/>
        </w:rPr>
        <w:t>ept a high level of volatility.</w:t>
      </w:r>
    </w:p>
    <w:p w14:paraId="0CAFC77F" w14:textId="77777777" w:rsidR="0077068C" w:rsidRPr="00D55579" w:rsidRDefault="0077068C" w:rsidP="0077068C">
      <w:pPr>
        <w:pStyle w:val="BodyText"/>
        <w:rPr>
          <w:b/>
        </w:rPr>
      </w:pPr>
      <w:r w:rsidRPr="00D55579">
        <w:rPr>
          <w:b/>
        </w:rPr>
        <w:t xml:space="preserve">The Fund may invest in </w:t>
      </w:r>
      <w:r>
        <w:rPr>
          <w:b/>
        </w:rPr>
        <w:t>Financial Derivative Instruments ("</w:t>
      </w:r>
      <w:r w:rsidRPr="00D55579">
        <w:rPr>
          <w:b/>
        </w:rPr>
        <w:t>FDI</w:t>
      </w:r>
      <w:r>
        <w:rPr>
          <w:b/>
        </w:rPr>
        <w:t>s")</w:t>
      </w:r>
      <w:r w:rsidRPr="00D55579">
        <w:rPr>
          <w:b/>
        </w:rPr>
        <w:t xml:space="preserve"> for</w:t>
      </w:r>
      <w:r>
        <w:rPr>
          <w:b/>
        </w:rPr>
        <w:t xml:space="preserve"> investment, </w:t>
      </w:r>
      <w:r w:rsidR="00B80139">
        <w:rPr>
          <w:b/>
        </w:rPr>
        <w:t xml:space="preserve">currency </w:t>
      </w:r>
      <w:r>
        <w:rPr>
          <w:b/>
        </w:rPr>
        <w:t>hedging and</w:t>
      </w:r>
      <w:r w:rsidRPr="00D55579">
        <w:rPr>
          <w:b/>
        </w:rPr>
        <w:t xml:space="preserve"> efficient portfolio management purposes. (See "Borrowing and Leverage" below for details of the levera</w:t>
      </w:r>
      <w:r>
        <w:rPr>
          <w:b/>
        </w:rPr>
        <w:t>ge effect of investing in FDIs).</w:t>
      </w:r>
    </w:p>
    <w:p w14:paraId="4E8501D1" w14:textId="77777777" w:rsidR="0077068C" w:rsidRDefault="0077068C" w:rsidP="0077068C">
      <w:pPr>
        <w:pStyle w:val="BodyText"/>
      </w:pPr>
      <w:r>
        <w:br w:type="page"/>
      </w:r>
      <w:r>
        <w:lastRenderedPageBreak/>
        <w:t>____________________________________________________________________________</w:t>
      </w:r>
    </w:p>
    <w:p w14:paraId="5FA38EFB" w14:textId="77777777" w:rsidR="0077068C" w:rsidRDefault="0077068C" w:rsidP="0077068C">
      <w:pPr>
        <w:pStyle w:val="Agreement1"/>
        <w:jc w:val="center"/>
      </w:pPr>
      <w:r>
        <w:t>DEFINITIONS</w:t>
      </w:r>
    </w:p>
    <w:p w14:paraId="20B12E25" w14:textId="77777777" w:rsidR="0077068C" w:rsidRDefault="0077068C" w:rsidP="0077068C">
      <w:pPr>
        <w:pStyle w:val="BodyText"/>
      </w:pPr>
      <w:r>
        <w:t>_____________________________________________________________________________</w:t>
      </w:r>
    </w:p>
    <w:p w14:paraId="4843F7B0" w14:textId="77777777" w:rsidR="0077068C" w:rsidRDefault="0077068C" w:rsidP="00A4485E">
      <w:pPr>
        <w:pStyle w:val="BodyText"/>
        <w:rPr>
          <w:b/>
        </w:rPr>
      </w:pPr>
      <w:r>
        <w:rPr>
          <w:b/>
        </w:rPr>
        <w:t xml:space="preserve">Base Currency </w:t>
      </w:r>
      <w:r w:rsidRPr="00287B7D">
        <w:t>means Euro</w:t>
      </w:r>
      <w:r>
        <w:t>;</w:t>
      </w:r>
    </w:p>
    <w:p w14:paraId="72820841" w14:textId="77777777" w:rsidR="0077068C" w:rsidRDefault="0077068C" w:rsidP="00A4485E">
      <w:pPr>
        <w:pStyle w:val="BodyText"/>
      </w:pPr>
      <w:r w:rsidRPr="00D55579">
        <w:rPr>
          <w:b/>
        </w:rPr>
        <w:t>Business Day</w:t>
      </w:r>
      <w:r>
        <w:t xml:space="preserve"> means any day (other than a Saturday</w:t>
      </w:r>
      <w:r w:rsidR="0081283A">
        <w:t>,</w:t>
      </w:r>
      <w:r>
        <w:t xml:space="preserve"> Sunday</w:t>
      </w:r>
      <w:r w:rsidR="0081283A">
        <w:t xml:space="preserve"> or public holiday</w:t>
      </w:r>
      <w:r>
        <w:t>) on which commercial banks are open for business in Dublin and/or such other day or days as may be determined by the Directors from time to time and as notified to Shareholders in advance;</w:t>
      </w:r>
    </w:p>
    <w:p w14:paraId="0183A658" w14:textId="77777777" w:rsidR="0077068C" w:rsidRDefault="0077068C" w:rsidP="00A4485E">
      <w:pPr>
        <w:spacing w:before="120"/>
      </w:pPr>
      <w:r w:rsidRPr="00D55579">
        <w:rPr>
          <w:b/>
        </w:rPr>
        <w:t>Dealing Day</w:t>
      </w:r>
      <w:r>
        <w:t xml:space="preserve"> means each Business Day and/or such other day or days as the Directors may in their absolute discretion determine and notify in advance to Shareholders provided that there shall be at least two Dealing Days in each Month (with at least one Dealing Day per two week period);</w:t>
      </w:r>
    </w:p>
    <w:p w14:paraId="329133D8" w14:textId="77777777" w:rsidR="0077068C" w:rsidRDefault="0077068C" w:rsidP="00A4485E">
      <w:pPr>
        <w:pStyle w:val="BodyText"/>
      </w:pPr>
      <w:r w:rsidRPr="00D55579">
        <w:rPr>
          <w:b/>
        </w:rPr>
        <w:t>Dealing Deadline</w:t>
      </w:r>
      <w:r>
        <w:t xml:space="preserve"> in respect of subscriptions and repurchases means before 16.00 p.m. (Irish time) on the Business Day immediately preceding the relevant Dealing Day, or such other time for the relevant Dealing Day as may be determined by Directors and notified in advance to Shareholders provided always that the Dealing Deadline is no later than the Valuation Point;</w:t>
      </w:r>
    </w:p>
    <w:p w14:paraId="5A25C28C" w14:textId="77777777" w:rsidR="00B0753E" w:rsidRDefault="00B0753E" w:rsidP="00A4485E">
      <w:pPr>
        <w:spacing w:before="120"/>
        <w:rPr>
          <w:color w:val="000000"/>
        </w:rPr>
      </w:pPr>
      <w:r>
        <w:rPr>
          <w:b/>
          <w:bCs/>
          <w:color w:val="000000"/>
        </w:rPr>
        <w:t xml:space="preserve">EURIBOR </w:t>
      </w:r>
      <w:r>
        <w:rPr>
          <w:color w:val="000000"/>
        </w:rPr>
        <w:t xml:space="preserve">means the Euro </w:t>
      </w:r>
      <w:proofErr w:type="spellStart"/>
      <w:r>
        <w:rPr>
          <w:color w:val="000000"/>
        </w:rPr>
        <w:t>InterBank</w:t>
      </w:r>
      <w:proofErr w:type="spellEnd"/>
      <w:r>
        <w:rPr>
          <w:color w:val="000000"/>
        </w:rPr>
        <w:t xml:space="preserve"> Offered Rate;</w:t>
      </w:r>
    </w:p>
    <w:p w14:paraId="2230D163" w14:textId="2FF4B739" w:rsidR="0077068C" w:rsidRDefault="00C8484D" w:rsidP="00A4485E">
      <w:pPr>
        <w:spacing w:before="120"/>
        <w:rPr>
          <w:color w:val="000000"/>
        </w:rPr>
      </w:pPr>
      <w:r>
        <w:rPr>
          <w:b/>
          <w:bCs/>
          <w:color w:val="000000"/>
        </w:rPr>
        <w:t>ESTER</w:t>
      </w:r>
      <w:r w:rsidR="0077068C">
        <w:rPr>
          <w:b/>
          <w:bCs/>
          <w:color w:val="000000"/>
        </w:rPr>
        <w:t xml:space="preserve"> </w:t>
      </w:r>
      <w:r w:rsidR="0077068C">
        <w:rPr>
          <w:color w:val="000000"/>
        </w:rPr>
        <w:t xml:space="preserve">means Euro </w:t>
      </w:r>
      <w:r>
        <w:rPr>
          <w:color w:val="000000"/>
        </w:rPr>
        <w:t>Short-Term</w:t>
      </w:r>
      <w:r w:rsidR="0077068C">
        <w:rPr>
          <w:color w:val="000000"/>
        </w:rPr>
        <w:t xml:space="preserve"> Rate;</w:t>
      </w:r>
    </w:p>
    <w:p w14:paraId="735031E1" w14:textId="732376D5" w:rsidR="00A244B0" w:rsidRDefault="00A244B0" w:rsidP="00A244B0">
      <w:pPr>
        <w:spacing w:before="120"/>
        <w:rPr>
          <w:color w:val="000000"/>
          <w:lang w:eastAsia="en-IE"/>
        </w:rPr>
      </w:pPr>
      <w:r>
        <w:rPr>
          <w:b/>
          <w:bCs/>
          <w:color w:val="000000"/>
        </w:rPr>
        <w:t xml:space="preserve">Hurdle Rate </w:t>
      </w:r>
      <w:r>
        <w:rPr>
          <w:color w:val="000000"/>
        </w:rPr>
        <w:t>is equal to: (i) prior to 1 January 2022, the three month EURIBOR rate (BB Ticker EUR003M) over the Performance Period on a twelve months basis. The Hurdle Rate is re-set as at the last Business Day of each month and does not compound from one Performance Period to the next; and (ii) from 1 January 2022, 3% of the High Water Mark (as defined in section 3.11 of this Supplement) over the Performance Period</w:t>
      </w:r>
      <w:r>
        <w:rPr>
          <w:color w:val="000000" w:themeColor="text1"/>
          <w:sz w:val="20"/>
          <w:szCs w:val="20"/>
        </w:rPr>
        <w:t xml:space="preserve">. </w:t>
      </w:r>
      <w:r>
        <w:rPr>
          <w:rFonts w:cs="Arial"/>
          <w:color w:val="000000" w:themeColor="text1"/>
        </w:rPr>
        <w:t>The Hurdle Rate does not compound from one Performance Period to the next</w:t>
      </w:r>
      <w:r w:rsidR="007A3B4B">
        <w:rPr>
          <w:rFonts w:cs="Arial"/>
          <w:color w:val="000000" w:themeColor="text1"/>
        </w:rPr>
        <w:t>;</w:t>
      </w:r>
    </w:p>
    <w:p w14:paraId="45DD8577" w14:textId="66967282" w:rsidR="0077068C" w:rsidRDefault="0077068C" w:rsidP="00B666C6">
      <w:pPr>
        <w:spacing w:before="120"/>
      </w:pPr>
      <w:r w:rsidRPr="00040433">
        <w:rPr>
          <w:b/>
        </w:rPr>
        <w:t>Investment Grade</w:t>
      </w:r>
      <w:r>
        <w:t xml:space="preserve"> means any investment with a rating of at least Baa3 from Moody's BBB – from Standard &amp; Poor's or BBB – from Fitch or higher;</w:t>
      </w:r>
    </w:p>
    <w:p w14:paraId="13DBEB9D" w14:textId="6D1E68C5" w:rsidR="00AE1EE8" w:rsidRPr="00AE1EE8" w:rsidRDefault="0077068C" w:rsidP="00B666C6">
      <w:pPr>
        <w:pStyle w:val="BodyText"/>
      </w:pPr>
      <w:r w:rsidRPr="00FE2AE1">
        <w:rPr>
          <w:b/>
        </w:rPr>
        <w:t>Investment Manager</w:t>
      </w:r>
      <w:r>
        <w:t xml:space="preserve"> means </w:t>
      </w:r>
      <w:bookmarkStart w:id="0" w:name="_Hlk143623885"/>
      <w:r w:rsidR="00AE1EE8" w:rsidRPr="00AE1EE8">
        <w:t>IQ</w:t>
      </w:r>
      <w:r w:rsidR="00D078F0">
        <w:t xml:space="preserve"> </w:t>
      </w:r>
      <w:r w:rsidR="00AE1EE8" w:rsidRPr="00AE1EE8">
        <w:t>EQ Fund Management (Ireland) Limited</w:t>
      </w:r>
      <w:bookmarkEnd w:id="0"/>
      <w:r w:rsidR="00AE1EE8">
        <w:t>;</w:t>
      </w:r>
    </w:p>
    <w:p w14:paraId="5875B681" w14:textId="00D7322F" w:rsidR="00A71224" w:rsidRPr="00AE1EE8" w:rsidRDefault="00A71224" w:rsidP="00B666C6">
      <w:pPr>
        <w:spacing w:before="120"/>
      </w:pPr>
      <w:r w:rsidRPr="00A71224">
        <w:rPr>
          <w:b/>
          <w:iCs/>
        </w:rPr>
        <w:t>Manager</w:t>
      </w:r>
      <w:r w:rsidRPr="00A71224">
        <w:rPr>
          <w:bCs/>
          <w:i/>
        </w:rPr>
        <w:t xml:space="preserve"> </w:t>
      </w:r>
      <w:r w:rsidRPr="00A71224">
        <w:rPr>
          <w:bCs/>
          <w:iCs/>
        </w:rPr>
        <w:t>means</w:t>
      </w:r>
      <w:r>
        <w:t xml:space="preserve"> </w:t>
      </w:r>
      <w:r w:rsidR="00AE1EE8">
        <w:rPr>
          <w:lang w:eastAsia="en-GB"/>
        </w:rPr>
        <w:t>IQ</w:t>
      </w:r>
      <w:r w:rsidR="00D078F0">
        <w:rPr>
          <w:lang w:eastAsia="en-GB"/>
        </w:rPr>
        <w:t xml:space="preserve"> </w:t>
      </w:r>
      <w:r w:rsidR="00AE1EE8">
        <w:rPr>
          <w:lang w:eastAsia="en-GB"/>
        </w:rPr>
        <w:t>EQ Fund</w:t>
      </w:r>
      <w:r w:rsidR="00AE1EE8" w:rsidRPr="00B8081F">
        <w:rPr>
          <w:lang w:eastAsia="en-GB"/>
        </w:rPr>
        <w:t xml:space="preserve"> Management </w:t>
      </w:r>
      <w:r w:rsidR="00AE1EE8">
        <w:rPr>
          <w:lang w:eastAsia="en-GB"/>
        </w:rPr>
        <w:t xml:space="preserve">(Ireland) </w:t>
      </w:r>
      <w:r w:rsidR="00AE1EE8" w:rsidRPr="00B8081F">
        <w:rPr>
          <w:lang w:eastAsia="en-GB"/>
        </w:rPr>
        <w:t>Limited</w:t>
      </w:r>
      <w:r w:rsidR="00AE1EE8">
        <w:rPr>
          <w:lang w:eastAsia="en-GB"/>
        </w:rPr>
        <w:t xml:space="preserve"> </w:t>
      </w:r>
      <w:r>
        <w:t>or such other person as may be designated, in accordance with the Central Bank Rules, as the Company’s fund management company;</w:t>
      </w:r>
    </w:p>
    <w:p w14:paraId="287AD334" w14:textId="14182E0B" w:rsidR="0055450A" w:rsidRDefault="0077068C" w:rsidP="00A4485E">
      <w:pPr>
        <w:pStyle w:val="BodyText"/>
      </w:pPr>
      <w:r w:rsidRPr="00D55579">
        <w:rPr>
          <w:b/>
        </w:rPr>
        <w:t>Minimum Fund Size</w:t>
      </w:r>
      <w:r>
        <w:t xml:space="preserve"> means €5,000,000 or such other amount as the Directors may in their absolute discretion determine;</w:t>
      </w:r>
    </w:p>
    <w:p w14:paraId="034225C9" w14:textId="2B0AFA49" w:rsidR="0055450A" w:rsidRPr="0055450A" w:rsidRDefault="0055450A" w:rsidP="00A4485E">
      <w:pPr>
        <w:spacing w:before="120"/>
      </w:pPr>
      <w:r w:rsidRPr="009A3483">
        <w:rPr>
          <w:rFonts w:cs="Arial"/>
          <w:b/>
          <w:bCs/>
        </w:rPr>
        <w:t>Performance Period</w:t>
      </w:r>
      <w:r w:rsidRPr="008F494E">
        <w:t xml:space="preserve"> means a period of 12 calendar months commencing in January in each year, provided that the first Performance Period in respect of any </w:t>
      </w:r>
      <w:r>
        <w:t xml:space="preserve">Share </w:t>
      </w:r>
      <w:r w:rsidRPr="008F494E">
        <w:t xml:space="preserve">Class will be the period commencing on the date such </w:t>
      </w:r>
      <w:r>
        <w:t xml:space="preserve">Share </w:t>
      </w:r>
      <w:r w:rsidRPr="008F494E">
        <w:t xml:space="preserve">Class is issued and ending on the last Business Day in December of the same year that such </w:t>
      </w:r>
      <w:r>
        <w:t xml:space="preserve">Share </w:t>
      </w:r>
      <w:r w:rsidRPr="008F494E">
        <w:t>Class is issued</w:t>
      </w:r>
      <w:r>
        <w:t xml:space="preserve">; </w:t>
      </w:r>
    </w:p>
    <w:p w14:paraId="4B855A61" w14:textId="77777777" w:rsidR="0077068C" w:rsidRDefault="0077068C" w:rsidP="00A4485E">
      <w:pPr>
        <w:spacing w:before="120"/>
      </w:pPr>
      <w:r>
        <w:rPr>
          <w:b/>
        </w:rPr>
        <w:t xml:space="preserve">Regulated Funds </w:t>
      </w:r>
      <w:r>
        <w:t>means UCITS and</w:t>
      </w:r>
      <w:r>
        <w:rPr>
          <w:b/>
        </w:rPr>
        <w:t xml:space="preserve"> </w:t>
      </w:r>
      <w:r>
        <w:t>AIFs</w:t>
      </w:r>
      <w:r>
        <w:rPr>
          <w:b/>
        </w:rPr>
        <w:t xml:space="preserve"> </w:t>
      </w:r>
      <w:r>
        <w:t xml:space="preserve">as set out in the Central Bank's Guidance on UCITS acceptable investments in other investments funds; where AIFs means </w:t>
      </w:r>
      <w:r>
        <w:rPr>
          <w:rFonts w:cs="Arial"/>
          <w:bCs/>
          <w:color w:val="000000"/>
        </w:rPr>
        <w:t>an alternative investment fund as defined in the European Communities (Alternative Investment Fund Managers Directive) Regulations (S.I. 257 of 2013), as may be amended from time to time;</w:t>
      </w:r>
    </w:p>
    <w:p w14:paraId="55E92676" w14:textId="50117799" w:rsidR="0077068C" w:rsidRDefault="0077068C" w:rsidP="00A4485E">
      <w:pPr>
        <w:pStyle w:val="BodyText"/>
      </w:pPr>
      <w:r w:rsidRPr="00D55579">
        <w:rPr>
          <w:b/>
        </w:rPr>
        <w:t>Settlement Date</w:t>
      </w:r>
      <w:r>
        <w:t xml:space="preserve"> in respect of subscriptions and repurchases respectively shall have the meaning outlined in the section entitled "</w:t>
      </w:r>
      <w:r w:rsidRPr="00716959">
        <w:rPr>
          <w:b/>
        </w:rPr>
        <w:t>Key Information for Buying and Selling Shares</w:t>
      </w:r>
      <w:r>
        <w:t>" below;</w:t>
      </w:r>
      <w:r w:rsidR="00416055">
        <w:t xml:space="preserve"> </w:t>
      </w:r>
    </w:p>
    <w:p w14:paraId="6C7553EE" w14:textId="77777777" w:rsidR="0077068C" w:rsidRDefault="0077068C" w:rsidP="00A4485E">
      <w:pPr>
        <w:pStyle w:val="BodyText"/>
      </w:pPr>
      <w:r w:rsidRPr="00D55579">
        <w:rPr>
          <w:b/>
        </w:rPr>
        <w:t>Valuation Point</w:t>
      </w:r>
      <w:r>
        <w:t xml:space="preserve"> means the close of business in the market </w:t>
      </w:r>
      <w:r w:rsidR="00F10B98">
        <w:t xml:space="preserve">which last </w:t>
      </w:r>
      <w:r w:rsidR="00F209DE">
        <w:t xml:space="preserve">closes </w:t>
      </w:r>
      <w:r>
        <w:t xml:space="preserve">on the first Business Day immediately preceding the relevant Dealing Day </w:t>
      </w:r>
      <w:r w:rsidR="006A34FB">
        <w:t xml:space="preserve">by reference to which the Net Asset Value per Share of the Fund is determined provided such point will in no case precede the close of business in the relevant market that closes first on the relevant Business Day and further </w:t>
      </w:r>
      <w:r w:rsidR="00F209DE">
        <w:t xml:space="preserve">provided that it is a market </w:t>
      </w:r>
      <w:r w:rsidR="00BC570B">
        <w:t xml:space="preserve">where assets </w:t>
      </w:r>
      <w:r w:rsidR="006A34FB">
        <w:t xml:space="preserve">of the Sub-Fund </w:t>
      </w:r>
      <w:r w:rsidR="00BC570B">
        <w:t>are listed and traded</w:t>
      </w:r>
      <w:r>
        <w:t>.</w:t>
      </w:r>
    </w:p>
    <w:p w14:paraId="6C21D435" w14:textId="77777777" w:rsidR="0077068C" w:rsidRDefault="0077068C" w:rsidP="00A4485E">
      <w:pPr>
        <w:pStyle w:val="BodyText"/>
      </w:pPr>
      <w:r>
        <w:t>All other defined terms used in this Supplement shall have the same meaning as in the Prospectus.</w:t>
      </w:r>
    </w:p>
    <w:p w14:paraId="68D6F41B" w14:textId="77777777" w:rsidR="0077068C" w:rsidRDefault="0077068C" w:rsidP="0077068C">
      <w:pPr>
        <w:pStyle w:val="BodyText"/>
      </w:pPr>
      <w:r>
        <w:br w:type="page"/>
      </w:r>
      <w:r>
        <w:lastRenderedPageBreak/>
        <w:t>_____________________________________________________________________________</w:t>
      </w:r>
    </w:p>
    <w:p w14:paraId="195F9D95" w14:textId="77777777" w:rsidR="0077068C" w:rsidRDefault="0077068C" w:rsidP="0077068C">
      <w:pPr>
        <w:pStyle w:val="Agreement1"/>
        <w:jc w:val="center"/>
      </w:pPr>
      <w:r>
        <w:t>INFORMATION ON THE FUND</w:t>
      </w:r>
    </w:p>
    <w:p w14:paraId="042D1494" w14:textId="77777777" w:rsidR="0077068C" w:rsidRPr="00DB26B4" w:rsidRDefault="0077068C" w:rsidP="0077068C">
      <w:pPr>
        <w:pStyle w:val="BodyText"/>
        <w:rPr>
          <w:b/>
        </w:rPr>
      </w:pPr>
      <w:r w:rsidRPr="00DB26B4">
        <w:rPr>
          <w:b/>
        </w:rPr>
        <w:t>_____________________________________________________________________________</w:t>
      </w:r>
    </w:p>
    <w:p w14:paraId="507B3520" w14:textId="77777777" w:rsidR="0077068C" w:rsidRPr="00DB26B4" w:rsidRDefault="0077068C" w:rsidP="00A4485E">
      <w:pPr>
        <w:pStyle w:val="Agreement2"/>
        <w:spacing w:before="120"/>
        <w:rPr>
          <w:b/>
        </w:rPr>
      </w:pPr>
      <w:r w:rsidRPr="00DB26B4">
        <w:rPr>
          <w:b/>
        </w:rPr>
        <w:t>Investment Objective, Investment Policies and Investment Strategy</w:t>
      </w:r>
    </w:p>
    <w:p w14:paraId="21B1F1C8" w14:textId="77777777" w:rsidR="0077068C" w:rsidRPr="007A6019" w:rsidRDefault="0077068C" w:rsidP="00A4485E">
      <w:pPr>
        <w:pStyle w:val="Agreement3"/>
        <w:keepNext/>
        <w:spacing w:before="120"/>
        <w:ind w:left="720"/>
        <w:rPr>
          <w:b/>
        </w:rPr>
      </w:pPr>
      <w:r w:rsidRPr="007A6019">
        <w:rPr>
          <w:b/>
        </w:rPr>
        <w:t>Investment Objective:</w:t>
      </w:r>
    </w:p>
    <w:p w14:paraId="42954160" w14:textId="77777777" w:rsidR="0077068C" w:rsidRDefault="0077068C" w:rsidP="00A4485E">
      <w:pPr>
        <w:pStyle w:val="BodyTextIndent"/>
        <w:ind w:left="0"/>
      </w:pPr>
      <w:r>
        <w:t>The investment objective of the Fund is to generate absolute returns over the medium term</w:t>
      </w:r>
      <w:r w:rsidR="00FC0D2F">
        <w:t>.</w:t>
      </w:r>
      <w:r>
        <w:t xml:space="preserve"> </w:t>
      </w:r>
    </w:p>
    <w:p w14:paraId="72F9D0CB" w14:textId="77777777" w:rsidR="0077068C" w:rsidRDefault="0077068C" w:rsidP="00A4485E">
      <w:pPr>
        <w:pStyle w:val="BodyTextIndent"/>
        <w:ind w:left="0"/>
      </w:pPr>
      <w:r>
        <w:t xml:space="preserve">Absolute returns are specific consistent positive returns which are not necessarily dependent upon specific asset class exposure or upon continuous rising markets.  </w:t>
      </w:r>
    </w:p>
    <w:p w14:paraId="74CC028A" w14:textId="77777777" w:rsidR="0077068C" w:rsidRDefault="0077068C" w:rsidP="00A4485E">
      <w:pPr>
        <w:pStyle w:val="BodyTextIndent"/>
        <w:ind w:left="0"/>
      </w:pPr>
      <w:r>
        <w:t>There can be no assurance that the Fund will achieve its investment objective.</w:t>
      </w:r>
    </w:p>
    <w:p w14:paraId="518A5FA5" w14:textId="77777777" w:rsidR="0077068C" w:rsidRDefault="0077068C" w:rsidP="00A4485E">
      <w:pPr>
        <w:pStyle w:val="Agreement3"/>
        <w:keepNext/>
        <w:spacing w:before="120"/>
        <w:ind w:left="720"/>
        <w:rPr>
          <w:b/>
        </w:rPr>
      </w:pPr>
      <w:r w:rsidRPr="007A6019">
        <w:rPr>
          <w:b/>
        </w:rPr>
        <w:t>Investment Policies:</w:t>
      </w:r>
    </w:p>
    <w:p w14:paraId="44840BFE" w14:textId="77777777" w:rsidR="0077068C" w:rsidRDefault="0077068C" w:rsidP="00A4485E">
      <w:pPr>
        <w:spacing w:before="120"/>
      </w:pPr>
      <w:r>
        <w:t xml:space="preserve">The Fund intends to achieve its investment objective </w:t>
      </w:r>
      <w:r w:rsidR="00FC0D2F">
        <w:t>by investing in</w:t>
      </w:r>
      <w:r w:rsidR="000A228F">
        <w:t xml:space="preserve"> a diversified portfolio which will be represented by the </w:t>
      </w:r>
      <w:r>
        <w:t xml:space="preserve">asset classes </w:t>
      </w:r>
      <w:r w:rsidR="000A228F">
        <w:t>referred below</w:t>
      </w:r>
      <w:r w:rsidR="00B80139">
        <w:t>,</w:t>
      </w:r>
      <w:r w:rsidR="00FC0D2F">
        <w:t xml:space="preserve"> in accordance with its investment strategy (as discussed below),</w:t>
      </w:r>
      <w:r w:rsidR="000A228F">
        <w:t xml:space="preserve"> </w:t>
      </w:r>
      <w:r w:rsidRPr="00F276DE">
        <w:t>with the principal focus being on a long-short global e</w:t>
      </w:r>
      <w:r>
        <w:t>quity strategy.</w:t>
      </w:r>
      <w:r w:rsidR="00F10B98" w:rsidRPr="009A505B">
        <w:rPr>
          <w:b/>
        </w:rPr>
        <w:t xml:space="preserve"> </w:t>
      </w:r>
      <w:r w:rsidR="00B83DC4" w:rsidRPr="00B83DC4">
        <w:t>The Fund may not invest more than 15% of its net assets in emerging markets.</w:t>
      </w:r>
    </w:p>
    <w:p w14:paraId="18CCDAF4" w14:textId="77777777" w:rsidR="0077068C" w:rsidRDefault="0077068C" w:rsidP="00A4485E">
      <w:pPr>
        <w:autoSpaceDE w:val="0"/>
        <w:autoSpaceDN w:val="0"/>
        <w:adjustRightInd w:val="0"/>
        <w:spacing w:before="120"/>
        <w:rPr>
          <w:rFonts w:cs="Arial"/>
          <w:lang w:val="en-GB" w:eastAsia="en-GB"/>
        </w:rPr>
      </w:pPr>
      <w:r w:rsidRPr="000B238D">
        <w:rPr>
          <w:rFonts w:cs="Arial"/>
          <w:lang w:val="en-GB" w:eastAsia="en-GB"/>
        </w:rPr>
        <w:t xml:space="preserve">The Fund may hold long positions in each of the </w:t>
      </w:r>
      <w:r>
        <w:rPr>
          <w:rFonts w:cs="Arial"/>
          <w:lang w:val="en-GB" w:eastAsia="en-GB"/>
        </w:rPr>
        <w:t xml:space="preserve">below </w:t>
      </w:r>
      <w:r w:rsidRPr="000B238D">
        <w:rPr>
          <w:rFonts w:cs="Arial"/>
          <w:lang w:val="en-GB" w:eastAsia="en-GB"/>
        </w:rPr>
        <w:t>asset classes ranging between</w:t>
      </w:r>
      <w:r>
        <w:rPr>
          <w:rFonts w:cs="Arial"/>
          <w:lang w:val="en-GB" w:eastAsia="en-GB"/>
        </w:rPr>
        <w:t xml:space="preserve"> </w:t>
      </w:r>
      <w:r w:rsidRPr="000B238D">
        <w:rPr>
          <w:rFonts w:cs="Arial"/>
          <w:lang w:val="en-GB" w:eastAsia="en-GB"/>
        </w:rPr>
        <w:t>0% and 1</w:t>
      </w:r>
      <w:r>
        <w:rPr>
          <w:rFonts w:cs="Arial"/>
          <w:lang w:val="en-GB" w:eastAsia="en-GB"/>
        </w:rPr>
        <w:t>25</w:t>
      </w:r>
      <w:r w:rsidRPr="000B238D">
        <w:rPr>
          <w:rFonts w:cs="Arial"/>
          <w:lang w:val="en-GB" w:eastAsia="en-GB"/>
        </w:rPr>
        <w:t xml:space="preserve">% of </w:t>
      </w:r>
      <w:r>
        <w:rPr>
          <w:rFonts w:cs="Arial"/>
          <w:lang w:val="en-GB" w:eastAsia="en-GB"/>
        </w:rPr>
        <w:t>Net Asset Value of the Fund and short</w:t>
      </w:r>
      <w:r w:rsidR="001E1C58">
        <w:rPr>
          <w:rFonts w:cs="Arial"/>
          <w:lang w:val="en-GB" w:eastAsia="en-GB"/>
        </w:rPr>
        <w:t xml:space="preserve"> positions</w:t>
      </w:r>
      <w:r w:rsidR="001908FB">
        <w:rPr>
          <w:rFonts w:cs="Arial"/>
          <w:lang w:val="en-GB" w:eastAsia="en-GB"/>
        </w:rPr>
        <w:t xml:space="preserve"> in equity securities</w:t>
      </w:r>
      <w:r w:rsidR="0085556B">
        <w:rPr>
          <w:rFonts w:cs="Arial"/>
          <w:lang w:val="en-GB" w:eastAsia="en-GB"/>
        </w:rPr>
        <w:t xml:space="preserve"> </w:t>
      </w:r>
      <w:r w:rsidR="0005029E">
        <w:rPr>
          <w:rFonts w:cs="Arial"/>
          <w:lang w:val="en-GB" w:eastAsia="en-GB"/>
        </w:rPr>
        <w:t>ranging from 0% to -125</w:t>
      </w:r>
      <w:r>
        <w:rPr>
          <w:rFonts w:cs="Arial"/>
          <w:lang w:val="en-GB" w:eastAsia="en-GB"/>
        </w:rPr>
        <w:t xml:space="preserve">% </w:t>
      </w:r>
      <w:r w:rsidRPr="000B238D">
        <w:rPr>
          <w:rFonts w:cs="Arial"/>
          <w:lang w:val="en-GB" w:eastAsia="en-GB"/>
        </w:rPr>
        <w:t xml:space="preserve">of </w:t>
      </w:r>
      <w:r>
        <w:rPr>
          <w:rFonts w:cs="Arial"/>
          <w:lang w:val="en-GB" w:eastAsia="en-GB"/>
        </w:rPr>
        <w:t xml:space="preserve">Net Asset Value of the Fund. </w:t>
      </w:r>
      <w:r w:rsidR="00F10B98">
        <w:rPr>
          <w:rFonts w:cs="Arial"/>
          <w:lang w:val="en-GB" w:eastAsia="en-GB"/>
        </w:rPr>
        <w:t xml:space="preserve">For the avoidance of doubt, any such short positions will be achieved synthetically; i.e. through the use of </w:t>
      </w:r>
      <w:r w:rsidR="009A505B">
        <w:rPr>
          <w:rFonts w:cs="Arial"/>
          <w:lang w:val="en-GB" w:eastAsia="en-GB"/>
        </w:rPr>
        <w:t>FDI</w:t>
      </w:r>
      <w:r w:rsidR="00F10B98">
        <w:rPr>
          <w:rFonts w:cs="Arial"/>
          <w:lang w:val="en-GB" w:eastAsia="en-GB"/>
        </w:rPr>
        <w:t>.</w:t>
      </w:r>
      <w:r w:rsidR="00B83DC4">
        <w:rPr>
          <w:rFonts w:cs="Arial"/>
          <w:lang w:val="en-GB" w:eastAsia="en-GB"/>
        </w:rPr>
        <w:t xml:space="preserve"> </w:t>
      </w:r>
    </w:p>
    <w:p w14:paraId="2A78D04F" w14:textId="77777777" w:rsidR="0077068C" w:rsidRDefault="0077068C" w:rsidP="00A4485E">
      <w:pPr>
        <w:keepNext/>
        <w:autoSpaceDE w:val="0"/>
        <w:autoSpaceDN w:val="0"/>
        <w:adjustRightInd w:val="0"/>
        <w:spacing w:before="120"/>
      </w:pPr>
      <w:r>
        <w:t>The</w:t>
      </w:r>
      <w:r w:rsidRPr="00F276DE">
        <w:t xml:space="preserve"> </w:t>
      </w:r>
      <w:r>
        <w:t>asset classes that the Fund may</w:t>
      </w:r>
      <w:r w:rsidR="00EA4FB2">
        <w:t xml:space="preserve"> </w:t>
      </w:r>
      <w:r>
        <w:t>invest in, on a long and short basis, are:</w:t>
      </w:r>
    </w:p>
    <w:p w14:paraId="77DC3AD7" w14:textId="77777777" w:rsidR="0077068C" w:rsidRPr="00283045" w:rsidRDefault="008F54B9" w:rsidP="00A4485E">
      <w:pPr>
        <w:pStyle w:val="Agreement4"/>
        <w:spacing w:before="120"/>
        <w:ind w:left="426" w:hanging="426"/>
      </w:pPr>
      <w:r>
        <w:t xml:space="preserve">Equity securities: </w:t>
      </w:r>
      <w:r w:rsidR="0077068C">
        <w:t xml:space="preserve">The Fund </w:t>
      </w:r>
      <w:r w:rsidR="009E5427">
        <w:t>may</w:t>
      </w:r>
      <w:r w:rsidR="00492D26">
        <w:t xml:space="preserve"> invest </w:t>
      </w:r>
      <w:r w:rsidR="008539C8">
        <w:t>between 0% to +/- 1</w:t>
      </w:r>
      <w:r w:rsidR="001908FB">
        <w:t>25</w:t>
      </w:r>
      <w:r w:rsidR="008539C8">
        <w:t xml:space="preserve">% </w:t>
      </w:r>
      <w:r w:rsidR="00EA4FB2">
        <w:t xml:space="preserve">of </w:t>
      </w:r>
      <w:r w:rsidR="00E670F7">
        <w:t>its</w:t>
      </w:r>
      <w:r w:rsidR="00EA4FB2">
        <w:t xml:space="preserve"> Net Asset Value in equity securities</w:t>
      </w:r>
      <w:r w:rsidR="00492D26">
        <w:t>. The Fund may</w:t>
      </w:r>
      <w:r w:rsidR="0077068C">
        <w:t xml:space="preserve"> take long and </w:t>
      </w:r>
      <w:r w:rsidR="00FC0D2F">
        <w:t xml:space="preserve">synthetic </w:t>
      </w:r>
      <w:r w:rsidR="0077068C">
        <w:t>short positions in equity securities including</w:t>
      </w:r>
      <w:r w:rsidR="0077068C" w:rsidRPr="00046ECC">
        <w:t xml:space="preserve"> ordinary shares, common stock preference shares, global depositary receipts, American depositary receipts</w:t>
      </w:r>
      <w:r w:rsidR="0077068C">
        <w:t xml:space="preserve"> on a global basis and </w:t>
      </w:r>
      <w:r w:rsidR="0077068C" w:rsidRPr="00C36FEF">
        <w:t>real estate investment trusts</w:t>
      </w:r>
      <w:r w:rsidR="0077068C">
        <w:t xml:space="preserve"> ("</w:t>
      </w:r>
      <w:r w:rsidR="0077068C" w:rsidRPr="0081283A">
        <w:rPr>
          <w:b/>
          <w:bCs/>
        </w:rPr>
        <w:t>REITs</w:t>
      </w:r>
      <w:r w:rsidR="0077068C">
        <w:t xml:space="preserve">"); </w:t>
      </w:r>
    </w:p>
    <w:p w14:paraId="56CA49A2" w14:textId="77777777" w:rsidR="0077068C" w:rsidRPr="000319D8" w:rsidRDefault="008F54B9" w:rsidP="00A4485E">
      <w:pPr>
        <w:pStyle w:val="Agreement4"/>
        <w:tabs>
          <w:tab w:val="left" w:pos="426"/>
        </w:tabs>
        <w:spacing w:before="120"/>
        <w:ind w:left="426" w:hanging="426"/>
        <w:rPr>
          <w:rFonts w:cs="Arial"/>
          <w:lang w:eastAsia="en-GB"/>
        </w:rPr>
      </w:pPr>
      <w:r w:rsidRPr="000319D8">
        <w:t xml:space="preserve">Fixed income securities: </w:t>
      </w:r>
      <w:r w:rsidR="0077068C" w:rsidRPr="000319D8">
        <w:t xml:space="preserve">The Fund may also invest </w:t>
      </w:r>
      <w:r w:rsidR="00492D26" w:rsidRPr="000319D8">
        <w:t xml:space="preserve">up to 60% </w:t>
      </w:r>
      <w:r w:rsidR="00E670F7" w:rsidRPr="000319D8">
        <w:t xml:space="preserve">of its Net Asset Value </w:t>
      </w:r>
      <w:r w:rsidR="00492D26" w:rsidRPr="000319D8">
        <w:t xml:space="preserve">in fixed income securities. The Fund </w:t>
      </w:r>
      <w:r w:rsidR="008539C8" w:rsidRPr="000319D8">
        <w:t>may</w:t>
      </w:r>
      <w:r w:rsidR="00713E65" w:rsidRPr="000319D8">
        <w:t xml:space="preserve"> take</w:t>
      </w:r>
      <w:r w:rsidR="0077068C" w:rsidRPr="000319D8">
        <w:t xml:space="preserve"> long </w:t>
      </w:r>
      <w:r w:rsidR="00713E65" w:rsidRPr="000319D8">
        <w:t>positions</w:t>
      </w:r>
      <w:r w:rsidR="0077068C" w:rsidRPr="000319D8">
        <w:t xml:space="preserve"> </w:t>
      </w:r>
      <w:r w:rsidR="00CB5EC6">
        <w:t>in fixed</w:t>
      </w:r>
      <w:r w:rsidR="00157647">
        <w:t xml:space="preserve"> income securities </w:t>
      </w:r>
      <w:r w:rsidR="00113968" w:rsidRPr="000319D8">
        <w:t xml:space="preserve">in the form of </w:t>
      </w:r>
      <w:r w:rsidR="00113968">
        <w:t>fixed and floating rate</w:t>
      </w:r>
      <w:r w:rsidR="00113968" w:rsidRPr="000319D8">
        <w:t xml:space="preserve"> government and corporate</w:t>
      </w:r>
      <w:r w:rsidR="00500A77">
        <w:t xml:space="preserve"> </w:t>
      </w:r>
      <w:r w:rsidR="00CB5EC6">
        <w:t xml:space="preserve">bonds and commercial paper </w:t>
      </w:r>
      <w:r w:rsidR="0077068C" w:rsidRPr="000319D8">
        <w:t>below Investment Gr</w:t>
      </w:r>
      <w:r w:rsidR="00CB5EC6">
        <w:t>ade and above Investment Grade</w:t>
      </w:r>
      <w:r w:rsidR="00F17222" w:rsidRPr="000319D8">
        <w:t>.</w:t>
      </w:r>
      <w:r w:rsidR="00CB5EC6">
        <w:t xml:space="preserve"> </w:t>
      </w:r>
      <w:r w:rsidR="0077068C" w:rsidRPr="000319D8">
        <w:t xml:space="preserve">There will be no more than 30% of the </w:t>
      </w:r>
      <w:r w:rsidR="00F17222" w:rsidRPr="000319D8">
        <w:t>Fund invested in below Investment G</w:t>
      </w:r>
      <w:r w:rsidR="00B80139" w:rsidRPr="000319D8">
        <w:t xml:space="preserve">rade </w:t>
      </w:r>
      <w:r w:rsidR="00F10B98" w:rsidRPr="000319D8">
        <w:t>securities</w:t>
      </w:r>
      <w:r w:rsidR="00B80139" w:rsidRPr="000319D8">
        <w:t>;</w:t>
      </w:r>
      <w:r w:rsidR="00F10B98" w:rsidRPr="000319D8">
        <w:t xml:space="preserve"> </w:t>
      </w:r>
    </w:p>
    <w:p w14:paraId="2977ABB0" w14:textId="77777777" w:rsidR="0077068C" w:rsidRPr="00551C5C" w:rsidRDefault="0077068C" w:rsidP="00A4485E">
      <w:pPr>
        <w:pStyle w:val="Agreement4"/>
        <w:tabs>
          <w:tab w:val="left" w:pos="426"/>
        </w:tabs>
        <w:spacing w:before="120"/>
        <w:ind w:left="426" w:hanging="426"/>
        <w:rPr>
          <w:rFonts w:cs="Arial"/>
          <w:lang w:eastAsia="en-GB"/>
        </w:rPr>
      </w:pPr>
      <w:r>
        <w:t>Regulated Funds: The Fund may also invest up to 20% of its Net Asset Value in other Regulated Funds</w:t>
      </w:r>
      <w:r w:rsidR="009337DE">
        <w:t xml:space="preserve"> where is it considered consistent with the investment objective of the Fund</w:t>
      </w:r>
      <w:r>
        <w:t>. The Fund may invest in exchange traded funds ("</w:t>
      </w:r>
      <w:r w:rsidRPr="0081283A">
        <w:rPr>
          <w:b/>
          <w:bCs/>
        </w:rPr>
        <w:t>ETFs</w:t>
      </w:r>
      <w:r>
        <w:t>")</w:t>
      </w:r>
      <w:r w:rsidR="00F818DE">
        <w:t xml:space="preserve"> </w:t>
      </w:r>
      <w:r w:rsidR="0017166C">
        <w:t xml:space="preserve">to </w:t>
      </w:r>
      <w:r w:rsidR="00D009E2">
        <w:t xml:space="preserve">gain exposure to the asset classes set out above. </w:t>
      </w:r>
      <w:r>
        <w:t>Any investment in ETFs shall not exceed in aggregate 10% of the Net Asset Value of the Fund;</w:t>
      </w:r>
    </w:p>
    <w:p w14:paraId="6F023EA0" w14:textId="30D9008A" w:rsidR="00551C5C" w:rsidRDefault="00F818DE" w:rsidP="00A4485E">
      <w:pPr>
        <w:pStyle w:val="Agreement4"/>
        <w:tabs>
          <w:tab w:val="left" w:pos="426"/>
        </w:tabs>
        <w:spacing w:before="120"/>
        <w:ind w:left="426" w:hanging="426"/>
      </w:pPr>
      <w:r>
        <w:t xml:space="preserve">Unlisted securities: </w:t>
      </w:r>
      <w:r w:rsidR="00551C5C" w:rsidRPr="002A5D60">
        <w:t>The Fund may also invest up to 10% of its Net Asset Value in unlisted securities</w:t>
      </w:r>
      <w:r w:rsidR="00CB5EC6">
        <w:t>;</w:t>
      </w:r>
      <w:r w:rsidR="00A533BA">
        <w:t xml:space="preserve"> and</w:t>
      </w:r>
    </w:p>
    <w:p w14:paraId="4429691A" w14:textId="77777777" w:rsidR="00CB5EC6" w:rsidRPr="00551C5C" w:rsidRDefault="00CB5EC6" w:rsidP="00A4485E">
      <w:pPr>
        <w:pStyle w:val="Agreement4"/>
        <w:tabs>
          <w:tab w:val="left" w:pos="426"/>
        </w:tabs>
        <w:spacing w:before="120"/>
        <w:ind w:left="426" w:hanging="426"/>
      </w:pPr>
      <w:r>
        <w:t xml:space="preserve">Cash Equivalents: The Fund may invest up to 100% in cash equivalents in the form of </w:t>
      </w:r>
      <w:r w:rsidRPr="00791D11">
        <w:t>commercial paper (i.e. investment grade short-term paper issued by credit institutions) and money market obligations such as short and medium-term treasury bills and treasury notes (both fixed and floating rate), certificates of d</w:t>
      </w:r>
      <w:r>
        <w:t>eposit and bankers’ acceptances.</w:t>
      </w:r>
    </w:p>
    <w:p w14:paraId="03B1D05B" w14:textId="46FA6FB0" w:rsidR="00433DDD" w:rsidRDefault="00433DDD" w:rsidP="00A4485E">
      <w:pPr>
        <w:pStyle w:val="Agreement4"/>
        <w:numPr>
          <w:ilvl w:val="0"/>
          <w:numId w:val="0"/>
        </w:numPr>
        <w:tabs>
          <w:tab w:val="left" w:pos="426"/>
        </w:tabs>
        <w:spacing w:before="120"/>
        <w:rPr>
          <w:u w:val="single"/>
        </w:rPr>
      </w:pPr>
      <w:r>
        <w:t>The securities acquired by the Fund (other than permitted unlisted investments) will be listed or traded on the exchanges and markets set out in Appendix II to the Prospectus</w:t>
      </w:r>
      <w:r w:rsidR="00D90260">
        <w:t>.</w:t>
      </w:r>
    </w:p>
    <w:p w14:paraId="6B216816" w14:textId="51687FEB" w:rsidR="00C9697C" w:rsidRPr="00C9697C" w:rsidRDefault="00C9697C" w:rsidP="00C62DCE">
      <w:pPr>
        <w:pStyle w:val="Agreement2"/>
        <w:keepNext/>
        <w:keepLines/>
        <w:numPr>
          <w:ilvl w:val="0"/>
          <w:numId w:val="0"/>
        </w:numPr>
        <w:spacing w:before="120"/>
        <w:rPr>
          <w:bCs/>
        </w:rPr>
      </w:pPr>
      <w:bookmarkStart w:id="1" w:name="_Hlk120117152"/>
      <w:r w:rsidRPr="00ED11C7">
        <w:rPr>
          <w:bCs/>
        </w:rPr>
        <w:lastRenderedPageBreak/>
        <w:t>The Fund promotes environmental and/or social characteristics in accordance with Article 8 of the SFDR. Information in relation to the sustainability-related features of the Fund's investments is set out in Appendix I to this Supplement, which Appendix details the environmental and/or social characteristics of the Fund.</w:t>
      </w:r>
      <w:bookmarkEnd w:id="1"/>
    </w:p>
    <w:p w14:paraId="3C57A846" w14:textId="046328D0" w:rsidR="00AE5522" w:rsidRDefault="00113968" w:rsidP="00A4485E">
      <w:pPr>
        <w:pStyle w:val="Agreement4"/>
        <w:keepNext/>
        <w:numPr>
          <w:ilvl w:val="0"/>
          <w:numId w:val="0"/>
        </w:numPr>
        <w:tabs>
          <w:tab w:val="left" w:pos="426"/>
        </w:tabs>
        <w:spacing w:before="120"/>
        <w:rPr>
          <w:u w:val="single"/>
        </w:rPr>
      </w:pPr>
      <w:r>
        <w:rPr>
          <w:u w:val="single"/>
        </w:rPr>
        <w:t>Derivatives</w:t>
      </w:r>
    </w:p>
    <w:p w14:paraId="09DF6318" w14:textId="77777777" w:rsidR="00AE5522" w:rsidRDefault="0077068C" w:rsidP="00A4485E">
      <w:pPr>
        <w:pStyle w:val="Agreement4"/>
        <w:numPr>
          <w:ilvl w:val="0"/>
          <w:numId w:val="0"/>
        </w:numPr>
        <w:tabs>
          <w:tab w:val="left" w:pos="426"/>
        </w:tabs>
        <w:spacing w:before="120"/>
      </w:pPr>
      <w:r w:rsidRPr="00036DE7">
        <w:t xml:space="preserve">The Fund may also invest in exchange traded or over-the-counter </w:t>
      </w:r>
      <w:r>
        <w:t>("</w:t>
      </w:r>
      <w:r w:rsidRPr="0081283A">
        <w:rPr>
          <w:b/>
          <w:bCs/>
        </w:rPr>
        <w:t>OTC</w:t>
      </w:r>
      <w:r>
        <w:t xml:space="preserve">") </w:t>
      </w:r>
      <w:r w:rsidRPr="00036DE7">
        <w:t xml:space="preserve">FDIs for investment, </w:t>
      </w:r>
      <w:r w:rsidR="009337DE">
        <w:t xml:space="preserve">currency </w:t>
      </w:r>
      <w:r w:rsidRPr="00036DE7">
        <w:t>hedging and/or efficient portfolio management purposes</w:t>
      </w:r>
      <w:r w:rsidR="008960B8">
        <w:t xml:space="preserve">.  </w:t>
      </w:r>
      <w:r w:rsidR="009337DE">
        <w:t>The FDIs that the Fund may use include</w:t>
      </w:r>
      <w:r w:rsidRPr="00036DE7">
        <w:t xml:space="preserve"> </w:t>
      </w:r>
      <w:r>
        <w:t>(i</w:t>
      </w:r>
      <w:r w:rsidRPr="00036DE7">
        <w:t>) forward</w:t>
      </w:r>
      <w:r>
        <w:t xml:space="preserve"> currencies</w:t>
      </w:r>
      <w:r w:rsidRPr="00036DE7">
        <w:t xml:space="preserve"> contracts </w:t>
      </w:r>
      <w:r>
        <w:t>(i</w:t>
      </w:r>
      <w:r w:rsidRPr="00036DE7">
        <w:t xml:space="preserve">i) </w:t>
      </w:r>
      <w:r>
        <w:t xml:space="preserve">currency </w:t>
      </w:r>
      <w:r w:rsidRPr="00036DE7">
        <w:t>future contracts (i</w:t>
      </w:r>
      <w:r>
        <w:t>ii</w:t>
      </w:r>
      <w:r w:rsidRPr="00036DE7">
        <w:t>) swaps on equities</w:t>
      </w:r>
      <w:r w:rsidR="008539C8">
        <w:t xml:space="preserve"> and</w:t>
      </w:r>
      <w:r>
        <w:t xml:space="preserve"> currencies </w:t>
      </w:r>
      <w:r w:rsidRPr="00036DE7">
        <w:t>swaps (</w:t>
      </w:r>
      <w:r>
        <w:t>i</w:t>
      </w:r>
      <w:r w:rsidRPr="00036DE7">
        <w:t xml:space="preserve">v) contracts for differences </w:t>
      </w:r>
      <w:r>
        <w:t xml:space="preserve">(v) warrants </w:t>
      </w:r>
      <w:r w:rsidRPr="00036DE7">
        <w:t>(</w:t>
      </w:r>
      <w:r>
        <w:t>vi) options on equity securities</w:t>
      </w:r>
      <w:r w:rsidRPr="00036DE7">
        <w:t>, equity indices (such as S&amp;P, EURO STOXX and FTSE indices), fixed income securities and currencies</w:t>
      </w:r>
      <w:r>
        <w:t xml:space="preserve">. </w:t>
      </w:r>
      <w:r w:rsidRPr="006103A8">
        <w:t>The equity indices which the Fund will have exposure to through the use of options will at all times comply with the provisions of the Regulations and the requirements of the Central Bank in respect of UCITS financial indices, in particular in respect of their rebalancing frequency, diversification and publication requirements.</w:t>
      </w:r>
    </w:p>
    <w:p w14:paraId="59E94524" w14:textId="77777777" w:rsidR="00AE5522" w:rsidRDefault="0077068C" w:rsidP="00A4485E">
      <w:pPr>
        <w:pStyle w:val="Agreement4"/>
        <w:numPr>
          <w:ilvl w:val="0"/>
          <w:numId w:val="0"/>
        </w:numPr>
        <w:tabs>
          <w:tab w:val="left" w:pos="426"/>
        </w:tabs>
        <w:spacing w:before="120"/>
      </w:pPr>
      <w:r>
        <w:t>The Fund may use any of these derivatives to create synthetic short positions. Short positions can enhance returns if taken in a market or security that declines in value. As</w:t>
      </w:r>
      <w:r w:rsidR="007B2868">
        <w:t xml:space="preserve"> such </w:t>
      </w:r>
      <w:r>
        <w:t>short position may also help to offset a long position and thus provide protection when a market or security declines in value.</w:t>
      </w:r>
      <w:r w:rsidR="00AE5522">
        <w:t xml:space="preserve"> </w:t>
      </w:r>
    </w:p>
    <w:p w14:paraId="650E6379" w14:textId="77777777" w:rsidR="00AE5522" w:rsidRDefault="00BB1084" w:rsidP="00A4485E">
      <w:pPr>
        <w:pStyle w:val="Agreement4"/>
        <w:numPr>
          <w:ilvl w:val="0"/>
          <w:numId w:val="0"/>
        </w:numPr>
        <w:tabs>
          <w:tab w:val="left" w:pos="426"/>
        </w:tabs>
        <w:spacing w:before="120"/>
        <w:rPr>
          <w:rFonts w:eastAsia="Times New Roman" w:cs="Arial"/>
          <w:lang w:eastAsia="en-GB"/>
        </w:rPr>
      </w:pPr>
      <w:r w:rsidRPr="00961FC9">
        <w:rPr>
          <w:rFonts w:eastAsia="Times New Roman" w:cs="Arial"/>
          <w:iCs/>
          <w:lang w:eastAsia="en-GB"/>
        </w:rPr>
        <w:t>For further information on the use of FDIs see "</w:t>
      </w:r>
      <w:r w:rsidRPr="00961FC9">
        <w:rPr>
          <w:rFonts w:eastAsia="Times New Roman" w:cs="Arial"/>
          <w:b/>
          <w:lang w:eastAsia="en-GB"/>
        </w:rPr>
        <w:t>Use of</w:t>
      </w:r>
      <w:r w:rsidRPr="00961FC9">
        <w:rPr>
          <w:rFonts w:eastAsia="Times New Roman" w:cs="Arial"/>
          <w:lang w:eastAsia="en-GB"/>
        </w:rPr>
        <w:t xml:space="preserve"> </w:t>
      </w:r>
      <w:r w:rsidRPr="00961FC9">
        <w:rPr>
          <w:rFonts w:eastAsia="Times New Roman" w:cs="Arial"/>
          <w:b/>
          <w:lang w:eastAsia="en-GB"/>
        </w:rPr>
        <w:t xml:space="preserve">Derivative </w:t>
      </w:r>
      <w:r w:rsidRPr="00961FC9">
        <w:rPr>
          <w:b/>
        </w:rPr>
        <w:t>and Efficient Portfolio Management Techniques</w:t>
      </w:r>
      <w:r w:rsidRPr="00961FC9">
        <w:rPr>
          <w:rFonts w:eastAsia="Times New Roman" w:cs="Arial"/>
          <w:lang w:eastAsia="en-GB"/>
        </w:rPr>
        <w:t>" below.</w:t>
      </w:r>
      <w:r w:rsidR="00AE5522">
        <w:rPr>
          <w:rFonts w:eastAsia="Times New Roman" w:cs="Arial"/>
          <w:lang w:eastAsia="en-GB"/>
        </w:rPr>
        <w:t xml:space="preserve"> </w:t>
      </w:r>
    </w:p>
    <w:p w14:paraId="740AFA49" w14:textId="77777777" w:rsidR="00AE5522" w:rsidRDefault="00BB1084" w:rsidP="00A4485E">
      <w:pPr>
        <w:pStyle w:val="Agreement4"/>
        <w:keepNext/>
        <w:numPr>
          <w:ilvl w:val="0"/>
          <w:numId w:val="0"/>
        </w:numPr>
        <w:tabs>
          <w:tab w:val="left" w:pos="426"/>
        </w:tabs>
        <w:spacing w:before="120"/>
        <w:rPr>
          <w:u w:val="single"/>
        </w:rPr>
      </w:pPr>
      <w:r w:rsidRPr="00113968">
        <w:rPr>
          <w:u w:val="single"/>
        </w:rPr>
        <w:t>Cash Management</w:t>
      </w:r>
      <w:r w:rsidRPr="00AE5522">
        <w:rPr>
          <w:u w:val="single"/>
        </w:rPr>
        <w:t xml:space="preserve"> </w:t>
      </w:r>
      <w:r w:rsidR="00AE5522">
        <w:rPr>
          <w:u w:val="single"/>
        </w:rPr>
        <w:t xml:space="preserve"> </w:t>
      </w:r>
    </w:p>
    <w:p w14:paraId="6430C0D9" w14:textId="77777777" w:rsidR="00B80139" w:rsidRPr="00B80139" w:rsidRDefault="00B80139" w:rsidP="00A4485E">
      <w:pPr>
        <w:pStyle w:val="Agreement4"/>
        <w:numPr>
          <w:ilvl w:val="0"/>
          <w:numId w:val="0"/>
        </w:numPr>
        <w:tabs>
          <w:tab w:val="left" w:pos="426"/>
        </w:tabs>
        <w:spacing w:before="120"/>
        <w:rPr>
          <w:rFonts w:cs="Arial"/>
          <w:lang w:eastAsia="en-GB"/>
        </w:rPr>
      </w:pPr>
      <w:r>
        <w:t xml:space="preserve">The Fund may </w:t>
      </w:r>
      <w:r w:rsidR="00CB5EC6">
        <w:t xml:space="preserve">also invest </w:t>
      </w:r>
      <w:r>
        <w:t xml:space="preserve">in cash and cash equivalents, including but not limited to, </w:t>
      </w:r>
      <w:r w:rsidRPr="00791D11">
        <w:t>short-term fixed income securities including commercial paper (i.e. investment grade short-term paper issued by credit institutions) and money market obligations such as short and medium-term treasury bills and treasury notes (both fixed and floating rate), certificates of d</w:t>
      </w:r>
      <w:r>
        <w:t>eposit and bankers’ acceptances. The Fund may hold up to 100% of its Net Asset Value in cash at any one time, depending on market conditions</w:t>
      </w:r>
      <w:r w:rsidR="00E02B88">
        <w:t xml:space="preserve"> </w:t>
      </w:r>
      <w:r w:rsidR="00780709">
        <w:t>and p</w:t>
      </w:r>
      <w:r w:rsidR="00E02B88">
        <w:t>ending investment opportunities</w:t>
      </w:r>
      <w:r>
        <w:t>.</w:t>
      </w:r>
    </w:p>
    <w:p w14:paraId="3D632843" w14:textId="77777777" w:rsidR="0077068C" w:rsidRPr="002D663A" w:rsidRDefault="0077068C" w:rsidP="00A4485E">
      <w:pPr>
        <w:pStyle w:val="Agreement3"/>
        <w:keepNext/>
        <w:spacing w:before="120"/>
        <w:ind w:left="720"/>
      </w:pPr>
      <w:r w:rsidRPr="00FC4A9A">
        <w:rPr>
          <w:b/>
        </w:rPr>
        <w:t>Investment Strategy</w:t>
      </w:r>
    </w:p>
    <w:p w14:paraId="200C6D9B" w14:textId="77777777" w:rsidR="002D663A" w:rsidRDefault="002D663A" w:rsidP="00A4485E">
      <w:pPr>
        <w:pStyle w:val="Agreement3"/>
        <w:numPr>
          <w:ilvl w:val="0"/>
          <w:numId w:val="0"/>
        </w:numPr>
        <w:spacing w:before="120"/>
      </w:pPr>
      <w:r>
        <w:t xml:space="preserve">The </w:t>
      </w:r>
      <w:r w:rsidR="008960B8">
        <w:t xml:space="preserve">Investment Manager </w:t>
      </w:r>
      <w:r>
        <w:t xml:space="preserve">will </w:t>
      </w:r>
      <w:r w:rsidR="008960B8">
        <w:t>invest in</w:t>
      </w:r>
      <w:r>
        <w:t xml:space="preserve"> the asset classes described above (or a combination of asset classes) which </w:t>
      </w:r>
      <w:r w:rsidR="00256D5A">
        <w:t>it</w:t>
      </w:r>
      <w:r>
        <w:t xml:space="preserve"> considers will generat</w:t>
      </w:r>
      <w:r w:rsidR="00BB1084">
        <w:t>e</w:t>
      </w:r>
      <w:r>
        <w:t xml:space="preserve"> absolute returns. </w:t>
      </w:r>
      <w:r w:rsidR="00AE5522">
        <w:t xml:space="preserve">As </w:t>
      </w:r>
      <w:r w:rsidR="008F6F11">
        <w:t xml:space="preserve">described in the </w:t>
      </w:r>
      <w:r w:rsidR="00352591">
        <w:t>Investment</w:t>
      </w:r>
      <w:r w:rsidR="00450B80">
        <w:t xml:space="preserve"> Policies above (1) to (5), i</w:t>
      </w:r>
      <w:r w:rsidR="00AE5522">
        <w:t>t is expected that t</w:t>
      </w:r>
      <w:r>
        <w:t>h</w:t>
      </w:r>
      <w:r w:rsidR="0029746A">
        <w:t>e Fund will focus primarily on equities, with fixed income s</w:t>
      </w:r>
      <w:r>
        <w:t xml:space="preserve">ecurities </w:t>
      </w:r>
      <w:r w:rsidR="00F93835">
        <w:t>and</w:t>
      </w:r>
      <w:r w:rsidR="00917DBD">
        <w:t xml:space="preserve"> Cash </w:t>
      </w:r>
      <w:r w:rsidR="001D1B52">
        <w:t>Equivalents</w:t>
      </w:r>
      <w:r w:rsidR="00F93835">
        <w:t xml:space="preserve"> </w:t>
      </w:r>
      <w:r>
        <w:t>principally used to mitigate the Fund’s exposure to market risk.</w:t>
      </w:r>
    </w:p>
    <w:p w14:paraId="17D58FEE" w14:textId="77777777" w:rsidR="00256D5A" w:rsidRDefault="00256D5A" w:rsidP="00A4485E">
      <w:pPr>
        <w:spacing w:before="120"/>
      </w:pPr>
      <w:r>
        <w:t>The equity portfolio will be diversified across sectors, avoiding over-concentration in any single sector</w:t>
      </w:r>
      <w:r w:rsidR="00B031DA">
        <w:t xml:space="preserve"> or issuer.  The composition of the </w:t>
      </w:r>
      <w:r>
        <w:t>Fund’s portfolio will be reviewed regularly and changed when appropriate and in accordance with its investment objective, policies and restrictions.</w:t>
      </w:r>
    </w:p>
    <w:p w14:paraId="76FF4EE9" w14:textId="77777777" w:rsidR="00061C64" w:rsidRDefault="00256D5A" w:rsidP="00A4485E">
      <w:pPr>
        <w:pStyle w:val="Agreement3"/>
        <w:numPr>
          <w:ilvl w:val="0"/>
          <w:numId w:val="0"/>
        </w:numPr>
        <w:spacing w:before="120"/>
      </w:pPr>
      <w:r>
        <w:t xml:space="preserve">In managing the portfolio, the </w:t>
      </w:r>
      <w:r w:rsidR="002D663A">
        <w:t>Investment Manager seeks to exploit market inefficiencies by employing</w:t>
      </w:r>
      <w:r>
        <w:t xml:space="preserve"> both fundamental </w:t>
      </w:r>
      <w:r w:rsidR="00F93835">
        <w:t xml:space="preserve">(i.e. bottom up analysis in respect of the relevant </w:t>
      </w:r>
      <w:r w:rsidR="00F15D07">
        <w:t>equity</w:t>
      </w:r>
      <w:r w:rsidR="00F93835">
        <w:t xml:space="preserve"> securities) </w:t>
      </w:r>
      <w:r>
        <w:t>and</w:t>
      </w:r>
      <w:r w:rsidR="002D663A">
        <w:t xml:space="preserve"> quantitative </w:t>
      </w:r>
      <w:r w:rsidR="00F93835">
        <w:t xml:space="preserve">(i.e. statistical or mathematical analysis to identify anomalies or investment opportunities in such equity securities) </w:t>
      </w:r>
      <w:r w:rsidR="002D663A">
        <w:t xml:space="preserve">research to identify </w:t>
      </w:r>
      <w:r w:rsidR="00C329D4">
        <w:t xml:space="preserve">value gaps between the underlying Company's stated intrinsic value and the market price of </w:t>
      </w:r>
      <w:r w:rsidR="007474C5">
        <w:t>s</w:t>
      </w:r>
      <w:r w:rsidR="00B031DA">
        <w:t>uch c</w:t>
      </w:r>
      <w:r w:rsidR="00C329D4">
        <w:t>ompan</w:t>
      </w:r>
      <w:r w:rsidR="007474C5">
        <w:t>ies</w:t>
      </w:r>
      <w:r w:rsidR="00C329D4">
        <w:t xml:space="preserve">. </w:t>
      </w:r>
    </w:p>
    <w:p w14:paraId="3B833C5A" w14:textId="77777777" w:rsidR="002D663A" w:rsidRDefault="002D663A" w:rsidP="00A4485E">
      <w:pPr>
        <w:pStyle w:val="Agreement3"/>
        <w:numPr>
          <w:ilvl w:val="0"/>
          <w:numId w:val="0"/>
        </w:numPr>
        <w:spacing w:before="120"/>
      </w:pPr>
      <w:r>
        <w:t>The Fund will seek to go long</w:t>
      </w:r>
      <w:r w:rsidR="00C329D4">
        <w:t xml:space="preserve"> on</w:t>
      </w:r>
      <w:r>
        <w:t xml:space="preserve"> securities which are </w:t>
      </w:r>
      <w:r w:rsidR="00C329D4">
        <w:t xml:space="preserve">identified by the Investment Manager as being </w:t>
      </w:r>
      <w:r>
        <w:t xml:space="preserve">undervalued and short </w:t>
      </w:r>
      <w:r w:rsidR="00C329D4">
        <w:t xml:space="preserve">on </w:t>
      </w:r>
      <w:r w:rsidR="00811D00">
        <w:t xml:space="preserve">equity </w:t>
      </w:r>
      <w:r>
        <w:t>securities which are</w:t>
      </w:r>
      <w:r w:rsidR="00114C04">
        <w:t xml:space="preserve"> </w:t>
      </w:r>
      <w:r>
        <w:t>overvalued.</w:t>
      </w:r>
    </w:p>
    <w:p w14:paraId="34AF1E57" w14:textId="77777777" w:rsidR="00061C64" w:rsidRDefault="00F93835" w:rsidP="00A4485E">
      <w:pPr>
        <w:pStyle w:val="Agreement3"/>
        <w:numPr>
          <w:ilvl w:val="0"/>
          <w:numId w:val="0"/>
        </w:numPr>
        <w:spacing w:before="120"/>
      </w:pPr>
      <w:r>
        <w:t>G</w:t>
      </w:r>
      <w:r w:rsidR="002D663A">
        <w:t>lobal equity securities from listed and/ or recognised exchanges will be assessed</w:t>
      </w:r>
      <w:r>
        <w:t xml:space="preserve"> using such fundamental and </w:t>
      </w:r>
      <w:r w:rsidR="00F15D07">
        <w:t>qua</w:t>
      </w:r>
      <w:r w:rsidR="00F3736F">
        <w:t>n</w:t>
      </w:r>
      <w:r w:rsidR="00F15D07">
        <w:t>t</w:t>
      </w:r>
      <w:r w:rsidR="00F3736F">
        <w:t>it</w:t>
      </w:r>
      <w:r w:rsidR="00F15D07">
        <w:t>ative</w:t>
      </w:r>
      <w:r>
        <w:t xml:space="preserve"> research</w:t>
      </w:r>
      <w:r w:rsidR="002D663A">
        <w:t>, and long positions taken in the stocks determined mo</w:t>
      </w:r>
      <w:r w:rsidR="00E02B88">
        <w:t>st likely to deliver a positive</w:t>
      </w:r>
      <w:r w:rsidR="002D663A">
        <w:t xml:space="preserve"> return, and short positions taken in the stocks determined most likely to deliv</w:t>
      </w:r>
      <w:r w:rsidR="00B031DA">
        <w:t xml:space="preserve">er a negative return. </w:t>
      </w:r>
    </w:p>
    <w:p w14:paraId="3D2BBAAF" w14:textId="77777777" w:rsidR="001403CD" w:rsidRDefault="002D663A" w:rsidP="00A4485E">
      <w:pPr>
        <w:pStyle w:val="Agreement3"/>
        <w:numPr>
          <w:ilvl w:val="0"/>
          <w:numId w:val="0"/>
        </w:numPr>
        <w:spacing w:before="120"/>
      </w:pPr>
      <w:r>
        <w:t>Investments can be made directly by purchasing physical holdings and/or indirectly by entering into financial derivative instruments</w:t>
      </w:r>
      <w:r w:rsidRPr="0085556B">
        <w:t xml:space="preserve">. </w:t>
      </w:r>
    </w:p>
    <w:p w14:paraId="51A5A590" w14:textId="77777777" w:rsidR="008F6F11" w:rsidRDefault="008F6F11" w:rsidP="00A4485E">
      <w:pPr>
        <w:pStyle w:val="ListParagraph"/>
        <w:spacing w:before="120"/>
        <w:ind w:left="0"/>
        <w:contextualSpacing w:val="0"/>
      </w:pPr>
      <w:r w:rsidRPr="008F6F11">
        <w:lastRenderedPageBreak/>
        <w:t>The investment process focuses equally on managing risk and generating returns, at all times seeking to create a diversified portfolio of assets. Positions will be scaled according to a security’s market impact (size, liquidity and volatility) to ensure that appropriate risk adjusted positions are taken within the Fund. Positions will be monitored regularly and assessed against geographic and sector exposures by the Investment Manager.</w:t>
      </w:r>
    </w:p>
    <w:p w14:paraId="19A1CFE9" w14:textId="77777777" w:rsidR="00B031DA" w:rsidRPr="009441FF" w:rsidRDefault="0077068C" w:rsidP="00A4485E">
      <w:pPr>
        <w:pStyle w:val="Agreement2"/>
        <w:keepNext/>
        <w:spacing w:before="120"/>
        <w:rPr>
          <w:b/>
        </w:rPr>
      </w:pPr>
      <w:r w:rsidRPr="009441FF">
        <w:rPr>
          <w:b/>
        </w:rPr>
        <w:t>Use of Derivatives and Efficient Portfolio Management Techniques</w:t>
      </w:r>
      <w:r w:rsidR="00B031DA" w:rsidRPr="009441FF">
        <w:t xml:space="preserve"> </w:t>
      </w:r>
    </w:p>
    <w:p w14:paraId="6FB1CEF2" w14:textId="77777777" w:rsidR="0077068C" w:rsidRPr="001161AF" w:rsidRDefault="0077068C" w:rsidP="00A4485E">
      <w:pPr>
        <w:spacing w:before="120"/>
      </w:pPr>
      <w:r w:rsidRPr="001161AF">
        <w:t xml:space="preserve">The Fund may engage in transactions in FDI for the purposes of </w:t>
      </w:r>
      <w:r>
        <w:t xml:space="preserve">investment, </w:t>
      </w:r>
      <w:r w:rsidRPr="001161AF">
        <w:t xml:space="preserve">efficient portfolio management and/or to protect against </w:t>
      </w:r>
      <w:r w:rsidR="00D06719">
        <w:t xml:space="preserve">currency </w:t>
      </w:r>
      <w:r w:rsidRPr="001161AF">
        <w:t xml:space="preserve">exchange risks within the conditions and limits laid down by the Central Bank from time to time. The Investment Manager will look to ensure that the techniques and instruments used are economically appropriate in that they will be realised in a cost-effective way. </w:t>
      </w:r>
    </w:p>
    <w:p w14:paraId="135D1EB1" w14:textId="77777777" w:rsidR="0077068C" w:rsidRPr="001161AF" w:rsidRDefault="0077068C" w:rsidP="00A4485E">
      <w:pPr>
        <w:pStyle w:val="BodyTextIndent"/>
        <w:keepNext/>
        <w:ind w:left="0"/>
        <w:rPr>
          <w:i/>
        </w:rPr>
      </w:pPr>
      <w:r w:rsidRPr="001161AF">
        <w:rPr>
          <w:i/>
        </w:rPr>
        <w:t>Options</w:t>
      </w:r>
    </w:p>
    <w:p w14:paraId="766F1AAE" w14:textId="77777777" w:rsidR="0077068C" w:rsidRDefault="0077068C" w:rsidP="00A4485E">
      <w:pPr>
        <w:pStyle w:val="BodyTextIndent"/>
        <w:ind w:left="0"/>
      </w:pPr>
      <w:r w:rsidRPr="00046ECC">
        <w:t>The Fund may purchase and sell put and call exchange traded options or may enter into options traded OTC. The Fund may use options on assets in lieu of purchasing and selling the underlying assets. The Fund may purchase and sell put and call options on equity</w:t>
      </w:r>
      <w:r w:rsidR="008B7C95">
        <w:t xml:space="preserve"> securities</w:t>
      </w:r>
      <w:r w:rsidR="00D6704D">
        <w:t xml:space="preserve"> </w:t>
      </w:r>
      <w:r w:rsidRPr="00046ECC">
        <w:t xml:space="preserve">and </w:t>
      </w:r>
      <w:r>
        <w:t>fixed income securities</w:t>
      </w:r>
      <w:r w:rsidR="00B62881">
        <w:t xml:space="preserve"> and</w:t>
      </w:r>
      <w:r>
        <w:t xml:space="preserve"> eligible </w:t>
      </w:r>
      <w:r w:rsidR="00923CB5">
        <w:t xml:space="preserve">equity </w:t>
      </w:r>
      <w:r>
        <w:t>indices</w:t>
      </w:r>
      <w:r w:rsidRPr="00046ECC">
        <w:t xml:space="preserve"> for investment purposes.</w:t>
      </w:r>
      <w:r w:rsidR="00923CB5">
        <w:t xml:space="preserve">  </w:t>
      </w:r>
    </w:p>
    <w:p w14:paraId="1F5F6FC3" w14:textId="77777777" w:rsidR="00B62881" w:rsidRPr="00F3736F" w:rsidRDefault="00F15D07" w:rsidP="00A4485E">
      <w:pPr>
        <w:pStyle w:val="BodyTextIndent"/>
        <w:ind w:left="0"/>
      </w:pPr>
      <w:r w:rsidRPr="00F3736F">
        <w:t>Currency</w:t>
      </w:r>
      <w:r w:rsidR="00B62881" w:rsidRPr="00F3736F">
        <w:t xml:space="preserve"> </w:t>
      </w:r>
      <w:r w:rsidRPr="00F3736F">
        <w:t>options</w:t>
      </w:r>
      <w:r w:rsidR="00B62881" w:rsidRPr="00F3736F">
        <w:t xml:space="preserve"> may be used to hedge against currency</w:t>
      </w:r>
      <w:r w:rsidR="0085556B">
        <w:t xml:space="preserve"> fluctuations in the portfolio.</w:t>
      </w:r>
    </w:p>
    <w:p w14:paraId="2B4F4AB5" w14:textId="77777777" w:rsidR="0077068C" w:rsidRDefault="0077068C" w:rsidP="00A4485E">
      <w:pPr>
        <w:pStyle w:val="BodyTextIndent"/>
        <w:ind w:left="0"/>
      </w:pPr>
      <w:r w:rsidRPr="00046ECC">
        <w:t xml:space="preserve">For example: (i) put options and index put options may be purchased to provide an efficient, liquid and effective mechanism for "locking in" gains and/or to protect against future declines in value on securities that it owns; </w:t>
      </w:r>
      <w:r w:rsidR="00B62881">
        <w:t xml:space="preserve">and </w:t>
      </w:r>
      <w:r w:rsidRPr="00046ECC">
        <w:t>(ii) call options and index call options may be purchased to provide an efficient, liquid and effective mechanism for taking positions in securities</w:t>
      </w:r>
      <w:r>
        <w:t>.</w:t>
      </w:r>
    </w:p>
    <w:p w14:paraId="1BF1C471" w14:textId="77777777" w:rsidR="0077068C" w:rsidRDefault="0077068C" w:rsidP="00A4485E">
      <w:pPr>
        <w:pStyle w:val="BodyTextIndent"/>
        <w:ind w:left="0"/>
      </w:pPr>
      <w:r w:rsidRPr="00046ECC">
        <w:t xml:space="preserve">The purpose behind the purchase of put options by the Fund is to hedge against a decrease in the market generally or to hedge against a decrease in the price of particular securities or other assets held by the Fund. The purpose behind the purchase of call options by the Fund is to provide exposure to increases in the market or to hedge against an increase in the price of securities or other assets that the Fund intends to purchase at a later date. The purpose behind the Fund selling (or writing) covered call options is typically to generate increased returns from the reference underlying asset. </w:t>
      </w:r>
    </w:p>
    <w:p w14:paraId="2509EFDB" w14:textId="77777777" w:rsidR="0077068C" w:rsidRPr="001161AF" w:rsidRDefault="0077068C" w:rsidP="00A4485E">
      <w:pPr>
        <w:pStyle w:val="BodyTextIndent"/>
        <w:keepNext/>
        <w:ind w:left="0"/>
        <w:rPr>
          <w:i/>
        </w:rPr>
      </w:pPr>
      <w:r w:rsidRPr="001161AF">
        <w:rPr>
          <w:i/>
        </w:rPr>
        <w:t>Forwards</w:t>
      </w:r>
    </w:p>
    <w:p w14:paraId="09435F02" w14:textId="77777777" w:rsidR="0077068C" w:rsidRDefault="0077068C" w:rsidP="00A4485E">
      <w:pPr>
        <w:spacing w:before="120"/>
      </w:pPr>
      <w:r w:rsidRPr="001161AF">
        <w:t xml:space="preserve">Forward currency contracts could be used to hedge against currency risk that has resulted from assets held by the Fund that are not in the Base Currency. </w:t>
      </w:r>
      <w:r w:rsidRPr="00DA416E">
        <w:t>The Fund, may, for example, use forward currency contracts by selling forward a foreign currency against the Base Currency to protect the Fund from foreign exchange rate risk that has arisen from holding assets in that currency.</w:t>
      </w:r>
      <w:r>
        <w:t xml:space="preserve"> </w:t>
      </w:r>
    </w:p>
    <w:p w14:paraId="78A076E9" w14:textId="77777777" w:rsidR="0077068C" w:rsidRPr="00C76E69" w:rsidRDefault="0077068C" w:rsidP="00A4485E">
      <w:pPr>
        <w:pStyle w:val="BodyTextIndent"/>
        <w:keepNext/>
        <w:ind w:left="0"/>
        <w:rPr>
          <w:i/>
        </w:rPr>
      </w:pPr>
      <w:r w:rsidRPr="00C76E69">
        <w:rPr>
          <w:i/>
        </w:rPr>
        <w:t xml:space="preserve">Futures </w:t>
      </w:r>
    </w:p>
    <w:p w14:paraId="3EFEC8C6" w14:textId="77777777" w:rsidR="0077068C" w:rsidRPr="00046ECC" w:rsidRDefault="0077068C" w:rsidP="00A4485E">
      <w:pPr>
        <w:pStyle w:val="BodyTextIndent"/>
        <w:ind w:left="0"/>
      </w:pPr>
      <w:r w:rsidRPr="00046ECC">
        <w:t>A futures contract is an agreement between two parties to buy or sell a specified quantity of the financial instrument called for in the contract at a pre-determined price in the future. Futures can be cash settled as well as physically settled.</w:t>
      </w:r>
    </w:p>
    <w:p w14:paraId="4F691EC8" w14:textId="77777777" w:rsidR="0077068C" w:rsidRDefault="0077068C" w:rsidP="00A4485E">
      <w:pPr>
        <w:pStyle w:val="BodyTextIndent"/>
        <w:ind w:left="0"/>
      </w:pPr>
      <w:r w:rsidRPr="00046ECC">
        <w:t>For example: currency futures may be utilised to hedge against a possible increase in the price of a currency in which securities the Fund anticipates purchasing is denomin</w:t>
      </w:r>
      <w:r>
        <w:t xml:space="preserve">ated. </w:t>
      </w:r>
    </w:p>
    <w:p w14:paraId="0ECECA1B" w14:textId="77777777" w:rsidR="0077068C" w:rsidRDefault="0077068C" w:rsidP="00A4485E">
      <w:pPr>
        <w:pStyle w:val="BodyTextIndent"/>
        <w:ind w:left="0"/>
      </w:pPr>
      <w:r w:rsidRPr="00046ECC">
        <w:t>The purchase of futures contracts can serve as a long hedge and the sale of futures contracts can serve as a limited short hedge. Futures contracts allow the Fund to hedge against market risk or gain exposure to the underlying market. Since these contracts are marked-to-market daily, the Fund can, by closing out its position, exit from its obligation to buy or sell the underlying assets prior to the contract's delivery date</w:t>
      </w:r>
      <w:r w:rsidR="003C6BA2">
        <w:t xml:space="preserve">. </w:t>
      </w:r>
    </w:p>
    <w:p w14:paraId="2E2C336B" w14:textId="77777777" w:rsidR="0077068C" w:rsidRDefault="0077068C" w:rsidP="00C62DCE">
      <w:pPr>
        <w:keepNext/>
        <w:keepLines/>
        <w:widowControl w:val="0"/>
        <w:spacing w:before="120"/>
        <w:rPr>
          <w:rFonts w:eastAsia="MS Mincho" w:cs="Arial"/>
          <w:bCs/>
          <w:i/>
          <w:lang w:val="en-US" w:eastAsia="ja-JP"/>
        </w:rPr>
      </w:pPr>
      <w:r w:rsidRPr="00305116">
        <w:rPr>
          <w:rFonts w:eastAsia="MS Mincho" w:cs="Arial"/>
          <w:bCs/>
          <w:i/>
          <w:lang w:val="en-US" w:eastAsia="ja-JP"/>
        </w:rPr>
        <w:lastRenderedPageBreak/>
        <w:t xml:space="preserve">Swaps </w:t>
      </w:r>
    </w:p>
    <w:p w14:paraId="70BD5FE4" w14:textId="77777777" w:rsidR="0077068C" w:rsidRPr="00F85729" w:rsidRDefault="0077068C" w:rsidP="00C62DCE">
      <w:pPr>
        <w:pStyle w:val="BodyTextIndent"/>
        <w:keepLines/>
        <w:ind w:left="0"/>
      </w:pPr>
      <w:r w:rsidRPr="00F85729">
        <w:t xml:space="preserve">Currency swaps are agreements between two parties to exchange future payments in one currency for payments in another currency. These agreements are used to transform the currency denomination of assets and liabilities. Unlike interest rate swaps, currency swaps must include an exchange of principal at maturity. </w:t>
      </w:r>
    </w:p>
    <w:p w14:paraId="2C14ADBB" w14:textId="77777777" w:rsidR="0077068C" w:rsidRPr="00F85729" w:rsidRDefault="0077068C" w:rsidP="00A4485E">
      <w:pPr>
        <w:pStyle w:val="BodyTextIndent"/>
        <w:ind w:left="0"/>
      </w:pPr>
      <w:r w:rsidRPr="00F85729">
        <w:t>Swaps are entered into for various reasons. Currency swaps can be used to transform the exposure to one currency against the exposure to another currency. This can be done for hedging purposes as well as gaining exposure to another currency. Equity swaps are typically entered into for gaining exposure to certain reference assets in order to avoid transaction costs (including tax), to avoid locally based dividend taxes. They can also be used for hedging purposes.</w:t>
      </w:r>
    </w:p>
    <w:p w14:paraId="3059BB2C" w14:textId="77777777" w:rsidR="0077068C" w:rsidRPr="0012024E" w:rsidRDefault="0077068C" w:rsidP="00A4485E">
      <w:pPr>
        <w:keepNext/>
        <w:widowControl w:val="0"/>
        <w:spacing w:before="120"/>
        <w:rPr>
          <w:rFonts w:eastAsia="MS Mincho" w:cs="Arial"/>
          <w:bCs/>
          <w:i/>
          <w:lang w:val="en-US" w:eastAsia="ja-JP"/>
        </w:rPr>
      </w:pPr>
      <w:r>
        <w:rPr>
          <w:rFonts w:eastAsia="MS Mincho" w:cs="Arial"/>
          <w:bCs/>
          <w:i/>
          <w:lang w:val="en-US" w:eastAsia="ja-JP"/>
        </w:rPr>
        <w:t>Contract for difference</w:t>
      </w:r>
    </w:p>
    <w:p w14:paraId="7D6E5176" w14:textId="77777777" w:rsidR="0077068C" w:rsidRDefault="0077068C" w:rsidP="00A4485E">
      <w:pPr>
        <w:spacing w:before="120"/>
      </w:pPr>
      <w:r w:rsidRPr="00F276DE">
        <w:t>A contract for difference</w:t>
      </w:r>
      <w:r>
        <w:t xml:space="preserve"> ("</w:t>
      </w:r>
      <w:r w:rsidRPr="00DB26B4">
        <w:rPr>
          <w:b/>
        </w:rPr>
        <w:t>CFD</w:t>
      </w:r>
      <w:r>
        <w:t xml:space="preserve">") </w:t>
      </w:r>
      <w:r w:rsidRPr="00F276DE">
        <w:t>is a contract the object of which is to secure a profit or avoid a loss by reference to fluctuations in the value or price of equities or in an index of such equities.</w:t>
      </w:r>
    </w:p>
    <w:p w14:paraId="0C380AD7" w14:textId="77777777" w:rsidR="0077068C" w:rsidRDefault="0077068C" w:rsidP="00A4485E">
      <w:pPr>
        <w:widowControl w:val="0"/>
        <w:spacing w:before="120"/>
        <w:rPr>
          <w:rFonts w:eastAsia="MS Mincho" w:cs="Arial"/>
          <w:bCs/>
          <w:lang w:val="en-US" w:eastAsia="ja-JP"/>
        </w:rPr>
      </w:pPr>
      <w:r w:rsidRPr="00852B62">
        <w:rPr>
          <w:rFonts w:eastAsia="MS Mincho" w:cs="Arial"/>
          <w:bCs/>
          <w:lang w:val="en-US" w:eastAsia="ja-JP"/>
        </w:rPr>
        <w:t>CFDs are synthetic instruments which mirror the profit (or loss) effect of holding (or selling) securities directly without buying the actual securities themselves. A CFD on a company’s shares will specify the price of the shares when the contract was started. The contract is an agreement to pay out cash on the difference between the starting share price and the share price when the contract is closed.  Accordingly, under such an instrument the Fund will make a profit if it has a purchase position and the price of the underlying security rises (and make a loss if the price of the underlying</w:t>
      </w:r>
      <w:r>
        <w:rPr>
          <w:rFonts w:eastAsia="MS Mincho" w:cs="Arial"/>
          <w:bCs/>
          <w:lang w:val="en-US" w:eastAsia="ja-JP"/>
        </w:rPr>
        <w:t xml:space="preserve"> </w:t>
      </w:r>
      <w:r w:rsidRPr="00852B62">
        <w:rPr>
          <w:rFonts w:eastAsia="MS Mincho" w:cs="Arial"/>
          <w:bCs/>
          <w:lang w:val="en-US" w:eastAsia="ja-JP"/>
        </w:rPr>
        <w:t>security falls). Conversely if the Fund has a sale position, it will make a profit if the price of the underlying security falls (and make a loss if the price of the underlying security rises). As part of the</w:t>
      </w:r>
      <w:r>
        <w:rPr>
          <w:rFonts w:eastAsia="MS Mincho" w:cs="Arial"/>
          <w:bCs/>
          <w:lang w:val="en-US" w:eastAsia="ja-JP"/>
        </w:rPr>
        <w:t xml:space="preserve"> </w:t>
      </w:r>
      <w:r w:rsidRPr="00852B62">
        <w:rPr>
          <w:rFonts w:eastAsia="MS Mincho" w:cs="Arial"/>
          <w:bCs/>
          <w:lang w:val="en-US" w:eastAsia="ja-JP"/>
        </w:rPr>
        <w:t>normal market terms of trade the Fund must comply with market participants’ terms and conditions</w:t>
      </w:r>
      <w:r>
        <w:rPr>
          <w:rFonts w:eastAsia="MS Mincho" w:cs="Arial"/>
          <w:bCs/>
          <w:lang w:val="en-US" w:eastAsia="ja-JP"/>
        </w:rPr>
        <w:t xml:space="preserve"> </w:t>
      </w:r>
      <w:r w:rsidRPr="00852B62">
        <w:rPr>
          <w:rFonts w:eastAsia="MS Mincho" w:cs="Arial"/>
          <w:bCs/>
          <w:lang w:val="en-US" w:eastAsia="ja-JP"/>
        </w:rPr>
        <w:t>and in particular initial margin has to be paid to cover potential losses (on set up) and variation margin</w:t>
      </w:r>
      <w:r>
        <w:rPr>
          <w:rFonts w:eastAsia="MS Mincho" w:cs="Arial"/>
          <w:bCs/>
          <w:lang w:val="en-US" w:eastAsia="ja-JP"/>
        </w:rPr>
        <w:t xml:space="preserve"> </w:t>
      </w:r>
      <w:r w:rsidRPr="00852B62">
        <w:rPr>
          <w:rFonts w:eastAsia="MS Mincho" w:cs="Arial"/>
          <w:bCs/>
          <w:lang w:val="en-US" w:eastAsia="ja-JP"/>
        </w:rPr>
        <w:t>on adverse price movements (during the term of the CFD).</w:t>
      </w:r>
    </w:p>
    <w:p w14:paraId="5D048E08" w14:textId="77777777" w:rsidR="0077068C" w:rsidRDefault="0077068C" w:rsidP="00A4485E">
      <w:pPr>
        <w:numPr>
          <w:ilvl w:val="1"/>
          <w:numId w:val="0"/>
        </w:numPr>
        <w:spacing w:before="120"/>
      </w:pPr>
      <w:r w:rsidRPr="00305891">
        <w:t xml:space="preserve">The Fund may use </w:t>
      </w:r>
      <w:r>
        <w:t>CFDs</w:t>
      </w:r>
      <w:r w:rsidRPr="00305891">
        <w:t xml:space="preserve"> </w:t>
      </w:r>
      <w:r>
        <w:t xml:space="preserve">and apply these to certain types of assets held by the Fund. </w:t>
      </w:r>
      <w:r w:rsidRPr="000C6B97">
        <w:t xml:space="preserve">The rationale for the use of </w:t>
      </w:r>
      <w:r>
        <w:t xml:space="preserve">CFDs is </w:t>
      </w:r>
      <w:r w:rsidR="00C85B5F" w:rsidRPr="00C85B5F">
        <w:t>set out below.</w:t>
      </w:r>
      <w:r w:rsidR="00C85B5F">
        <w:rPr>
          <w:b/>
        </w:rPr>
        <w:t xml:space="preserve"> </w:t>
      </w:r>
      <w:r w:rsidRPr="000C6B97">
        <w:t xml:space="preserve">There is no restriction on the proportion of assets that may be subject to </w:t>
      </w:r>
      <w:r>
        <w:t>CFDs</w:t>
      </w:r>
      <w:r w:rsidR="00C85B5F" w:rsidRPr="001651D5">
        <w:rPr>
          <w:bCs/>
        </w:rPr>
        <w:t xml:space="preserve">. </w:t>
      </w:r>
      <w:r w:rsidR="00C85B5F">
        <w:t xml:space="preserve">In any case the most recent </w:t>
      </w:r>
      <w:r w:rsidRPr="000C6B97">
        <w:t>semi-annual and ann</w:t>
      </w:r>
      <w:r w:rsidR="00C85B5F">
        <w:t>ual report of the relevant Fund</w:t>
      </w:r>
      <w:r w:rsidRPr="000C6B97">
        <w:t xml:space="preserve"> will express as an absolute amount and as a percentage of the Fund's assets the amount of Fund assets subject to </w:t>
      </w:r>
      <w:r>
        <w:t>CFD</w:t>
      </w:r>
      <w:r w:rsidRPr="000C6B97">
        <w:t>.</w:t>
      </w:r>
    </w:p>
    <w:p w14:paraId="12C99E07" w14:textId="77777777" w:rsidR="0077068C" w:rsidRDefault="0077068C" w:rsidP="00A4485E">
      <w:pPr>
        <w:pStyle w:val="ListParagraph"/>
        <w:spacing w:before="120"/>
        <w:ind w:left="0"/>
        <w:contextualSpacing w:val="0"/>
      </w:pPr>
      <w:r w:rsidRPr="00C85B5F">
        <w:t xml:space="preserve">CFDs may be used either as a substitute for direct investment in the underlying equity security or as an alternative to and for the same purposes as futures and options, particularly in cases where there is no futures contract available in relation to a specific security, or where an index option or index future represents an inefficient method of gaining exposure because of pricing risk. Where the Investment Manager wishes to take short positions in equities, it may do so synthetically through the use of contracts for difference and options (including equity options). The use of equity futures will allow the Investment Manager to take positive and negative views on the direction of equity prices. For long exposures to equities, the Investment Manager will utilise equity derivatives where it considers that such instruments are the most appropriate or cost-effective means of accessing the relevant underlying equities. </w:t>
      </w:r>
    </w:p>
    <w:p w14:paraId="5BC03334" w14:textId="77777777" w:rsidR="0077068C" w:rsidRPr="00C76E69" w:rsidRDefault="0077068C" w:rsidP="00A4485E">
      <w:pPr>
        <w:pStyle w:val="BodyTextIndent"/>
        <w:keepNext/>
        <w:ind w:left="0"/>
        <w:rPr>
          <w:i/>
        </w:rPr>
      </w:pPr>
      <w:r w:rsidRPr="00C76E69">
        <w:rPr>
          <w:i/>
        </w:rPr>
        <w:t xml:space="preserve">Warrants </w:t>
      </w:r>
    </w:p>
    <w:p w14:paraId="777948B9" w14:textId="77777777" w:rsidR="0077068C" w:rsidRPr="00046ECC" w:rsidRDefault="0077068C" w:rsidP="00A4485E">
      <w:pPr>
        <w:pStyle w:val="BodyTextIndent"/>
        <w:ind w:left="0"/>
      </w:pPr>
      <w:r w:rsidRPr="00046ECC">
        <w:t xml:space="preserve">The Fund may use warrants to obtain exposure to, or acquire, the underlying equity or other securities of an issuer consistent with the Fund's investment policy. </w:t>
      </w:r>
    </w:p>
    <w:p w14:paraId="02E7E48F" w14:textId="77777777" w:rsidR="0077068C" w:rsidRPr="00975D2D" w:rsidRDefault="0077068C" w:rsidP="00A4485E">
      <w:pPr>
        <w:pStyle w:val="BodyTextIndent"/>
        <w:ind w:left="0"/>
      </w:pPr>
      <w:r w:rsidRPr="00046ECC">
        <w:t>For example: warrants may be used to obtain exposure to, or acquire, the underlying equity or</w:t>
      </w:r>
      <w:r>
        <w:t xml:space="preserve"> other securities of an issuer.</w:t>
      </w:r>
    </w:p>
    <w:p w14:paraId="15380576" w14:textId="77777777" w:rsidR="0077068C" w:rsidRPr="001161AF" w:rsidRDefault="0077068C" w:rsidP="00A4485E">
      <w:pPr>
        <w:spacing w:before="120"/>
      </w:pPr>
      <w:r w:rsidRPr="001161AF">
        <w:t xml:space="preserve">Direct and indirect operational costs and/or fees (which do not include hidden revenue) arising from use of FDIs for EPM purposes may be deducted from the revenue delivered to the Company. Such costs and/or fees are payable to the relevant counterparty to the FDI in question and such counterparty may or may not be related to the Investment Manager or the </w:t>
      </w:r>
      <w:r>
        <w:t>Depositary</w:t>
      </w:r>
      <w:r w:rsidRPr="001161AF">
        <w:t xml:space="preserve">. All revenues generated from such FDIs, net of direct and indirect operational costs, will be returned to the Company. </w:t>
      </w:r>
    </w:p>
    <w:p w14:paraId="21364C99" w14:textId="77777777" w:rsidR="0077068C" w:rsidRDefault="0077068C" w:rsidP="00A4485E">
      <w:pPr>
        <w:spacing w:before="120"/>
      </w:pPr>
      <w:r w:rsidRPr="001161AF">
        <w:lastRenderedPageBreak/>
        <w:t>Collateral or margin may be passed by the Fund to a counterparty or broker in respect of OTC FDI transaction</w:t>
      </w:r>
      <w:r>
        <w:t xml:space="preserve">s. </w:t>
      </w:r>
      <w:r w:rsidRPr="001161AF">
        <w:t>Please refer to the section of the Prospectus entitled "</w:t>
      </w:r>
      <w:r w:rsidRPr="002A3D0B">
        <w:rPr>
          <w:b/>
        </w:rPr>
        <w:t>Collateral Policy</w:t>
      </w:r>
      <w:r w:rsidRPr="001161AF">
        <w:t>" for further details.</w:t>
      </w:r>
    </w:p>
    <w:p w14:paraId="3B255410" w14:textId="77777777" w:rsidR="0005029E" w:rsidRPr="00976914" w:rsidRDefault="0005029E" w:rsidP="00A4485E">
      <w:pPr>
        <w:pStyle w:val="Agreement4"/>
        <w:numPr>
          <w:ilvl w:val="0"/>
          <w:numId w:val="0"/>
        </w:numPr>
        <w:spacing w:before="120"/>
      </w:pPr>
      <w:r>
        <w:t>Please refer to the section of the Prospectus entitled "</w:t>
      </w:r>
      <w:r>
        <w:rPr>
          <w:b/>
        </w:rPr>
        <w:t>Efficient Portfolio Management</w:t>
      </w:r>
      <w:r>
        <w:t>" for further details.</w:t>
      </w:r>
    </w:p>
    <w:p w14:paraId="2216B26C" w14:textId="77777777" w:rsidR="0077068C" w:rsidRPr="001161AF" w:rsidRDefault="0077068C" w:rsidP="00A4485E">
      <w:pPr>
        <w:spacing w:before="120"/>
      </w:pPr>
      <w:r w:rsidRPr="001161AF">
        <w:t>The use of FDI and efficient portfolio management techniques for the purposes outlined above will expose the Fund to the risks disclosed under the section of the Prospectus entitled "</w:t>
      </w:r>
      <w:r w:rsidRPr="002A3D0B">
        <w:rPr>
          <w:b/>
        </w:rPr>
        <w:t>Risk Factors</w:t>
      </w:r>
      <w:r w:rsidRPr="001161AF">
        <w:t>".</w:t>
      </w:r>
    </w:p>
    <w:p w14:paraId="5BC78D15" w14:textId="77777777" w:rsidR="0077068C" w:rsidRPr="00730C04" w:rsidRDefault="0077068C" w:rsidP="00A4485E">
      <w:pPr>
        <w:pStyle w:val="Agreement2"/>
        <w:keepNext/>
        <w:spacing w:before="120"/>
        <w:rPr>
          <w:b/>
        </w:rPr>
      </w:pPr>
      <w:r w:rsidRPr="00730C04">
        <w:rPr>
          <w:b/>
        </w:rPr>
        <w:t>Borrowing and Leverage</w:t>
      </w:r>
    </w:p>
    <w:p w14:paraId="117C5325" w14:textId="77777777" w:rsidR="0077068C" w:rsidRDefault="0077068C" w:rsidP="00A4485E">
      <w:pPr>
        <w:pStyle w:val="Agreement3"/>
        <w:keepNext/>
        <w:spacing w:before="120"/>
        <w:ind w:left="720"/>
      </w:pPr>
      <w:r>
        <w:t>Borrowing</w:t>
      </w:r>
    </w:p>
    <w:p w14:paraId="698E7739" w14:textId="77777777" w:rsidR="0077068C" w:rsidRDefault="0077068C" w:rsidP="00A4485E">
      <w:pPr>
        <w:pStyle w:val="BodyText"/>
      </w:pPr>
      <w:r>
        <w:t>The Company may only borrow on a temporary basis for the account of the Fund and the aggregate amount of such borrowings may not exceed 10% of the Net Asset Value of the Fund.  In accordance with the provisions of the Regulations, the Company may charge the assets of the Fund as security for borrowings of the Fund.</w:t>
      </w:r>
    </w:p>
    <w:p w14:paraId="1980BC2C" w14:textId="77777777" w:rsidR="0077068C" w:rsidRDefault="0077068C" w:rsidP="00A4485E">
      <w:pPr>
        <w:pStyle w:val="Agreement3"/>
        <w:keepNext/>
        <w:spacing w:before="120"/>
        <w:ind w:left="720"/>
      </w:pPr>
      <w:r>
        <w:t>Leverage</w:t>
      </w:r>
    </w:p>
    <w:p w14:paraId="7ABF9E20" w14:textId="77777777" w:rsidR="006E78E0" w:rsidRPr="006E78E0" w:rsidRDefault="0077068C" w:rsidP="006D294D">
      <w:pPr>
        <w:pStyle w:val="BodyText"/>
        <w:numPr>
          <w:ilvl w:val="0"/>
          <w:numId w:val="12"/>
        </w:numPr>
      </w:pPr>
      <w:r>
        <w:t>The Fund may utilise FDI as referred to in the section headed "</w:t>
      </w:r>
      <w:r w:rsidRPr="00561865">
        <w:rPr>
          <w:b/>
        </w:rPr>
        <w:t>Use of Derivatives and Efficient</w:t>
      </w:r>
      <w:r>
        <w:t xml:space="preserve"> </w:t>
      </w:r>
      <w:r w:rsidRPr="00561865">
        <w:rPr>
          <w:b/>
        </w:rPr>
        <w:t>Portfolio Management Techniques</w:t>
      </w:r>
      <w:r>
        <w:t xml:space="preserve">" above. </w:t>
      </w:r>
      <w:r w:rsidR="00917DBD">
        <w:t>T</w:t>
      </w:r>
      <w:r w:rsidR="006E78E0" w:rsidRPr="006E78E0">
        <w:t xml:space="preserve">he Fund will engage in FDI </w:t>
      </w:r>
      <w:r w:rsidR="00917DBD">
        <w:t xml:space="preserve">and </w:t>
      </w:r>
      <w:r w:rsidR="006E78E0" w:rsidRPr="006E78E0">
        <w:t>to the extent that the commitment approach does not adequately capture the global</w:t>
      </w:r>
      <w:r w:rsidR="006E78E0">
        <w:t xml:space="preserve"> exposure of the portfolio, </w:t>
      </w:r>
      <w:r w:rsidR="006E78E0" w:rsidRPr="006E78E0">
        <w:t>the Value at Risk (“</w:t>
      </w:r>
      <w:proofErr w:type="spellStart"/>
      <w:r w:rsidR="006E78E0" w:rsidRPr="0081283A">
        <w:rPr>
          <w:b/>
          <w:bCs/>
        </w:rPr>
        <w:t>VaR</w:t>
      </w:r>
      <w:proofErr w:type="spellEnd"/>
      <w:r w:rsidR="006E78E0" w:rsidRPr="006E78E0">
        <w:t>”) methodology</w:t>
      </w:r>
      <w:r w:rsidR="00917DBD">
        <w:t xml:space="preserve"> will be considered</w:t>
      </w:r>
      <w:r w:rsidR="006E78E0" w:rsidRPr="006E78E0">
        <w:t xml:space="preserve"> </w:t>
      </w:r>
      <w:r w:rsidR="00745BE9">
        <w:t>the</w:t>
      </w:r>
      <w:r w:rsidR="006E78E0" w:rsidRPr="006E78E0">
        <w:t xml:space="preserve"> appropriate methodology to calculate the Fund's global exposure and market risk, taking into account the investment objective and policies of the Fund and the complexity of the FDI used. </w:t>
      </w:r>
    </w:p>
    <w:p w14:paraId="24223008" w14:textId="77777777" w:rsidR="006E78E0" w:rsidRPr="006E78E0" w:rsidRDefault="006E78E0" w:rsidP="006D294D">
      <w:pPr>
        <w:pStyle w:val="BodyText"/>
        <w:numPr>
          <w:ilvl w:val="0"/>
          <w:numId w:val="12"/>
        </w:numPr>
      </w:pPr>
      <w:r w:rsidRPr="006E78E0">
        <w:t xml:space="preserve">The Fund will be leveraged as a result of its use of FDI and may therefore generate a notional exposure above 100 per cent of the Net Asset Value of the Fund when calculated using </w:t>
      </w:r>
      <w:proofErr w:type="spellStart"/>
      <w:r w:rsidRPr="006E78E0">
        <w:t>VaR</w:t>
      </w:r>
      <w:proofErr w:type="spellEnd"/>
      <w:r w:rsidRPr="006E78E0">
        <w:t xml:space="preserve"> methodology.  </w:t>
      </w:r>
      <w:proofErr w:type="spellStart"/>
      <w:r w:rsidRPr="006E78E0">
        <w:t>VaR</w:t>
      </w:r>
      <w:proofErr w:type="spellEnd"/>
      <w:r w:rsidRPr="006E78E0">
        <w:t xml:space="preserve"> is the advanced risk measurement methodology used to assess the Fund’s market risk. This leverage effect entails greater risk for investors. </w:t>
      </w:r>
    </w:p>
    <w:p w14:paraId="4E9966DE" w14:textId="77777777" w:rsidR="006E78E0" w:rsidRPr="006E78E0" w:rsidRDefault="006E78E0" w:rsidP="006D294D">
      <w:pPr>
        <w:pStyle w:val="BodyText"/>
        <w:numPr>
          <w:ilvl w:val="0"/>
          <w:numId w:val="12"/>
        </w:numPr>
      </w:pPr>
      <w:r w:rsidRPr="006E78E0">
        <w:t xml:space="preserve">Investors should be aware that </w:t>
      </w:r>
      <w:proofErr w:type="spellStart"/>
      <w:r w:rsidRPr="006E78E0">
        <w:t>VaR</w:t>
      </w:r>
      <w:proofErr w:type="spellEnd"/>
      <w:r w:rsidRPr="006E78E0">
        <w:t xml:space="preserve"> is a way of measuring the maximum potential loss at a given confidence level (probability) over a specific time period under normal market conditions. The Fund could however be exposed to losses which are much greater than envisaged by </w:t>
      </w:r>
      <w:proofErr w:type="spellStart"/>
      <w:r w:rsidRPr="006E78E0">
        <w:t>VaR</w:t>
      </w:r>
      <w:proofErr w:type="spellEnd"/>
      <w:r w:rsidRPr="006E78E0">
        <w:t xml:space="preserve">, more so under abnormal market conditions. It should be noted that </w:t>
      </w:r>
      <w:proofErr w:type="spellStart"/>
      <w:r w:rsidRPr="006E78E0">
        <w:t>VaR</w:t>
      </w:r>
      <w:proofErr w:type="spellEnd"/>
      <w:r w:rsidRPr="006E78E0">
        <w:t xml:space="preserve"> does not explicitly measure leverage; rather, </w:t>
      </w:r>
      <w:proofErr w:type="spellStart"/>
      <w:r w:rsidRPr="006E78E0">
        <w:t>VaR</w:t>
      </w:r>
      <w:proofErr w:type="spellEnd"/>
      <w:r w:rsidRPr="006E78E0">
        <w:t xml:space="preserve"> is a statistical risk measure and the actual loss of a particular transaction or to the Fund overall may materially exceed the loss indicated by the use of </w:t>
      </w:r>
      <w:proofErr w:type="spellStart"/>
      <w:r w:rsidRPr="006E78E0">
        <w:t>VaR.</w:t>
      </w:r>
      <w:proofErr w:type="spellEnd"/>
      <w:r w:rsidRPr="006E78E0">
        <w:t xml:space="preserve">  </w:t>
      </w:r>
    </w:p>
    <w:p w14:paraId="6E0C22D2" w14:textId="77777777" w:rsidR="006E78E0" w:rsidRPr="006E78E0" w:rsidRDefault="006E78E0" w:rsidP="00A4485E">
      <w:pPr>
        <w:pStyle w:val="BodyText"/>
      </w:pPr>
      <w:r w:rsidRPr="006E78E0">
        <w:t xml:space="preserve">The level of leverage (calculated as a sum of the notional exposure of FDI being utilised by the Fund) under normal circumstances is not expected to be more than </w:t>
      </w:r>
      <w:r w:rsidR="00745BE9">
        <w:t>125</w:t>
      </w:r>
      <w:r w:rsidR="00E01B61">
        <w:t>%</w:t>
      </w:r>
      <w:r w:rsidRPr="006E78E0">
        <w:t xml:space="preserve"> of the Net Asset Value of the Fund. It is possible that leverage may exceed this range and the Fund may be subject to higher leverage levels from time to time. The expected level of leverage range is calculated based on the sum of the absolute value of </w:t>
      </w:r>
      <w:proofErr w:type="spellStart"/>
      <w:r w:rsidRPr="006E78E0">
        <w:t>notionals</w:t>
      </w:r>
      <w:proofErr w:type="spellEnd"/>
      <w:r w:rsidRPr="006E78E0">
        <w:t xml:space="preserve"> of the derivatives used, in accordance with the Central Bank Rules. This figure does not take into account any netting and hedging arrangements that the Fund has in place at any time even though these netting and hedging arrangements are used for risk reduction purposes and is therefore not a risk-adjusted method of measuring leverage which means this figure is higher than it otherwise would be if such netting and hedging arrangements were taken into account. As these netting and hedging arrangements, if taken into account, may reduce the level of leverage, this calculation may not provide an accurate measure of the Fund’s actual leverage position. There are limitations in using </w:t>
      </w:r>
      <w:proofErr w:type="spellStart"/>
      <w:r w:rsidRPr="006E78E0">
        <w:t>VaR</w:t>
      </w:r>
      <w:proofErr w:type="spellEnd"/>
      <w:r w:rsidRPr="006E78E0">
        <w:t xml:space="preserve"> as a statistical measure of risk because it does not directly limit the level of leverage in the Fund and only describes the risk of loss in prevailing market conditions and would not capture future significant changes in volatility.</w:t>
      </w:r>
    </w:p>
    <w:p w14:paraId="62A0B9C3" w14:textId="77777777" w:rsidR="006E78E0" w:rsidRPr="006E78E0" w:rsidRDefault="006E78E0" w:rsidP="006D294D">
      <w:pPr>
        <w:pStyle w:val="BodyText"/>
        <w:keepNext/>
        <w:numPr>
          <w:ilvl w:val="0"/>
          <w:numId w:val="12"/>
        </w:numPr>
      </w:pPr>
      <w:r w:rsidRPr="006E78E0">
        <w:t xml:space="preserve">The Fund will use the absolute </w:t>
      </w:r>
      <w:proofErr w:type="spellStart"/>
      <w:r w:rsidRPr="006E78E0">
        <w:t>VaR</w:t>
      </w:r>
      <w:proofErr w:type="spellEnd"/>
      <w:r w:rsidRPr="006E78E0">
        <w:t xml:space="preserve"> model.</w:t>
      </w:r>
      <w:r w:rsidRPr="00DB7AB6">
        <w:t xml:space="preserve"> </w:t>
      </w:r>
      <w:r w:rsidRPr="006E78E0">
        <w:t xml:space="preserve">In applying the </w:t>
      </w:r>
      <w:proofErr w:type="spellStart"/>
      <w:r w:rsidRPr="006E78E0">
        <w:t>VaR</w:t>
      </w:r>
      <w:proofErr w:type="spellEnd"/>
      <w:r w:rsidRPr="006E78E0">
        <w:t xml:space="preserve"> model, the following quantitative standards are used:</w:t>
      </w:r>
    </w:p>
    <w:p w14:paraId="4B036833" w14:textId="77777777" w:rsidR="006E78E0" w:rsidRPr="006E78E0" w:rsidRDefault="006E78E0" w:rsidP="006D294D">
      <w:pPr>
        <w:pStyle w:val="BodyText"/>
        <w:numPr>
          <w:ilvl w:val="0"/>
          <w:numId w:val="13"/>
        </w:numPr>
      </w:pPr>
      <w:r w:rsidRPr="006E78E0">
        <w:t>the ‘one-tailed’ confidence level is 99%;</w:t>
      </w:r>
    </w:p>
    <w:p w14:paraId="5CC137C1" w14:textId="77777777" w:rsidR="006E78E0" w:rsidRPr="006E78E0" w:rsidRDefault="006E78E0" w:rsidP="006D294D">
      <w:pPr>
        <w:pStyle w:val="BodyText"/>
        <w:numPr>
          <w:ilvl w:val="0"/>
          <w:numId w:val="13"/>
        </w:numPr>
      </w:pPr>
      <w:r w:rsidRPr="006E78E0">
        <w:t>the holding period is 20 days; and</w:t>
      </w:r>
    </w:p>
    <w:p w14:paraId="7B84CF09" w14:textId="77777777" w:rsidR="006E78E0" w:rsidRPr="006E78E0" w:rsidRDefault="006E78E0" w:rsidP="006D294D">
      <w:pPr>
        <w:pStyle w:val="BodyText"/>
        <w:numPr>
          <w:ilvl w:val="0"/>
          <w:numId w:val="13"/>
        </w:numPr>
      </w:pPr>
      <w:r w:rsidRPr="006E78E0">
        <w:t>the historical observation period is longer than one year.</w:t>
      </w:r>
    </w:p>
    <w:p w14:paraId="31078A00" w14:textId="77777777" w:rsidR="006E78E0" w:rsidRPr="006E78E0" w:rsidRDefault="006E78E0" w:rsidP="006D294D">
      <w:pPr>
        <w:pStyle w:val="BodyText"/>
        <w:numPr>
          <w:ilvl w:val="0"/>
          <w:numId w:val="12"/>
        </w:numPr>
      </w:pPr>
      <w:r w:rsidRPr="006E78E0">
        <w:lastRenderedPageBreak/>
        <w:t xml:space="preserve">The </w:t>
      </w:r>
      <w:proofErr w:type="spellStart"/>
      <w:r w:rsidRPr="006E78E0">
        <w:t>VaR</w:t>
      </w:r>
      <w:proofErr w:type="spellEnd"/>
      <w:r w:rsidRPr="006E78E0">
        <w:t xml:space="preserve"> shall not exceed 20</w:t>
      </w:r>
      <w:r w:rsidR="000011D8">
        <w:t xml:space="preserve">% </w:t>
      </w:r>
      <w:r w:rsidRPr="006E78E0">
        <w:t>of the Net Asset Value of the Fund, based on the above quantitative standards.</w:t>
      </w:r>
      <w:r w:rsidR="008029E5">
        <w:t xml:space="preserve"> </w:t>
      </w:r>
      <w:proofErr w:type="spellStart"/>
      <w:r w:rsidR="00F55B90">
        <w:t>VaR</w:t>
      </w:r>
      <w:proofErr w:type="spellEnd"/>
      <w:r w:rsidR="00F55B90">
        <w:t xml:space="preserve"> is calculated daily.</w:t>
      </w:r>
    </w:p>
    <w:p w14:paraId="0945F40D" w14:textId="77777777" w:rsidR="0077068C" w:rsidRDefault="006E78E0" w:rsidP="00A4485E">
      <w:pPr>
        <w:pStyle w:val="BodyText"/>
      </w:pPr>
      <w:r w:rsidRPr="006E78E0">
        <w:t xml:space="preserve">The absolute </w:t>
      </w:r>
      <w:proofErr w:type="spellStart"/>
      <w:r w:rsidRPr="006E78E0">
        <w:t>VaR</w:t>
      </w:r>
      <w:proofErr w:type="spellEnd"/>
      <w:r w:rsidRPr="006E78E0">
        <w:t xml:space="preserve"> model is considered appropriate as the Fund does not define the investment target in relation to a benchmark.</w:t>
      </w:r>
    </w:p>
    <w:p w14:paraId="5BB0463A" w14:textId="77777777" w:rsidR="00157647" w:rsidRDefault="00157647" w:rsidP="00A4485E">
      <w:pPr>
        <w:pStyle w:val="BodyText"/>
      </w:pPr>
      <w:r>
        <w:t>The Company on behalf of the Fund has filed with the Central Bank its risk management process which enables it to accurately measure, monitor and manage the various risk associated with the use of FDI. Any FDI not included in the risk management process will not be utilised until such time as a revised submission has been provided to the C</w:t>
      </w:r>
      <w:r w:rsidR="00113968">
        <w:t>entral</w:t>
      </w:r>
      <w:r>
        <w:t xml:space="preserve"> Bank. The Company will, on request, provide supplementary information to Shareholders relating to the risk management methods employed, including the quantitative limits that are applied</w:t>
      </w:r>
      <w:r w:rsidR="000011D8">
        <w:t xml:space="preserve"> and </w:t>
      </w:r>
      <w:r>
        <w:t xml:space="preserve">any recent developments in the risk and yield characteristics of the main categories of investments. </w:t>
      </w:r>
    </w:p>
    <w:p w14:paraId="1482FF0E" w14:textId="77777777" w:rsidR="0077068C" w:rsidRPr="00943125" w:rsidRDefault="0077068C" w:rsidP="00A4485E">
      <w:pPr>
        <w:pStyle w:val="Agreement2"/>
        <w:keepNext/>
        <w:spacing w:before="120"/>
        <w:rPr>
          <w:b/>
        </w:rPr>
      </w:pPr>
      <w:r w:rsidRPr="00943125">
        <w:rPr>
          <w:b/>
        </w:rPr>
        <w:t>Investment Restrictions</w:t>
      </w:r>
    </w:p>
    <w:p w14:paraId="007F89B7" w14:textId="043E2BD6" w:rsidR="0077068C" w:rsidRDefault="0077068C" w:rsidP="00A4485E">
      <w:pPr>
        <w:pStyle w:val="BodyText"/>
      </w:pPr>
      <w:r>
        <w:t>Investors must note that the Company and the Fund adhere to the restrictions and requirements set out under the Regulations, as may be amended from time to time. These are set out in Appendix I to the Prospectus.</w:t>
      </w:r>
    </w:p>
    <w:p w14:paraId="602457B4" w14:textId="6B0B3426" w:rsidR="00677F01" w:rsidRPr="00677F01" w:rsidRDefault="00677F01" w:rsidP="00A4485E">
      <w:pPr>
        <w:pStyle w:val="BodyText"/>
        <w:rPr>
          <w:color w:val="000000" w:themeColor="text1"/>
        </w:rPr>
      </w:pPr>
      <w:r w:rsidRPr="00677F01">
        <w:rPr>
          <w:color w:val="000000" w:themeColor="text1"/>
          <w:lang w:eastAsia="en-US"/>
        </w:rPr>
        <w:t>Notwithstanding this, the Fund will not invest more than 10% of its Net Asset Value in other UCITS or CIS in aggregate.</w:t>
      </w:r>
    </w:p>
    <w:p w14:paraId="31AED0C8" w14:textId="77777777" w:rsidR="0077068C" w:rsidRDefault="0077068C" w:rsidP="00A4485E">
      <w:pPr>
        <w:pStyle w:val="Agreement2"/>
        <w:keepNext/>
        <w:spacing w:before="120"/>
        <w:rPr>
          <w:b/>
        </w:rPr>
      </w:pPr>
      <w:r>
        <w:rPr>
          <w:b/>
        </w:rPr>
        <w:t>Profile of a Typical Investor</w:t>
      </w:r>
    </w:p>
    <w:p w14:paraId="1A8C4BA5" w14:textId="77777777" w:rsidR="0077068C" w:rsidRPr="007A74DD" w:rsidRDefault="0077068C" w:rsidP="00A4485E">
      <w:pPr>
        <w:pStyle w:val="Agreement2"/>
        <w:numPr>
          <w:ilvl w:val="0"/>
          <w:numId w:val="0"/>
        </w:numPr>
        <w:spacing w:before="120"/>
      </w:pPr>
      <w:r w:rsidRPr="007A74DD">
        <w:t xml:space="preserve">A typical investor will be seeking to achieve a return on their investment in the medium to long term.  </w:t>
      </w:r>
    </w:p>
    <w:p w14:paraId="133EBB42" w14:textId="77777777" w:rsidR="0077068C" w:rsidRDefault="0077068C" w:rsidP="00A4485E">
      <w:pPr>
        <w:pStyle w:val="Agreement2"/>
        <w:keepNext/>
        <w:spacing w:before="120"/>
        <w:rPr>
          <w:b/>
        </w:rPr>
      </w:pPr>
      <w:r w:rsidRPr="00943125">
        <w:rPr>
          <w:b/>
        </w:rPr>
        <w:t>Risk Factors</w:t>
      </w:r>
    </w:p>
    <w:p w14:paraId="68A27CEF" w14:textId="7685C325" w:rsidR="0077068C" w:rsidRDefault="0077068C" w:rsidP="00A4485E">
      <w:pPr>
        <w:pStyle w:val="Agreement2"/>
        <w:numPr>
          <w:ilvl w:val="0"/>
          <w:numId w:val="0"/>
        </w:numPr>
        <w:spacing w:before="120"/>
      </w:pPr>
      <w:r>
        <w:t>Investors should read and consider the section</w:t>
      </w:r>
      <w:r w:rsidR="0081283A">
        <w:t>s</w:t>
      </w:r>
      <w:r>
        <w:t xml:space="preserve"> of the Prospectus entitled "</w:t>
      </w:r>
      <w:r w:rsidRPr="000A0273">
        <w:rPr>
          <w:b/>
        </w:rPr>
        <w:t>RISK FACTORS</w:t>
      </w:r>
      <w:r>
        <w:t xml:space="preserve">" </w:t>
      </w:r>
      <w:r w:rsidR="0081283A">
        <w:t>and "</w:t>
      </w:r>
      <w:r w:rsidR="0081283A" w:rsidRPr="00C50841">
        <w:rPr>
          <w:b/>
          <w:bCs/>
        </w:rPr>
        <w:t xml:space="preserve">SFDR-related Disclosures </w:t>
      </w:r>
      <w:r w:rsidR="00F22C03">
        <w:rPr>
          <w:b/>
          <w:bCs/>
        </w:rPr>
        <w:t xml:space="preserve">(a) </w:t>
      </w:r>
      <w:r w:rsidR="0081283A" w:rsidRPr="00C50841">
        <w:rPr>
          <w:b/>
          <w:bCs/>
        </w:rPr>
        <w:t>Sustainability Risk</w:t>
      </w:r>
      <w:r w:rsidR="0081283A">
        <w:t xml:space="preserve">" </w:t>
      </w:r>
      <w:r>
        <w:t>before investing in the Fund. However, not all of the risks disclosed in the "</w:t>
      </w:r>
      <w:r w:rsidRPr="000A0273">
        <w:rPr>
          <w:b/>
        </w:rPr>
        <w:t>RISK FACTORS</w:t>
      </w:r>
      <w:r w:rsidRPr="000A0273">
        <w:t>"</w:t>
      </w:r>
      <w:r>
        <w:t xml:space="preserve"> section of the Prospectus will be material to an investment in this particular Fund. </w:t>
      </w:r>
    </w:p>
    <w:p w14:paraId="3C9FD23D" w14:textId="77777777" w:rsidR="0077068C" w:rsidRDefault="0077068C" w:rsidP="00A4485E">
      <w:pPr>
        <w:pStyle w:val="BodyText"/>
      </w:pPr>
      <w:r>
        <w:t>The risks described in the Prospectus should not be considered to be an exhaustive list of the risks which potential investors should consider before investing in the Fund. Potential investors should be aware that an investment in the Fund may be exposed to other risks from time to time.</w:t>
      </w:r>
    </w:p>
    <w:p w14:paraId="5A5139D6" w14:textId="434C2271" w:rsidR="0077068C" w:rsidRDefault="0077068C" w:rsidP="00A4485E">
      <w:pPr>
        <w:pStyle w:val="Agreement2"/>
        <w:keepNext/>
        <w:spacing w:before="120"/>
        <w:rPr>
          <w:b/>
        </w:rPr>
      </w:pPr>
      <w:r w:rsidRPr="00082F50">
        <w:rPr>
          <w:b/>
        </w:rPr>
        <w:t>Key Information for Buying and Selling Shares</w:t>
      </w:r>
    </w:p>
    <w:p w14:paraId="7924B21C" w14:textId="77777777" w:rsidR="0077068C" w:rsidRDefault="0077068C" w:rsidP="00A4485E">
      <w:pPr>
        <w:pStyle w:val="Agreement1"/>
        <w:numPr>
          <w:ilvl w:val="0"/>
          <w:numId w:val="0"/>
        </w:numPr>
        <w:spacing w:before="120"/>
        <w:rPr>
          <w:rFonts w:ascii="Arial" w:hAnsi="Arial"/>
          <w:b w:val="0"/>
          <w:sz w:val="21"/>
          <w:lang w:eastAsia="en-GB"/>
        </w:rPr>
      </w:pPr>
      <w:r w:rsidRPr="006C21D8">
        <w:rPr>
          <w:rFonts w:ascii="Arial" w:hAnsi="Arial"/>
          <w:b w:val="0"/>
          <w:sz w:val="21"/>
          <w:lang w:eastAsia="en-GB"/>
        </w:rPr>
        <w:t>Details of all share classes are set out in the table below.</w:t>
      </w:r>
    </w:p>
    <w:tbl>
      <w:tblPr>
        <w:tblW w:w="5000" w:type="pct"/>
        <w:tblLook w:val="04A0" w:firstRow="1" w:lastRow="0" w:firstColumn="1" w:lastColumn="0" w:noHBand="0" w:noVBand="1"/>
      </w:tblPr>
      <w:tblGrid>
        <w:gridCol w:w="1342"/>
        <w:gridCol w:w="1047"/>
        <w:gridCol w:w="1196"/>
        <w:gridCol w:w="1947"/>
        <w:gridCol w:w="1363"/>
        <w:gridCol w:w="1061"/>
        <w:gridCol w:w="1061"/>
      </w:tblGrid>
      <w:tr w:rsidR="002778E5" w:rsidRPr="00F541AE" w14:paraId="1DCCB526" w14:textId="77777777" w:rsidTr="0081283A">
        <w:trPr>
          <w:tblHeader/>
        </w:trPr>
        <w:tc>
          <w:tcPr>
            <w:tcW w:w="820" w:type="pct"/>
            <w:tcBorders>
              <w:top w:val="single" w:sz="4" w:space="0" w:color="auto"/>
              <w:left w:val="single" w:sz="4" w:space="0" w:color="auto"/>
              <w:bottom w:val="single" w:sz="4" w:space="0" w:color="auto"/>
              <w:right w:val="single" w:sz="4" w:space="0" w:color="auto"/>
            </w:tcBorders>
            <w:shd w:val="clear" w:color="auto" w:fill="auto"/>
          </w:tcPr>
          <w:p w14:paraId="0FD1E78B" w14:textId="77777777" w:rsidR="002778E5" w:rsidRPr="00F541AE" w:rsidRDefault="002778E5" w:rsidP="004E65F0">
            <w:pPr>
              <w:pStyle w:val="BodyText"/>
              <w:keepNext/>
              <w:rPr>
                <w:b/>
                <w:sz w:val="16"/>
                <w:szCs w:val="16"/>
              </w:rPr>
            </w:pPr>
            <w:r w:rsidRPr="00F541AE">
              <w:rPr>
                <w:b/>
                <w:sz w:val="16"/>
                <w:szCs w:val="16"/>
              </w:rPr>
              <w:t>Class</w:t>
            </w:r>
          </w:p>
        </w:tc>
        <w:tc>
          <w:tcPr>
            <w:tcW w:w="656" w:type="pct"/>
            <w:tcBorders>
              <w:top w:val="single" w:sz="4" w:space="0" w:color="auto"/>
              <w:left w:val="single" w:sz="4" w:space="0" w:color="auto"/>
              <w:bottom w:val="single" w:sz="4" w:space="0" w:color="auto"/>
              <w:right w:val="single" w:sz="4" w:space="0" w:color="auto"/>
            </w:tcBorders>
          </w:tcPr>
          <w:p w14:paraId="02AC6D48" w14:textId="77777777" w:rsidR="002778E5" w:rsidRPr="00F541AE" w:rsidRDefault="002778E5" w:rsidP="004E65F0">
            <w:pPr>
              <w:pStyle w:val="BodyText"/>
              <w:keepNext/>
              <w:rPr>
                <w:b/>
                <w:sz w:val="16"/>
                <w:szCs w:val="16"/>
              </w:rPr>
            </w:pPr>
            <w:r w:rsidRPr="00F541AE">
              <w:rPr>
                <w:b/>
                <w:sz w:val="16"/>
                <w:szCs w:val="16"/>
              </w:rPr>
              <w:t>Class Currency</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BE915F6" w14:textId="6FF5AB82" w:rsidR="002778E5" w:rsidRPr="00F541AE" w:rsidRDefault="002778E5" w:rsidP="004E65F0">
            <w:pPr>
              <w:pStyle w:val="BodyText"/>
              <w:keepNext/>
              <w:rPr>
                <w:b/>
                <w:sz w:val="16"/>
                <w:szCs w:val="16"/>
              </w:rPr>
            </w:pPr>
            <w:r w:rsidRPr="00F541AE">
              <w:rPr>
                <w:b/>
                <w:sz w:val="16"/>
                <w:szCs w:val="16"/>
              </w:rPr>
              <w:t>Initial Offer Period</w:t>
            </w:r>
            <w:r w:rsidR="00C7074F">
              <w:rPr>
                <w:b/>
                <w:sz w:val="16"/>
                <w:szCs w:val="16"/>
              </w:rPr>
              <w:t xml:space="preserve"> / Offer Period</w:t>
            </w:r>
            <w:r w:rsidRPr="00F541AE">
              <w:rPr>
                <w:b/>
                <w:sz w:val="16"/>
                <w:szCs w:val="16"/>
              </w:rPr>
              <w:t xml:space="preserve">* </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27FC37B1" w14:textId="431F7297" w:rsidR="002778E5" w:rsidRPr="00F541AE" w:rsidRDefault="002778E5" w:rsidP="004E65F0">
            <w:pPr>
              <w:pStyle w:val="BodyText"/>
              <w:keepNext/>
              <w:rPr>
                <w:b/>
                <w:sz w:val="16"/>
                <w:szCs w:val="16"/>
              </w:rPr>
            </w:pPr>
            <w:r w:rsidRPr="00F541AE">
              <w:rPr>
                <w:b/>
                <w:sz w:val="16"/>
                <w:szCs w:val="16"/>
              </w:rPr>
              <w:t xml:space="preserve">Initial Issue Price </w:t>
            </w:r>
            <w:r w:rsidR="00C7074F">
              <w:rPr>
                <w:b/>
                <w:sz w:val="16"/>
                <w:szCs w:val="16"/>
              </w:rPr>
              <w:t>/ Issue Price</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11F14A0F" w14:textId="77777777" w:rsidR="002778E5" w:rsidRPr="00F541AE" w:rsidRDefault="002778E5" w:rsidP="004E65F0">
            <w:pPr>
              <w:pStyle w:val="BodyText"/>
              <w:keepNext/>
              <w:rPr>
                <w:b/>
                <w:sz w:val="16"/>
                <w:szCs w:val="16"/>
              </w:rPr>
            </w:pPr>
            <w:r w:rsidRPr="00F541AE">
              <w:rPr>
                <w:b/>
                <w:sz w:val="16"/>
                <w:szCs w:val="16"/>
              </w:rPr>
              <w:t>Minimum Shareholding**</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70B2E33C" w14:textId="77777777" w:rsidR="002778E5" w:rsidRPr="00F541AE" w:rsidRDefault="002778E5" w:rsidP="004E65F0">
            <w:pPr>
              <w:pStyle w:val="BodyText"/>
              <w:keepNext/>
              <w:rPr>
                <w:b/>
                <w:sz w:val="16"/>
                <w:szCs w:val="16"/>
              </w:rPr>
            </w:pPr>
            <w:r w:rsidRPr="00F541AE">
              <w:rPr>
                <w:b/>
                <w:sz w:val="16"/>
                <w:szCs w:val="16"/>
              </w:rPr>
              <w:t>Minimum Initial Investment Amount**</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9C46112" w14:textId="77777777" w:rsidR="002778E5" w:rsidRPr="00F541AE" w:rsidRDefault="002778E5" w:rsidP="004E65F0">
            <w:pPr>
              <w:pStyle w:val="BodyText"/>
              <w:keepNext/>
              <w:rPr>
                <w:b/>
                <w:sz w:val="16"/>
                <w:szCs w:val="16"/>
              </w:rPr>
            </w:pPr>
            <w:r w:rsidRPr="00F541AE">
              <w:rPr>
                <w:b/>
                <w:sz w:val="16"/>
                <w:szCs w:val="16"/>
              </w:rPr>
              <w:t>Minimum Additional Investment Amount**</w:t>
            </w:r>
          </w:p>
        </w:tc>
      </w:tr>
      <w:tr w:rsidR="002778E5" w:rsidRPr="00507A9D" w14:paraId="08CA3539" w14:textId="77777777" w:rsidTr="0081283A">
        <w:tc>
          <w:tcPr>
            <w:tcW w:w="820" w:type="pct"/>
            <w:tcBorders>
              <w:top w:val="single" w:sz="4" w:space="0" w:color="auto"/>
              <w:left w:val="single" w:sz="4" w:space="0" w:color="auto"/>
              <w:bottom w:val="single" w:sz="4" w:space="0" w:color="auto"/>
              <w:right w:val="single" w:sz="4" w:space="0" w:color="auto"/>
            </w:tcBorders>
            <w:shd w:val="clear" w:color="auto" w:fill="auto"/>
          </w:tcPr>
          <w:p w14:paraId="514E42D4" w14:textId="77777777" w:rsidR="002778E5" w:rsidRPr="00507A9D" w:rsidRDefault="002778E5" w:rsidP="004E65F0">
            <w:pPr>
              <w:pStyle w:val="BodyText"/>
              <w:rPr>
                <w:sz w:val="18"/>
                <w:szCs w:val="18"/>
              </w:rPr>
            </w:pPr>
            <w:r w:rsidRPr="00507A9D">
              <w:rPr>
                <w:sz w:val="18"/>
                <w:szCs w:val="18"/>
              </w:rPr>
              <w:t>A Accumulating</w:t>
            </w:r>
          </w:p>
        </w:tc>
        <w:tc>
          <w:tcPr>
            <w:tcW w:w="656" w:type="pct"/>
            <w:tcBorders>
              <w:top w:val="single" w:sz="4" w:space="0" w:color="auto"/>
              <w:left w:val="single" w:sz="4" w:space="0" w:color="auto"/>
              <w:bottom w:val="single" w:sz="4" w:space="0" w:color="auto"/>
              <w:right w:val="single" w:sz="4" w:space="0" w:color="auto"/>
            </w:tcBorders>
          </w:tcPr>
          <w:p w14:paraId="4266988E" w14:textId="77777777" w:rsidR="002778E5" w:rsidRPr="00507A9D" w:rsidRDefault="002778E5" w:rsidP="004E65F0">
            <w:pPr>
              <w:pStyle w:val="BodyText"/>
              <w:rPr>
                <w:sz w:val="18"/>
                <w:szCs w:val="18"/>
              </w:rPr>
            </w:pPr>
            <w:r>
              <w:rPr>
                <w:sz w:val="18"/>
                <w:szCs w:val="18"/>
              </w:rPr>
              <w:t xml:space="preserve">Euro </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4F75BBF" w14:textId="24A93AD3" w:rsidR="002778E5" w:rsidRPr="00016DF6" w:rsidRDefault="0024527D" w:rsidP="004E65F0">
            <w:pPr>
              <w:pStyle w:val="BodyText"/>
              <w:rPr>
                <w:sz w:val="18"/>
                <w:szCs w:val="18"/>
              </w:rPr>
            </w:pPr>
            <w:r>
              <w:rPr>
                <w:sz w:val="18"/>
                <w:szCs w:val="18"/>
              </w:rPr>
              <w:t>Initial offer period is closed</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50879842" w14:textId="2632C21C" w:rsidR="002778E5" w:rsidRPr="00507A9D" w:rsidRDefault="006352D8" w:rsidP="009D26FB">
            <w:pPr>
              <w:pStyle w:val="BodyText"/>
              <w:rPr>
                <w:sz w:val="18"/>
                <w:szCs w:val="18"/>
              </w:rPr>
            </w:pPr>
            <w:r w:rsidRPr="00793BAA">
              <w:rPr>
                <w:rFonts w:cs="Arial"/>
                <w:sz w:val="18"/>
                <w:szCs w:val="18"/>
                <w:lang w:val="en-IE" w:eastAsia="en-US"/>
              </w:rPr>
              <w:t xml:space="preserve">The prevailing issue price will be available at </w:t>
            </w:r>
            <w:hyperlink r:id="rId10" w:history="1">
              <w:r w:rsidRPr="00793BAA">
                <w:rPr>
                  <w:rFonts w:cs="Arial"/>
                  <w:color w:val="0563C1"/>
                  <w:sz w:val="18"/>
                  <w:szCs w:val="18"/>
                  <w:u w:val="single"/>
                  <w:lang w:val="en-IE" w:eastAsia="en-US"/>
                </w:rPr>
                <w:t>https://iqeq.com/fund-prices</w:t>
              </w:r>
            </w:hyperlink>
            <w:r w:rsidRPr="00793BAA">
              <w:rPr>
                <w:rFonts w:cs="Arial"/>
                <w:sz w:val="18"/>
                <w:szCs w:val="18"/>
                <w:lang w:val="en-IE" w:eastAsia="en-US"/>
              </w:rPr>
              <w:t xml:space="preserve"> or from the investment manager</w:t>
            </w:r>
            <w:r>
              <w:rPr>
                <w:rFonts w:cs="Arial"/>
                <w:sz w:val="18"/>
                <w:szCs w:val="18"/>
                <w:lang w:val="en-IE" w:eastAsia="en-US"/>
              </w:rPr>
              <w:t>.</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7CE90F23" w14:textId="77777777" w:rsidR="002778E5" w:rsidRPr="00507A9D" w:rsidRDefault="002778E5" w:rsidP="004E65F0">
            <w:pPr>
              <w:pStyle w:val="BodyText"/>
              <w:rPr>
                <w:sz w:val="18"/>
                <w:szCs w:val="18"/>
              </w:rPr>
            </w:pPr>
            <w:r>
              <w:rPr>
                <w:sz w:val="18"/>
                <w:szCs w:val="18"/>
              </w:rPr>
              <w:t>€500</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3F6B8E3" w14:textId="77777777" w:rsidR="002778E5" w:rsidRPr="00507A9D" w:rsidRDefault="002778E5" w:rsidP="004E65F0">
            <w:pPr>
              <w:pStyle w:val="BodyText"/>
              <w:rPr>
                <w:sz w:val="18"/>
                <w:szCs w:val="18"/>
              </w:rPr>
            </w:pPr>
            <w:r>
              <w:rPr>
                <w:sz w:val="18"/>
                <w:szCs w:val="18"/>
              </w:rPr>
              <w:t>€500</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7B1FAA03" w14:textId="77777777" w:rsidR="002778E5" w:rsidRPr="00507A9D" w:rsidRDefault="002778E5" w:rsidP="004E65F0">
            <w:pPr>
              <w:pStyle w:val="BodyText"/>
              <w:rPr>
                <w:sz w:val="18"/>
                <w:szCs w:val="18"/>
              </w:rPr>
            </w:pPr>
            <w:r>
              <w:rPr>
                <w:sz w:val="18"/>
                <w:szCs w:val="18"/>
              </w:rPr>
              <w:t>€100</w:t>
            </w:r>
          </w:p>
        </w:tc>
      </w:tr>
    </w:tbl>
    <w:p w14:paraId="50687032" w14:textId="77777777" w:rsidR="0077068C" w:rsidRPr="009A228D" w:rsidRDefault="0077068C" w:rsidP="0077068C">
      <w:pPr>
        <w:pStyle w:val="BodyTextIndent"/>
        <w:keepNext/>
        <w:ind w:left="0"/>
        <w:rPr>
          <w:lang w:val="en-IE"/>
        </w:rPr>
      </w:pPr>
    </w:p>
    <w:p w14:paraId="51A5199C" w14:textId="77777777" w:rsidR="0077068C" w:rsidRDefault="0077068C" w:rsidP="00A4485E">
      <w:pPr>
        <w:pStyle w:val="BodyText"/>
      </w:pPr>
      <w:r>
        <w:t>*The Initial Offer Period may be shortened or extended by the Directors. The Central Bank will be notified in advance of any such shortening or extension if subscriptions for Shares have been received and otherwise shall be notified subsequently, on an annual basis.</w:t>
      </w:r>
    </w:p>
    <w:p w14:paraId="45D461A5" w14:textId="77777777" w:rsidR="0077068C" w:rsidRDefault="0077068C" w:rsidP="00A4485E">
      <w:pPr>
        <w:pStyle w:val="BodyText"/>
      </w:pPr>
      <w:r>
        <w:t>**Subject to the discretion of the Directors (or their delegate) in each case to allow lesser amounts.</w:t>
      </w:r>
    </w:p>
    <w:p w14:paraId="7FB2C6F6" w14:textId="14E0F3D3" w:rsidR="0077068C" w:rsidRDefault="0077068C" w:rsidP="00A4485E">
      <w:pPr>
        <w:pStyle w:val="BodyText"/>
      </w:pPr>
      <w:r>
        <w:lastRenderedPageBreak/>
        <w:t>Applications for Shares and applications for the repurchase of Shares</w:t>
      </w:r>
      <w:r w:rsidR="0024527D">
        <w:t xml:space="preserve"> </w:t>
      </w:r>
      <w:r w:rsidR="0024527D" w:rsidRPr="0024527D">
        <w:t xml:space="preserve"> along with all required anti-money laundering documentation</w:t>
      </w:r>
      <w:r>
        <w:t xml:space="preserve"> must be received by the Dealing Deadline.  Applications for Shares will only be accepted on a cleared funds basis in the Base Currency.</w:t>
      </w:r>
    </w:p>
    <w:p w14:paraId="0887CB46" w14:textId="77777777" w:rsidR="0077068C" w:rsidRDefault="0077068C" w:rsidP="00A4485E">
      <w:pPr>
        <w:pStyle w:val="BodyText"/>
      </w:pPr>
      <w:r>
        <w:t>Applications received after the Dealing Deadline for the relevant Dealing Day shall be deemed to have been received by the next Dealing Deadline, save in exceptional circumstances where the Directors may in their absolute discretion (reasons to be documented) determine and provided the applications are received before the Valuation Point for the relevant Dealing Day. Repurchase requests received after the Dealing Deadline shall be treated as having been received by the following Dealing Deadline, save in exceptional circumstances where the Directors may in their absolute discretion (reasons to be documented) determine and provided they are received before the Valuation Point for the relevant Dealing Day.</w:t>
      </w:r>
    </w:p>
    <w:p w14:paraId="5C8DF24D" w14:textId="265131EE" w:rsidR="0077068C" w:rsidRDefault="0077068C" w:rsidP="00A4485E">
      <w:pPr>
        <w:pStyle w:val="BodyText"/>
      </w:pPr>
      <w:r>
        <w:t>Subscription Settlement Date: Subscription monies should be paid to the account specified in the Application Form (or such other account specified by the Administrator) so as to be received</w:t>
      </w:r>
      <w:r w:rsidRPr="000E1AC9">
        <w:t xml:space="preserve"> </w:t>
      </w:r>
      <w:r>
        <w:t xml:space="preserve">by no later than </w:t>
      </w:r>
      <w:r w:rsidR="006C3289">
        <w:t xml:space="preserve">one </w:t>
      </w:r>
      <w:r>
        <w:t>Business Day after the relevant Dealing Day. If payment in full and/or a properly completed Application Form</w:t>
      </w:r>
      <w:r w:rsidR="0024527D">
        <w:t xml:space="preserve"> </w:t>
      </w:r>
      <w:r w:rsidR="0024527D" w:rsidRPr="0024527D">
        <w:t xml:space="preserve"> along with all required anti-money laundering documentation</w:t>
      </w:r>
      <w:r>
        <w:t xml:space="preserve"> have not been received by the relevant times stipulated above, the application may be refused.</w:t>
      </w:r>
    </w:p>
    <w:p w14:paraId="4C9564D0" w14:textId="77777777" w:rsidR="0077068C" w:rsidRDefault="0077068C" w:rsidP="00A4485E">
      <w:pPr>
        <w:spacing w:before="120"/>
      </w:pPr>
      <w:r>
        <w:t>Repurchase Settlement Date: Payment of Repurchase Proceeds will be made by electronic transfer to the account of the redeeming Shareholder at the risk and expense of the Shareholder normally within three Business Days of the relevant Dealing Day and, in all cases, will be paid within ten Business Days of the Dealing Deadline for the relevant Dealing Day, provided that all the required documentation has been furnished to and received by the Administrator.</w:t>
      </w:r>
    </w:p>
    <w:p w14:paraId="1A496E89" w14:textId="77777777" w:rsidR="0077068C" w:rsidRDefault="0077068C" w:rsidP="00A4485E">
      <w:pPr>
        <w:pStyle w:val="Agreement2"/>
        <w:keepNext/>
        <w:spacing w:before="120"/>
        <w:rPr>
          <w:b/>
        </w:rPr>
      </w:pPr>
      <w:r>
        <w:rPr>
          <w:b/>
        </w:rPr>
        <w:t>Dividend Policy</w:t>
      </w:r>
    </w:p>
    <w:p w14:paraId="0E2231A0" w14:textId="77777777" w:rsidR="00531B5F" w:rsidRPr="00531B5F" w:rsidRDefault="00531B5F" w:rsidP="00A4485E">
      <w:pPr>
        <w:pStyle w:val="Agreement2"/>
        <w:keepNext/>
        <w:numPr>
          <w:ilvl w:val="0"/>
          <w:numId w:val="0"/>
        </w:numPr>
        <w:spacing w:before="120"/>
      </w:pPr>
      <w:r w:rsidRPr="00531B5F">
        <w:t>The Fund does not intend to distribute dividends to Shareholders. The income and profit will be accumulated and reinvested in the Fund on behalf of the Shareholders.</w:t>
      </w:r>
    </w:p>
    <w:p w14:paraId="50D66EE9" w14:textId="77777777" w:rsidR="0077068C" w:rsidRDefault="0077068C" w:rsidP="00A4485E">
      <w:pPr>
        <w:pStyle w:val="Agreement2"/>
        <w:keepNext/>
        <w:spacing w:before="120"/>
        <w:rPr>
          <w:b/>
        </w:rPr>
      </w:pPr>
      <w:r>
        <w:rPr>
          <w:b/>
        </w:rPr>
        <w:t>Exchange of Shares</w:t>
      </w:r>
    </w:p>
    <w:p w14:paraId="4D69CBCB" w14:textId="77777777" w:rsidR="0077068C" w:rsidRPr="00F04CB3" w:rsidRDefault="0077068C" w:rsidP="00A4485E">
      <w:pPr>
        <w:pStyle w:val="BodyText"/>
      </w:pPr>
      <w:r w:rsidRPr="00D84030">
        <w:t xml:space="preserve">Shareholders may </w:t>
      </w:r>
      <w:r>
        <w:t>exchange</w:t>
      </w:r>
      <w:r w:rsidRPr="00D84030">
        <w:t xml:space="preserve"> between similar Classes of Shares in accordance with the provisions set out under the heading </w:t>
      </w:r>
      <w:r>
        <w:t>"</w:t>
      </w:r>
      <w:r w:rsidRPr="007F7085">
        <w:rPr>
          <w:b/>
        </w:rPr>
        <w:t>Exchange of Shares</w:t>
      </w:r>
      <w:r>
        <w:t>"</w:t>
      </w:r>
      <w:r w:rsidRPr="00D84030">
        <w:t xml:space="preserve"> in the Prospectus.  The </w:t>
      </w:r>
      <w:r>
        <w:t>Directors can refuse</w:t>
      </w:r>
      <w:r w:rsidRPr="00D84030">
        <w:t xml:space="preserve"> an application to </w:t>
      </w:r>
      <w:r>
        <w:t>exchange</w:t>
      </w:r>
      <w:r w:rsidRPr="00D84030">
        <w:t xml:space="preserve"> between Classes of Shares</w:t>
      </w:r>
      <w:r>
        <w:t xml:space="preserve"> in accordance with the provisions set out under the heading "</w:t>
      </w:r>
      <w:r w:rsidRPr="007F7085">
        <w:rPr>
          <w:b/>
        </w:rPr>
        <w:t>Exchange of Shares</w:t>
      </w:r>
      <w:r>
        <w:t>"</w:t>
      </w:r>
      <w:r w:rsidRPr="00D84030">
        <w:t>.</w:t>
      </w:r>
    </w:p>
    <w:p w14:paraId="6EBBFAD8" w14:textId="77777777" w:rsidR="0077068C" w:rsidRPr="00FD18B4" w:rsidRDefault="0077068C" w:rsidP="00A4485E">
      <w:pPr>
        <w:pStyle w:val="Agreement2"/>
        <w:keepNext/>
        <w:spacing w:before="120"/>
        <w:rPr>
          <w:b/>
        </w:rPr>
      </w:pPr>
      <w:r w:rsidRPr="00FD18B4">
        <w:rPr>
          <w:b/>
        </w:rPr>
        <w:t>Fees and Expenses</w:t>
      </w:r>
    </w:p>
    <w:p w14:paraId="3C9310FA" w14:textId="77777777" w:rsidR="0077068C" w:rsidRDefault="0077068C" w:rsidP="00A4485E">
      <w:pPr>
        <w:pStyle w:val="BodyText"/>
      </w:pPr>
      <w:r>
        <w:t>The following fees and expenses will be incurred by the Company on behalf of the Fund and will affect the Net Asset Value of the relevant Share Class of the Fund.</w:t>
      </w:r>
    </w:p>
    <w:tbl>
      <w:tblPr>
        <w:tblW w:w="5000" w:type="pct"/>
        <w:tblLook w:val="04A0" w:firstRow="1" w:lastRow="0" w:firstColumn="1" w:lastColumn="0" w:noHBand="0" w:noVBand="1"/>
      </w:tblPr>
      <w:tblGrid>
        <w:gridCol w:w="2151"/>
        <w:gridCol w:w="2361"/>
        <w:gridCol w:w="2373"/>
        <w:gridCol w:w="2132"/>
      </w:tblGrid>
      <w:tr w:rsidR="00E23A9F" w:rsidRPr="00D55935" w14:paraId="05DA9A9A" w14:textId="77777777" w:rsidTr="0081283A">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70FF1EDC" w14:textId="77777777" w:rsidR="00E23A9F" w:rsidRPr="003268E3" w:rsidRDefault="00E23A9F" w:rsidP="004E65F0">
            <w:pPr>
              <w:pStyle w:val="BodyText"/>
              <w:keepNext/>
              <w:jc w:val="center"/>
              <w:rPr>
                <w:rFonts w:cs="Arial"/>
                <w:b/>
                <w:sz w:val="18"/>
                <w:szCs w:val="18"/>
              </w:rPr>
            </w:pPr>
            <w:r w:rsidRPr="003268E3">
              <w:rPr>
                <w:rFonts w:cs="Arial"/>
                <w:b/>
                <w:sz w:val="18"/>
                <w:szCs w:val="18"/>
              </w:rPr>
              <w:t>Class</w:t>
            </w:r>
          </w:p>
        </w:tc>
        <w:tc>
          <w:tcPr>
            <w:tcW w:w="1309" w:type="pct"/>
            <w:tcBorders>
              <w:top w:val="single" w:sz="4" w:space="0" w:color="auto"/>
              <w:left w:val="single" w:sz="4" w:space="0" w:color="auto"/>
              <w:bottom w:val="single" w:sz="4" w:space="0" w:color="auto"/>
              <w:right w:val="single" w:sz="4" w:space="0" w:color="auto"/>
            </w:tcBorders>
          </w:tcPr>
          <w:p w14:paraId="064FC82D" w14:textId="77777777" w:rsidR="00E23A9F" w:rsidRPr="003268E3" w:rsidRDefault="00E23A9F" w:rsidP="004E65F0">
            <w:pPr>
              <w:pStyle w:val="BodyText"/>
              <w:keepNext/>
              <w:jc w:val="center"/>
              <w:rPr>
                <w:rFonts w:cs="Arial"/>
                <w:b/>
                <w:sz w:val="18"/>
                <w:szCs w:val="18"/>
              </w:rPr>
            </w:pPr>
            <w:r w:rsidRPr="003268E3">
              <w:rPr>
                <w:rFonts w:cs="Arial"/>
                <w:b/>
                <w:sz w:val="18"/>
                <w:szCs w:val="18"/>
              </w:rPr>
              <w:t>Investment Management Fee</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3DBF0957" w14:textId="77777777" w:rsidR="00E23A9F" w:rsidRPr="003268E3" w:rsidRDefault="00E23A9F" w:rsidP="004E65F0">
            <w:pPr>
              <w:pStyle w:val="BodyText"/>
              <w:keepNext/>
              <w:jc w:val="center"/>
              <w:rPr>
                <w:rFonts w:cs="Arial"/>
                <w:b/>
                <w:sz w:val="18"/>
                <w:szCs w:val="18"/>
              </w:rPr>
            </w:pPr>
            <w:r w:rsidRPr="003268E3">
              <w:rPr>
                <w:rFonts w:cs="Arial"/>
                <w:b/>
                <w:sz w:val="18"/>
                <w:szCs w:val="18"/>
              </w:rPr>
              <w:t>Administrator Fee</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64D621C6" w14:textId="77777777" w:rsidR="00E23A9F" w:rsidRPr="003268E3" w:rsidRDefault="00E23A9F" w:rsidP="004E65F0">
            <w:pPr>
              <w:pStyle w:val="BodyText"/>
              <w:keepNext/>
              <w:jc w:val="center"/>
              <w:rPr>
                <w:rFonts w:cs="Arial"/>
                <w:b/>
                <w:sz w:val="18"/>
                <w:szCs w:val="18"/>
              </w:rPr>
            </w:pPr>
            <w:r w:rsidRPr="003268E3">
              <w:rPr>
                <w:rFonts w:cs="Arial"/>
                <w:b/>
                <w:sz w:val="18"/>
                <w:szCs w:val="18"/>
              </w:rPr>
              <w:t>Depositary Fee</w:t>
            </w:r>
          </w:p>
        </w:tc>
      </w:tr>
      <w:tr w:rsidR="00E23A9F" w:rsidRPr="00D55935" w14:paraId="0FAFAE08" w14:textId="77777777" w:rsidTr="0081283A">
        <w:trPr>
          <w:trHeight w:val="900"/>
        </w:trPr>
        <w:tc>
          <w:tcPr>
            <w:tcW w:w="1193" w:type="pct"/>
            <w:vMerge w:val="restart"/>
            <w:tcBorders>
              <w:top w:val="single" w:sz="4" w:space="0" w:color="auto"/>
              <w:left w:val="single" w:sz="4" w:space="0" w:color="auto"/>
              <w:right w:val="single" w:sz="4" w:space="0" w:color="auto"/>
            </w:tcBorders>
            <w:shd w:val="clear" w:color="auto" w:fill="auto"/>
          </w:tcPr>
          <w:p w14:paraId="2E69A81D" w14:textId="77777777" w:rsidR="00E23A9F" w:rsidRPr="003268E3" w:rsidRDefault="00E23A9F" w:rsidP="004E65F0">
            <w:pPr>
              <w:pStyle w:val="BodyText"/>
              <w:rPr>
                <w:rFonts w:cs="Arial"/>
                <w:sz w:val="18"/>
                <w:szCs w:val="18"/>
              </w:rPr>
            </w:pPr>
            <w:r w:rsidRPr="003268E3">
              <w:rPr>
                <w:rFonts w:cs="Arial"/>
                <w:sz w:val="18"/>
                <w:szCs w:val="18"/>
              </w:rPr>
              <w:t>A Accumulating</w:t>
            </w:r>
          </w:p>
        </w:tc>
        <w:tc>
          <w:tcPr>
            <w:tcW w:w="1309" w:type="pct"/>
            <w:vMerge w:val="restart"/>
            <w:tcBorders>
              <w:top w:val="single" w:sz="4" w:space="0" w:color="auto"/>
              <w:left w:val="single" w:sz="4" w:space="0" w:color="auto"/>
              <w:right w:val="single" w:sz="4" w:space="0" w:color="auto"/>
            </w:tcBorders>
          </w:tcPr>
          <w:p w14:paraId="266333C8" w14:textId="77777777" w:rsidR="00E23A9F" w:rsidRPr="003268E3" w:rsidRDefault="00E23A9F" w:rsidP="004E65F0">
            <w:pPr>
              <w:pStyle w:val="BodyText"/>
              <w:rPr>
                <w:rFonts w:cs="Arial"/>
                <w:sz w:val="18"/>
                <w:szCs w:val="18"/>
              </w:rPr>
            </w:pPr>
            <w:r w:rsidRPr="003268E3">
              <w:rPr>
                <w:rFonts w:cs="Arial"/>
                <w:sz w:val="18"/>
                <w:szCs w:val="18"/>
              </w:rPr>
              <w:t>1.00%</w:t>
            </w:r>
          </w:p>
        </w:tc>
        <w:tc>
          <w:tcPr>
            <w:tcW w:w="1316" w:type="pct"/>
            <w:vMerge w:val="restart"/>
            <w:tcBorders>
              <w:top w:val="single" w:sz="4" w:space="0" w:color="auto"/>
              <w:left w:val="single" w:sz="4" w:space="0" w:color="auto"/>
              <w:right w:val="single" w:sz="4" w:space="0" w:color="auto"/>
            </w:tcBorders>
            <w:shd w:val="clear" w:color="auto" w:fill="auto"/>
          </w:tcPr>
          <w:p w14:paraId="46C651ED" w14:textId="77777777" w:rsidR="00E23A9F" w:rsidRPr="003268E3" w:rsidRDefault="00E23A9F" w:rsidP="004E65F0">
            <w:pPr>
              <w:pStyle w:val="BodyText"/>
              <w:rPr>
                <w:rFonts w:cs="Arial"/>
                <w:sz w:val="18"/>
                <w:szCs w:val="18"/>
              </w:rPr>
            </w:pPr>
            <w:r w:rsidRPr="003268E3">
              <w:rPr>
                <w:rFonts w:cs="Arial"/>
                <w:sz w:val="18"/>
                <w:szCs w:val="18"/>
              </w:rPr>
              <w:t xml:space="preserve">0.085% </w:t>
            </w:r>
          </w:p>
          <w:p w14:paraId="4141DBDF" w14:textId="77777777" w:rsidR="00E23A9F" w:rsidRPr="003268E3" w:rsidRDefault="00E23A9F" w:rsidP="004E65F0">
            <w:pPr>
              <w:pStyle w:val="BodyText"/>
              <w:rPr>
                <w:rFonts w:cs="Arial"/>
                <w:sz w:val="18"/>
                <w:szCs w:val="18"/>
              </w:rPr>
            </w:pPr>
            <w:r w:rsidRPr="003268E3">
              <w:rPr>
                <w:rFonts w:cs="Arial"/>
                <w:sz w:val="18"/>
                <w:szCs w:val="18"/>
              </w:rPr>
              <w:t>Per annum of the NAV of the Fund</w:t>
            </w:r>
          </w:p>
          <w:p w14:paraId="169CCDA2" w14:textId="77777777" w:rsidR="00E23A9F" w:rsidRPr="003268E3" w:rsidRDefault="00E23A9F" w:rsidP="004E65F0">
            <w:pPr>
              <w:pStyle w:val="BodyText"/>
              <w:rPr>
                <w:rFonts w:cs="Arial"/>
                <w:sz w:val="18"/>
                <w:szCs w:val="18"/>
              </w:rPr>
            </w:pPr>
          </w:p>
        </w:tc>
        <w:tc>
          <w:tcPr>
            <w:tcW w:w="1182" w:type="pct"/>
            <w:vMerge w:val="restart"/>
            <w:tcBorders>
              <w:top w:val="single" w:sz="4" w:space="0" w:color="auto"/>
              <w:left w:val="single" w:sz="4" w:space="0" w:color="auto"/>
              <w:right w:val="single" w:sz="4" w:space="0" w:color="auto"/>
            </w:tcBorders>
            <w:shd w:val="clear" w:color="auto" w:fill="auto"/>
          </w:tcPr>
          <w:p w14:paraId="18898E9B" w14:textId="77777777" w:rsidR="00E23A9F" w:rsidRPr="003268E3" w:rsidRDefault="00E23A9F" w:rsidP="004E65F0">
            <w:pPr>
              <w:pStyle w:val="BodyText"/>
              <w:rPr>
                <w:rFonts w:cs="Arial"/>
                <w:sz w:val="18"/>
                <w:szCs w:val="18"/>
              </w:rPr>
            </w:pPr>
            <w:r w:rsidRPr="003268E3">
              <w:rPr>
                <w:rFonts w:cs="Arial"/>
                <w:sz w:val="18"/>
                <w:szCs w:val="18"/>
              </w:rPr>
              <w:t xml:space="preserve">0.0175% </w:t>
            </w:r>
          </w:p>
          <w:p w14:paraId="7030801C" w14:textId="77777777" w:rsidR="00E23A9F" w:rsidRPr="003268E3" w:rsidRDefault="00E23A9F" w:rsidP="004E65F0">
            <w:pPr>
              <w:pStyle w:val="BodyText"/>
              <w:rPr>
                <w:rFonts w:cs="Arial"/>
                <w:sz w:val="18"/>
                <w:szCs w:val="18"/>
              </w:rPr>
            </w:pPr>
            <w:r w:rsidRPr="003268E3">
              <w:rPr>
                <w:rFonts w:cs="Arial"/>
                <w:sz w:val="18"/>
                <w:szCs w:val="18"/>
              </w:rPr>
              <w:t xml:space="preserve">Per annum of the NAV of the Fund </w:t>
            </w:r>
          </w:p>
        </w:tc>
      </w:tr>
      <w:tr w:rsidR="00E23A9F" w:rsidRPr="00D55935" w14:paraId="26B846AD" w14:textId="77777777" w:rsidTr="0081283A">
        <w:trPr>
          <w:trHeight w:val="885"/>
        </w:trPr>
        <w:tc>
          <w:tcPr>
            <w:tcW w:w="1193" w:type="pct"/>
            <w:vMerge/>
            <w:tcBorders>
              <w:left w:val="single" w:sz="4" w:space="0" w:color="auto"/>
              <w:right w:val="single" w:sz="4" w:space="0" w:color="auto"/>
            </w:tcBorders>
            <w:shd w:val="clear" w:color="auto" w:fill="auto"/>
          </w:tcPr>
          <w:p w14:paraId="61B4261F" w14:textId="77777777" w:rsidR="00E23A9F" w:rsidRPr="00D55935" w:rsidRDefault="00E23A9F" w:rsidP="004E65F0">
            <w:pPr>
              <w:pStyle w:val="BodyText"/>
              <w:rPr>
                <w:rFonts w:cs="Arial"/>
                <w:sz w:val="15"/>
                <w:szCs w:val="15"/>
              </w:rPr>
            </w:pPr>
          </w:p>
        </w:tc>
        <w:tc>
          <w:tcPr>
            <w:tcW w:w="1309" w:type="pct"/>
            <w:vMerge/>
            <w:tcBorders>
              <w:left w:val="single" w:sz="4" w:space="0" w:color="auto"/>
              <w:right w:val="single" w:sz="4" w:space="0" w:color="auto"/>
            </w:tcBorders>
          </w:tcPr>
          <w:p w14:paraId="57275C76" w14:textId="77777777" w:rsidR="00E23A9F" w:rsidRPr="00D55935" w:rsidRDefault="00E23A9F" w:rsidP="004E65F0">
            <w:pPr>
              <w:pStyle w:val="BodyText"/>
              <w:rPr>
                <w:rFonts w:cs="Arial"/>
                <w:sz w:val="15"/>
                <w:szCs w:val="15"/>
              </w:rPr>
            </w:pPr>
          </w:p>
        </w:tc>
        <w:tc>
          <w:tcPr>
            <w:tcW w:w="1316" w:type="pct"/>
            <w:vMerge/>
            <w:tcBorders>
              <w:left w:val="single" w:sz="4" w:space="0" w:color="auto"/>
              <w:right w:val="single" w:sz="4" w:space="0" w:color="auto"/>
            </w:tcBorders>
            <w:shd w:val="clear" w:color="auto" w:fill="auto"/>
          </w:tcPr>
          <w:p w14:paraId="1C12F59C" w14:textId="77777777" w:rsidR="00E23A9F" w:rsidRPr="00D55935" w:rsidRDefault="00E23A9F" w:rsidP="004E65F0">
            <w:pPr>
              <w:pStyle w:val="BodyText"/>
              <w:rPr>
                <w:rFonts w:cs="Arial"/>
                <w:sz w:val="15"/>
                <w:szCs w:val="15"/>
              </w:rPr>
            </w:pPr>
          </w:p>
        </w:tc>
        <w:tc>
          <w:tcPr>
            <w:tcW w:w="1182" w:type="pct"/>
            <w:vMerge/>
            <w:tcBorders>
              <w:left w:val="single" w:sz="4" w:space="0" w:color="auto"/>
              <w:right w:val="single" w:sz="4" w:space="0" w:color="auto"/>
            </w:tcBorders>
            <w:shd w:val="clear" w:color="auto" w:fill="auto"/>
          </w:tcPr>
          <w:p w14:paraId="1E6513E0" w14:textId="77777777" w:rsidR="00E23A9F" w:rsidRPr="00D55935" w:rsidRDefault="00E23A9F" w:rsidP="004E65F0">
            <w:pPr>
              <w:pStyle w:val="BodyText"/>
              <w:rPr>
                <w:rFonts w:cs="Arial"/>
                <w:sz w:val="15"/>
                <w:szCs w:val="15"/>
              </w:rPr>
            </w:pPr>
          </w:p>
        </w:tc>
      </w:tr>
      <w:tr w:rsidR="00E23A9F" w:rsidRPr="00D55935" w14:paraId="5D3E3667" w14:textId="77777777" w:rsidTr="0081283A">
        <w:trPr>
          <w:trHeight w:val="495"/>
        </w:trPr>
        <w:tc>
          <w:tcPr>
            <w:tcW w:w="1193" w:type="pct"/>
            <w:vMerge/>
            <w:tcBorders>
              <w:left w:val="single" w:sz="4" w:space="0" w:color="auto"/>
              <w:bottom w:val="single" w:sz="4" w:space="0" w:color="auto"/>
              <w:right w:val="single" w:sz="4" w:space="0" w:color="auto"/>
            </w:tcBorders>
            <w:shd w:val="clear" w:color="auto" w:fill="auto"/>
          </w:tcPr>
          <w:p w14:paraId="067C2D93" w14:textId="77777777" w:rsidR="00E23A9F" w:rsidRPr="00D55935" w:rsidRDefault="00E23A9F" w:rsidP="004E65F0">
            <w:pPr>
              <w:pStyle w:val="BodyText"/>
              <w:rPr>
                <w:rFonts w:cs="Arial"/>
                <w:sz w:val="15"/>
                <w:szCs w:val="15"/>
              </w:rPr>
            </w:pPr>
          </w:p>
        </w:tc>
        <w:tc>
          <w:tcPr>
            <w:tcW w:w="1309" w:type="pct"/>
            <w:vMerge/>
            <w:tcBorders>
              <w:left w:val="single" w:sz="4" w:space="0" w:color="auto"/>
              <w:bottom w:val="single" w:sz="4" w:space="0" w:color="auto"/>
              <w:right w:val="single" w:sz="4" w:space="0" w:color="auto"/>
            </w:tcBorders>
          </w:tcPr>
          <w:p w14:paraId="64ED01E5" w14:textId="77777777" w:rsidR="00E23A9F" w:rsidRPr="00D55935" w:rsidRDefault="00E23A9F" w:rsidP="004E65F0">
            <w:pPr>
              <w:pStyle w:val="BodyText"/>
              <w:rPr>
                <w:rFonts w:cs="Arial"/>
                <w:sz w:val="15"/>
                <w:szCs w:val="15"/>
              </w:rPr>
            </w:pPr>
          </w:p>
        </w:tc>
        <w:tc>
          <w:tcPr>
            <w:tcW w:w="1316" w:type="pct"/>
            <w:vMerge/>
            <w:tcBorders>
              <w:left w:val="single" w:sz="4" w:space="0" w:color="auto"/>
              <w:bottom w:val="single" w:sz="4" w:space="0" w:color="auto"/>
              <w:right w:val="single" w:sz="4" w:space="0" w:color="auto"/>
            </w:tcBorders>
            <w:shd w:val="clear" w:color="auto" w:fill="auto"/>
          </w:tcPr>
          <w:p w14:paraId="736E8F72" w14:textId="77777777" w:rsidR="00E23A9F" w:rsidRPr="00D55935" w:rsidRDefault="00E23A9F" w:rsidP="004E65F0">
            <w:pPr>
              <w:pStyle w:val="BodyText"/>
              <w:rPr>
                <w:rFonts w:cs="Arial"/>
                <w:sz w:val="15"/>
                <w:szCs w:val="15"/>
              </w:rPr>
            </w:pPr>
          </w:p>
        </w:tc>
        <w:tc>
          <w:tcPr>
            <w:tcW w:w="1182" w:type="pct"/>
            <w:vMerge/>
            <w:tcBorders>
              <w:left w:val="single" w:sz="4" w:space="0" w:color="auto"/>
              <w:bottom w:val="single" w:sz="4" w:space="0" w:color="auto"/>
              <w:right w:val="single" w:sz="4" w:space="0" w:color="auto"/>
            </w:tcBorders>
            <w:shd w:val="clear" w:color="auto" w:fill="auto"/>
          </w:tcPr>
          <w:p w14:paraId="7381FFC6" w14:textId="77777777" w:rsidR="00E23A9F" w:rsidRPr="00D55935" w:rsidRDefault="00E23A9F" w:rsidP="004E65F0">
            <w:pPr>
              <w:pStyle w:val="BodyText"/>
              <w:rPr>
                <w:rFonts w:cs="Arial"/>
                <w:sz w:val="15"/>
                <w:szCs w:val="15"/>
              </w:rPr>
            </w:pPr>
          </w:p>
        </w:tc>
      </w:tr>
    </w:tbl>
    <w:p w14:paraId="36BA07C7" w14:textId="77777777" w:rsidR="0077068C" w:rsidRPr="00A4485E" w:rsidRDefault="0077068C" w:rsidP="00A4485E">
      <w:pPr>
        <w:pStyle w:val="BodyText"/>
        <w:keepNext/>
        <w:rPr>
          <w:b/>
        </w:rPr>
      </w:pPr>
      <w:r w:rsidRPr="00A4485E">
        <w:rPr>
          <w:b/>
        </w:rPr>
        <w:t>Investment Management Fee &amp; Expenses</w:t>
      </w:r>
    </w:p>
    <w:p w14:paraId="19C92886" w14:textId="77777777" w:rsidR="0077068C" w:rsidRPr="00A4485E" w:rsidRDefault="0077068C" w:rsidP="00A4485E">
      <w:pPr>
        <w:pStyle w:val="BodyText"/>
      </w:pPr>
      <w:r w:rsidRPr="00A4485E">
        <w:t>The Investment Manager shall be entitled to the maximum annual Investment Management Fee equal to a percentage of the Net Asset Value of the relevant Class detailed in the above table.</w:t>
      </w:r>
    </w:p>
    <w:p w14:paraId="55245E3E" w14:textId="77777777" w:rsidR="0077068C" w:rsidRPr="00A4485E" w:rsidRDefault="0077068C" w:rsidP="00A4485E">
      <w:pPr>
        <w:pStyle w:val="BodyText"/>
      </w:pPr>
      <w:r w:rsidRPr="00A4485E">
        <w:t>Such fee shall be calculated and accrued at each Valuation Point and payable monthly in arrears.</w:t>
      </w:r>
    </w:p>
    <w:p w14:paraId="6F4047E3" w14:textId="77777777" w:rsidR="0077068C" w:rsidRPr="00A4485E" w:rsidRDefault="0077068C" w:rsidP="00A4485E">
      <w:pPr>
        <w:spacing w:before="120"/>
        <w:rPr>
          <w:rFonts w:cs="Arial"/>
        </w:rPr>
      </w:pPr>
      <w:r w:rsidRPr="00A4485E">
        <w:rPr>
          <w:rFonts w:cs="Arial"/>
        </w:rPr>
        <w:lastRenderedPageBreak/>
        <w:t>The Investment Manager is also entitled to its reasonable out-of-pocket expenses out of the assets of the Fund.</w:t>
      </w:r>
    </w:p>
    <w:p w14:paraId="1012C7BA" w14:textId="77777777" w:rsidR="0077068C" w:rsidRPr="00A4485E" w:rsidRDefault="0077068C" w:rsidP="00A4485E">
      <w:pPr>
        <w:pStyle w:val="BodyText"/>
        <w:keepNext/>
        <w:rPr>
          <w:b/>
        </w:rPr>
      </w:pPr>
      <w:r w:rsidRPr="00A4485E">
        <w:rPr>
          <w:b/>
        </w:rPr>
        <w:t xml:space="preserve">Depositary Fee &amp; Expenses </w:t>
      </w:r>
    </w:p>
    <w:p w14:paraId="3B84F294" w14:textId="77777777" w:rsidR="0077068C" w:rsidRPr="00A4485E" w:rsidRDefault="0077068C" w:rsidP="00A4485E">
      <w:pPr>
        <w:pStyle w:val="BodyText"/>
        <w:rPr>
          <w:lang w:val="en-IE" w:eastAsia="en-US"/>
        </w:rPr>
      </w:pPr>
      <w:r w:rsidRPr="00A4485E">
        <w:rPr>
          <w:lang w:val="en-IE" w:eastAsia="en-US"/>
        </w:rPr>
        <w:t xml:space="preserve">The Depositary shall be entitled to an annual Depositary Fee equal to a percentage of the Net Asset Value of the relevant Class, detailed in the above table, subject to a minimum monthly fee of €600 together with reasonable costs and expenses incurred by the Depositary in the performance of its duties as Depositary of the Fund. These fees shall accrue and be calculated on each Dealing Day and shall be payable monthly in arrears.  </w:t>
      </w:r>
    </w:p>
    <w:p w14:paraId="765AE098" w14:textId="77777777" w:rsidR="00C20217" w:rsidRPr="00A4485E" w:rsidRDefault="0077068C" w:rsidP="00A4485E">
      <w:pPr>
        <w:pStyle w:val="BodyText"/>
        <w:rPr>
          <w:lang w:val="en-IE" w:eastAsia="en-US"/>
        </w:rPr>
      </w:pPr>
      <w:r w:rsidRPr="00A4485E">
        <w:rPr>
          <w:lang w:val="en-IE" w:eastAsia="en-US"/>
        </w:rPr>
        <w:t>The Depositary shall also be entitled to be reimbursed out of the assets of the Fund all agreed sub-custodian fees, expenses and transaction charges (which will be charged at normal commercial rates)</w:t>
      </w:r>
      <w:r w:rsidR="00973942" w:rsidRPr="00A4485E">
        <w:rPr>
          <w:lang w:val="en-IE" w:eastAsia="en-US"/>
        </w:rPr>
        <w:t xml:space="preserve"> as agreed with the Directors.</w:t>
      </w:r>
    </w:p>
    <w:p w14:paraId="17671657" w14:textId="77777777" w:rsidR="0077068C" w:rsidRPr="00A4485E" w:rsidRDefault="0077068C" w:rsidP="00A4485E">
      <w:pPr>
        <w:pStyle w:val="BodyText"/>
        <w:keepNext/>
        <w:rPr>
          <w:b/>
        </w:rPr>
      </w:pPr>
      <w:r w:rsidRPr="00A4485E">
        <w:rPr>
          <w:b/>
        </w:rPr>
        <w:t>Administrator Fee &amp; Expenses</w:t>
      </w:r>
    </w:p>
    <w:p w14:paraId="68D0C977" w14:textId="5A716DFA" w:rsidR="0077068C" w:rsidRPr="00A4485E" w:rsidRDefault="0077068C" w:rsidP="00A4485E">
      <w:pPr>
        <w:pStyle w:val="BodyText"/>
      </w:pPr>
      <w:r w:rsidRPr="00A4485E">
        <w:t xml:space="preserve">The Administrator shall be entitled to the maximum annual Administrator Fee equal to a percentage of the Net Asset Value of the relevant Class detailed in the above table. Such fee shall be calculated and accrued at each Valuation Point and payable monthly in arrears. The Administrator shall be also be entitled to a minimum annual fee </w:t>
      </w:r>
      <w:r w:rsidR="00596C97">
        <w:t xml:space="preserve">in respect of the Company </w:t>
      </w:r>
      <w:r w:rsidRPr="00A4485E">
        <w:t xml:space="preserve">of </w:t>
      </w:r>
      <w:r w:rsidRPr="00A4485E">
        <w:rPr>
          <w:lang w:val="en-IE"/>
        </w:rPr>
        <w:t>€30,000 per year and a transaction fee for each transaction conducted pursuant to the Administration Agreement which will be charged at normal commercial rates.</w:t>
      </w:r>
    </w:p>
    <w:p w14:paraId="2CCDCD79" w14:textId="77777777" w:rsidR="0077068C" w:rsidRPr="00A4485E" w:rsidRDefault="0077068C" w:rsidP="00A4485E">
      <w:pPr>
        <w:spacing w:before="120"/>
        <w:rPr>
          <w:rFonts w:cs="Arial"/>
        </w:rPr>
      </w:pPr>
      <w:r w:rsidRPr="00A4485E">
        <w:rPr>
          <w:rFonts w:cs="Arial"/>
        </w:rPr>
        <w:t>The Administrator is also entitled to its reasonable out-of-pocket expenses out of the assets of the Fund.</w:t>
      </w:r>
    </w:p>
    <w:p w14:paraId="6E505C5E" w14:textId="7A2CFE52" w:rsidR="0077068C" w:rsidRPr="00A4485E" w:rsidRDefault="0077068C" w:rsidP="00A4485E">
      <w:pPr>
        <w:pStyle w:val="BodyText"/>
        <w:keepNext/>
        <w:rPr>
          <w:b/>
        </w:rPr>
      </w:pPr>
      <w:r w:rsidRPr="00A4485E">
        <w:rPr>
          <w:b/>
        </w:rPr>
        <w:t>Performance Fee</w:t>
      </w:r>
    </w:p>
    <w:p w14:paraId="58713348" w14:textId="6D44CAD8" w:rsidR="002C1023" w:rsidRPr="00A4485E" w:rsidRDefault="002C1023" w:rsidP="00A4485E">
      <w:pPr>
        <w:pStyle w:val="Agreement2"/>
        <w:spacing w:before="120"/>
        <w:rPr>
          <w:rFonts w:cs="Arial"/>
          <w:b/>
          <w:lang w:eastAsia="en-GB"/>
        </w:rPr>
      </w:pPr>
      <w:r w:rsidRPr="00A4485E">
        <w:rPr>
          <w:rFonts w:cs="Arial"/>
          <w:b/>
          <w:lang w:eastAsia="en-GB"/>
        </w:rPr>
        <w:t>Performance Fee</w:t>
      </w:r>
    </w:p>
    <w:p w14:paraId="0F9F2904" w14:textId="7E169995" w:rsidR="00A244B0" w:rsidRDefault="00A244B0" w:rsidP="00A244B0">
      <w:pPr>
        <w:spacing w:before="120"/>
        <w:rPr>
          <w:rFonts w:cs="Arial"/>
          <w:lang w:eastAsia="en-IE"/>
        </w:rPr>
      </w:pPr>
      <w:r>
        <w:rPr>
          <w:rFonts w:cs="Arial"/>
        </w:rPr>
        <w:t>The Investment Manager will also be entitled to receive a performance-based fee out of the assets of the Fund (the “</w:t>
      </w:r>
      <w:r>
        <w:rPr>
          <w:rFonts w:cs="Arial"/>
          <w:b/>
        </w:rPr>
        <w:t>Performance Fee</w:t>
      </w:r>
      <w:r>
        <w:rPr>
          <w:rFonts w:cs="Arial"/>
        </w:rPr>
        <w:t xml:space="preserve">”). The Performance Fee in respect of each of the relevant </w:t>
      </w:r>
      <w:r w:rsidR="00B67AA2">
        <w:rPr>
          <w:rFonts w:cs="Arial"/>
        </w:rPr>
        <w:t xml:space="preserve">Share </w:t>
      </w:r>
      <w:r>
        <w:rPr>
          <w:rFonts w:cs="Arial"/>
        </w:rPr>
        <w:t xml:space="preserve">Classes for each Performance Period will be equal to 15% of the appreciation in the Net Asset Value in excess of the High Water Mark, subject to the Net Asset Value being in excess of the High Water Mark as increased by the Hurdle Rate. </w:t>
      </w:r>
    </w:p>
    <w:p w14:paraId="67F52A49" w14:textId="3C205EC9" w:rsidR="00A244B0" w:rsidRDefault="00A244B0" w:rsidP="00A244B0">
      <w:pPr>
        <w:spacing w:before="120"/>
        <w:rPr>
          <w:rFonts w:ascii="Calibri" w:eastAsiaTheme="minorHAnsi" w:hAnsi="Calibri" w:cs="Arial"/>
          <w:sz w:val="22"/>
          <w:szCs w:val="22"/>
        </w:rPr>
      </w:pPr>
      <w:r>
        <w:rPr>
          <w:rFonts w:cs="Arial"/>
        </w:rPr>
        <w:t xml:space="preserve">For the avoidance of doubt, a Performance Fee shall only be payable where the Net Asset Value of the relevant </w:t>
      </w:r>
      <w:r w:rsidR="00B67AA2">
        <w:rPr>
          <w:rFonts w:cs="Arial"/>
        </w:rPr>
        <w:t xml:space="preserve">Share </w:t>
      </w:r>
      <w:r>
        <w:rPr>
          <w:rFonts w:cs="Arial"/>
        </w:rPr>
        <w:t>Class exceeds the High Water Mark as increased by the Hurdle Rate. The Hurdle Rate is non-cumulative and any underperformance versus the Hurdle Rate in the Performance Period is not carried forward from one Performance Period to the next.</w:t>
      </w:r>
    </w:p>
    <w:p w14:paraId="43641653" w14:textId="5EBCFD64" w:rsidR="00A244B0" w:rsidRDefault="00A244B0" w:rsidP="00A244B0">
      <w:pPr>
        <w:keepNext/>
        <w:spacing w:before="120"/>
        <w:rPr>
          <w:rFonts w:cs="Arial"/>
        </w:rPr>
      </w:pPr>
      <w:r>
        <w:rPr>
          <w:rFonts w:cs="Arial"/>
        </w:rPr>
        <w:t xml:space="preserve">The High Water Mark of the relevant </w:t>
      </w:r>
      <w:r w:rsidR="00FE6DAF">
        <w:rPr>
          <w:rFonts w:cs="Arial"/>
        </w:rPr>
        <w:t xml:space="preserve">Share </w:t>
      </w:r>
      <w:r>
        <w:rPr>
          <w:rFonts w:cs="Arial"/>
        </w:rPr>
        <w:t>Class is the higher of:</w:t>
      </w:r>
    </w:p>
    <w:p w14:paraId="71B945E4" w14:textId="33811F62" w:rsidR="00A244B0" w:rsidRDefault="00A244B0" w:rsidP="006D294D">
      <w:pPr>
        <w:numPr>
          <w:ilvl w:val="0"/>
          <w:numId w:val="14"/>
        </w:numPr>
        <w:spacing w:before="120"/>
        <w:rPr>
          <w:rFonts w:cs="Arial"/>
        </w:rPr>
      </w:pPr>
      <w:r>
        <w:rPr>
          <w:rFonts w:cs="Arial"/>
        </w:rPr>
        <w:t xml:space="preserve">the initial offer price multiplied by the initial shares issued to the relevant </w:t>
      </w:r>
      <w:r w:rsidR="002D1477">
        <w:rPr>
          <w:rFonts w:cs="Arial"/>
        </w:rPr>
        <w:t xml:space="preserve">Share </w:t>
      </w:r>
      <w:r w:rsidRPr="002D1477">
        <w:rPr>
          <w:rFonts w:cs="Arial"/>
        </w:rPr>
        <w:t>Class;</w:t>
      </w:r>
      <w:r>
        <w:rPr>
          <w:rFonts w:cs="Arial"/>
        </w:rPr>
        <w:t xml:space="preserve"> and</w:t>
      </w:r>
    </w:p>
    <w:p w14:paraId="6BBB3090" w14:textId="77777777" w:rsidR="00A244B0" w:rsidRDefault="00A244B0" w:rsidP="006D294D">
      <w:pPr>
        <w:numPr>
          <w:ilvl w:val="0"/>
          <w:numId w:val="14"/>
        </w:numPr>
        <w:spacing w:before="120"/>
        <w:rPr>
          <w:rFonts w:cs="Arial"/>
        </w:rPr>
      </w:pPr>
      <w:r>
        <w:rPr>
          <w:rFonts w:cs="Arial"/>
        </w:rPr>
        <w:t>the highest Net Asset Value of the relevant Share Class in the Fund as at the last Valuation Point of any previous Performance Period.</w:t>
      </w:r>
    </w:p>
    <w:p w14:paraId="1E722482" w14:textId="77777777" w:rsidR="002C1023" w:rsidRPr="00A4485E" w:rsidRDefault="002C1023" w:rsidP="00A4485E">
      <w:pPr>
        <w:autoSpaceDE w:val="0"/>
        <w:autoSpaceDN w:val="0"/>
        <w:spacing w:before="120"/>
        <w:rPr>
          <w:rFonts w:cs="Arial"/>
        </w:rPr>
      </w:pPr>
      <w:r w:rsidRPr="00A4485E">
        <w:rPr>
          <w:rFonts w:cs="Arial"/>
        </w:rPr>
        <w:t>The Performance Fee will be calculated and accrued as at each Valuation Day and paid annually in arrears. The Performance Fee in respect of each Performance Period will be calculated by reference to the Net Asset Value before deduction for any accrued Performance Fee.</w:t>
      </w:r>
    </w:p>
    <w:p w14:paraId="1BEF43C1" w14:textId="77777777" w:rsidR="002C1023" w:rsidRPr="00A4485E" w:rsidRDefault="002C1023" w:rsidP="00A4485E">
      <w:pPr>
        <w:autoSpaceDE w:val="0"/>
        <w:autoSpaceDN w:val="0"/>
        <w:spacing w:before="120"/>
        <w:rPr>
          <w:rFonts w:cs="Arial"/>
        </w:rPr>
      </w:pPr>
      <w:r w:rsidRPr="00A4485E">
        <w:rPr>
          <w:rFonts w:cs="Arial"/>
        </w:rPr>
        <w:t>The Performance Fee will be paid to the Investment Manager in arrears as soon as reasonably practicable after the end of each Performance Period.</w:t>
      </w:r>
    </w:p>
    <w:p w14:paraId="45070340" w14:textId="77777777" w:rsidR="002C1023" w:rsidRPr="00A4485E" w:rsidRDefault="002C1023" w:rsidP="00A4485E">
      <w:pPr>
        <w:autoSpaceDE w:val="0"/>
        <w:autoSpaceDN w:val="0"/>
        <w:spacing w:before="120"/>
        <w:rPr>
          <w:rFonts w:cs="Arial"/>
        </w:rPr>
      </w:pPr>
      <w:r w:rsidRPr="00A4485E">
        <w:rPr>
          <w:rFonts w:cs="Arial"/>
        </w:rPr>
        <w:t>If Shares are redeemed during a Performance Period, the Performance Fee will be calculated as though the relevant Redemption Day was the end of a Performance Period and an amount equal to any accrued Performance Fee in respect of such Shares will be paid to the Investment Manager. The accrued Performance Fee in respect of those Shares will be paid to the Investment Manager as soon as reasonably practicable after the date of redemption.</w:t>
      </w:r>
    </w:p>
    <w:p w14:paraId="39149AAC" w14:textId="77777777" w:rsidR="002C1023" w:rsidRPr="00A4485E" w:rsidRDefault="002C1023" w:rsidP="00A4485E">
      <w:pPr>
        <w:autoSpaceDE w:val="0"/>
        <w:autoSpaceDN w:val="0"/>
        <w:spacing w:before="120"/>
        <w:rPr>
          <w:rFonts w:cs="Arial"/>
        </w:rPr>
      </w:pPr>
      <w:r w:rsidRPr="00A4485E">
        <w:rPr>
          <w:rFonts w:cs="Arial"/>
        </w:rPr>
        <w:lastRenderedPageBreak/>
        <w:t>If the Investment Management Agreement is terminated during a Performance Period, the Performance Fee in respect of the then current Performance Period will be calculated and paid as though the date of termination were the end of the relevant Performance Period.</w:t>
      </w:r>
    </w:p>
    <w:p w14:paraId="1FCBF6D2" w14:textId="3E945F1D" w:rsidR="002C1023" w:rsidRPr="00A4485E" w:rsidRDefault="002C1023" w:rsidP="00A4485E">
      <w:pPr>
        <w:autoSpaceDE w:val="0"/>
        <w:autoSpaceDN w:val="0"/>
        <w:spacing w:before="120"/>
        <w:rPr>
          <w:rFonts w:cs="Arial"/>
        </w:rPr>
      </w:pPr>
      <w:r w:rsidRPr="00A4485E">
        <w:rPr>
          <w:rFonts w:cs="Arial"/>
        </w:rPr>
        <w:t>The Performance Fee is based on net realised and net unrealised gains and losses as at the end of each Performance Period and, as a result the Performance Fee may be paid on unrealised gains which may subsequently never be realised.</w:t>
      </w:r>
    </w:p>
    <w:p w14:paraId="0326B2AA" w14:textId="3987380A" w:rsidR="002C1023" w:rsidRPr="00A4485E" w:rsidRDefault="002C1023" w:rsidP="00A4485E">
      <w:pPr>
        <w:autoSpaceDE w:val="0"/>
        <w:autoSpaceDN w:val="0"/>
        <w:spacing w:before="120"/>
        <w:rPr>
          <w:rFonts w:cs="Arial"/>
          <w:spacing w:val="-2"/>
        </w:rPr>
      </w:pPr>
      <w:r w:rsidRPr="00A4485E">
        <w:rPr>
          <w:rFonts w:cs="Arial"/>
          <w:spacing w:val="-2"/>
        </w:rPr>
        <w:t>The Performance Fee shall be calculated by the Administrator and verified by the Depositary following the year end.</w:t>
      </w:r>
    </w:p>
    <w:p w14:paraId="095FEF62" w14:textId="77777777" w:rsidR="00722A91" w:rsidRPr="00A4485E" w:rsidRDefault="00722A91" w:rsidP="00A4485E">
      <w:pPr>
        <w:autoSpaceDE w:val="0"/>
        <w:autoSpaceDN w:val="0"/>
        <w:spacing w:before="120"/>
        <w:rPr>
          <w:rFonts w:cs="Arial"/>
          <w:spacing w:val="-2"/>
        </w:rPr>
      </w:pPr>
      <w:r w:rsidRPr="00A4485E">
        <w:rPr>
          <w:rFonts w:cs="Arial"/>
          <w:spacing w:val="-2"/>
        </w:rPr>
        <w:t>The checks implemented in respect of the Performance Fee are in place to prevent the Performance Fee from being open to the possibility of manipulation.</w:t>
      </w:r>
    </w:p>
    <w:p w14:paraId="1409BBEC" w14:textId="056D555F" w:rsidR="00A71224" w:rsidRPr="00A4485E" w:rsidRDefault="00A71224" w:rsidP="00A4485E">
      <w:pPr>
        <w:keepNext/>
        <w:spacing w:before="120"/>
        <w:rPr>
          <w:rFonts w:cs="Arial"/>
        </w:rPr>
      </w:pPr>
      <w:bookmarkStart w:id="2" w:name="_DV_M474"/>
      <w:bookmarkStart w:id="3" w:name="_DV_M475"/>
      <w:bookmarkStart w:id="4" w:name="_DV_M481"/>
      <w:bookmarkEnd w:id="2"/>
      <w:bookmarkEnd w:id="3"/>
      <w:bookmarkEnd w:id="4"/>
      <w:r w:rsidRPr="00A4485E">
        <w:rPr>
          <w:rFonts w:cs="Arial"/>
          <w:b/>
          <w:bCs/>
        </w:rPr>
        <w:t>Management Fee</w:t>
      </w:r>
    </w:p>
    <w:p w14:paraId="0DDD5DC1" w14:textId="7008BE84" w:rsidR="00A71224" w:rsidRPr="00A4485E" w:rsidRDefault="00A71224" w:rsidP="00A4485E">
      <w:pPr>
        <w:spacing w:before="120"/>
        <w:rPr>
          <w:rFonts w:cs="Arial"/>
          <w:b/>
          <w:bCs/>
        </w:rPr>
      </w:pPr>
      <w:r w:rsidRPr="00A4485E">
        <w:rPr>
          <w:rFonts w:cs="Arial"/>
        </w:rPr>
        <w:t>Investors are referred to the Prospectus for details of the Manager's fee.</w:t>
      </w:r>
    </w:p>
    <w:p w14:paraId="73841D12" w14:textId="77777777" w:rsidR="00D06719" w:rsidRPr="00A4485E" w:rsidRDefault="00D06719" w:rsidP="00A4485E">
      <w:pPr>
        <w:pStyle w:val="Agreement2"/>
        <w:keepNext/>
        <w:spacing w:before="120"/>
        <w:rPr>
          <w:b/>
        </w:rPr>
      </w:pPr>
      <w:r w:rsidRPr="00A4485E">
        <w:rPr>
          <w:b/>
        </w:rPr>
        <w:t>Benchmark Regulation</w:t>
      </w:r>
    </w:p>
    <w:p w14:paraId="2E5C3466" w14:textId="3634C47D" w:rsidR="00D06719" w:rsidRPr="00A4485E" w:rsidRDefault="00D06719" w:rsidP="00A4485E">
      <w:pPr>
        <w:pStyle w:val="BodyTextIndent"/>
        <w:ind w:left="0"/>
      </w:pPr>
      <w:r w:rsidRPr="00A4485E">
        <w:t>The Fun</w:t>
      </w:r>
      <w:r w:rsidR="009E1BAC" w:rsidRPr="00A4485E">
        <w:t>d</w:t>
      </w:r>
      <w:r w:rsidR="005864E0" w:rsidRPr="00A4485E">
        <w:t xml:space="preserve"> uses </w:t>
      </w:r>
      <w:r w:rsidR="00C8484D">
        <w:t>ESTER</w:t>
      </w:r>
      <w:r w:rsidR="005864E0" w:rsidRPr="00A4485E">
        <w:t xml:space="preserve"> to measure the performance of the Fund in accordance with Article 3(1)(7)(e) of the Benchmark Regulation. The Fund also uses the MSCI World Index (together with </w:t>
      </w:r>
      <w:r w:rsidR="00C8484D">
        <w:t>ESTER</w:t>
      </w:r>
      <w:r w:rsidR="005864E0" w:rsidRPr="00A4485E">
        <w:t>, each a "</w:t>
      </w:r>
      <w:r w:rsidR="005864E0" w:rsidRPr="00A4485E">
        <w:rPr>
          <w:b/>
        </w:rPr>
        <w:t>Benchmark</w:t>
      </w:r>
      <w:r w:rsidR="005864E0" w:rsidRPr="00A4485E">
        <w:t>") to measure the performance of the Fund for comparison purposes only.</w:t>
      </w:r>
    </w:p>
    <w:p w14:paraId="22530672" w14:textId="77777777" w:rsidR="00D06719" w:rsidRPr="00A4485E" w:rsidRDefault="005864E0" w:rsidP="00A4485E">
      <w:pPr>
        <w:pStyle w:val="BodyTextIndent"/>
        <w:ind w:left="0"/>
        <w:rPr>
          <w:b/>
        </w:rPr>
      </w:pPr>
      <w:r w:rsidRPr="00A4485E">
        <w:t>Each Be</w:t>
      </w:r>
      <w:r w:rsidR="009E1BAC" w:rsidRPr="00A4485E">
        <w:t>nchmark</w:t>
      </w:r>
      <w:r w:rsidR="007045C3" w:rsidRPr="00A4485E">
        <w:t>,</w:t>
      </w:r>
      <w:r w:rsidR="00D06719" w:rsidRPr="00A4485E">
        <w:t xml:space="preserve"> </w:t>
      </w:r>
      <w:r w:rsidR="007045C3" w:rsidRPr="00A4485E">
        <w:t xml:space="preserve">administered by the European </w:t>
      </w:r>
      <w:r w:rsidR="005B685F" w:rsidRPr="00A4485E">
        <w:t xml:space="preserve">Money </w:t>
      </w:r>
      <w:r w:rsidR="007045C3" w:rsidRPr="00A4485E">
        <w:t>Markets In</w:t>
      </w:r>
      <w:r w:rsidR="009D1A9A" w:rsidRPr="00A4485E">
        <w:t>stitute, has been added to the list</w:t>
      </w:r>
      <w:r w:rsidR="007045C3" w:rsidRPr="00A4485E">
        <w:t xml:space="preserve"> of critical benchmarks </w:t>
      </w:r>
      <w:r w:rsidR="009D1A9A" w:rsidRPr="00A4485E">
        <w:t>pursuant to Article 10(1)</w:t>
      </w:r>
      <w:r w:rsidR="00305B29" w:rsidRPr="00A4485E">
        <w:t xml:space="preserve"> </w:t>
      </w:r>
      <w:r w:rsidR="00D06719" w:rsidRPr="00A4485E">
        <w:t xml:space="preserve">of the Benchmark </w:t>
      </w:r>
      <w:r w:rsidR="001D1B52" w:rsidRPr="00A4485E">
        <w:t>Regulation</w:t>
      </w:r>
      <w:r w:rsidR="0039480F" w:rsidRPr="00A4485E">
        <w:t xml:space="preserve">. </w:t>
      </w:r>
    </w:p>
    <w:p w14:paraId="662B11A3" w14:textId="77777777" w:rsidR="0077068C" w:rsidRPr="00A4485E" w:rsidRDefault="0077068C" w:rsidP="00A4485E">
      <w:pPr>
        <w:pStyle w:val="Agreement2"/>
        <w:keepNext/>
        <w:spacing w:before="120"/>
        <w:rPr>
          <w:b/>
        </w:rPr>
      </w:pPr>
      <w:r w:rsidRPr="00A4485E">
        <w:rPr>
          <w:b/>
        </w:rPr>
        <w:t>Other Fees and Expenses</w:t>
      </w:r>
    </w:p>
    <w:p w14:paraId="1D508C55" w14:textId="77777777" w:rsidR="0077068C" w:rsidRPr="00A4485E" w:rsidRDefault="0077068C" w:rsidP="00A4485E">
      <w:pPr>
        <w:pStyle w:val="BodyText"/>
      </w:pPr>
      <w:r w:rsidRPr="00A4485E">
        <w:t>This section should be read in conjunction with the section entitled "</w:t>
      </w:r>
      <w:r w:rsidRPr="00A4485E">
        <w:rPr>
          <w:b/>
        </w:rPr>
        <w:t>Fees and Expenses</w:t>
      </w:r>
      <w:r w:rsidRPr="00A4485E">
        <w:t>" in the Prospectus.</w:t>
      </w:r>
    </w:p>
    <w:p w14:paraId="362464DB" w14:textId="163BE25A" w:rsidR="0077068C" w:rsidRPr="00A4485E" w:rsidRDefault="0077068C" w:rsidP="00A4485E">
      <w:pPr>
        <w:pStyle w:val="Agreement3"/>
        <w:keepNext/>
        <w:spacing w:before="120"/>
        <w:ind w:left="720"/>
        <w:rPr>
          <w:b/>
        </w:rPr>
      </w:pPr>
      <w:r w:rsidRPr="00A4485E">
        <w:rPr>
          <w:b/>
        </w:rPr>
        <w:t>Establishment Expenses</w:t>
      </w:r>
    </w:p>
    <w:p w14:paraId="2D3E0671" w14:textId="747A37F1" w:rsidR="0077068C" w:rsidRPr="003B7575" w:rsidRDefault="003476AC" w:rsidP="003476AC">
      <w:r>
        <w:t xml:space="preserve">All </w:t>
      </w:r>
      <w:bookmarkStart w:id="5" w:name="_Hlk148435534"/>
      <w:bookmarkStart w:id="6" w:name="_Hlk148435913"/>
      <w:r>
        <w:rPr>
          <w:rFonts w:cs="Arial"/>
          <w:sz w:val="20"/>
          <w:szCs w:val="20"/>
        </w:rPr>
        <w:t>fees and expenses relating to the establishment and organisation of the Fund as detailed in the section of the Prospectus entitled "</w:t>
      </w:r>
      <w:r>
        <w:rPr>
          <w:rFonts w:cs="Arial"/>
          <w:b/>
          <w:bCs/>
          <w:sz w:val="20"/>
          <w:szCs w:val="20"/>
        </w:rPr>
        <w:t>Establishment Expenses</w:t>
      </w:r>
      <w:r>
        <w:rPr>
          <w:rFonts w:cs="Arial"/>
          <w:sz w:val="20"/>
          <w:szCs w:val="20"/>
        </w:rPr>
        <w:t>" have been borne by the Company and amortised in accordance with the provisions of the Prospectus</w:t>
      </w:r>
      <w:r>
        <w:rPr>
          <w:rFonts w:cs="Arial"/>
        </w:rPr>
        <w:t>.</w:t>
      </w:r>
      <w:bookmarkEnd w:id="5"/>
      <w:bookmarkEnd w:id="6"/>
    </w:p>
    <w:p w14:paraId="3F89F192" w14:textId="77777777" w:rsidR="0077068C" w:rsidRPr="00A4485E" w:rsidRDefault="0077068C" w:rsidP="00A4485E">
      <w:pPr>
        <w:pStyle w:val="Agreement2"/>
        <w:keepNext/>
        <w:spacing w:before="120"/>
        <w:rPr>
          <w:b/>
        </w:rPr>
      </w:pPr>
      <w:r w:rsidRPr="00A4485E">
        <w:rPr>
          <w:b/>
        </w:rPr>
        <w:t>Miscellaneous</w:t>
      </w:r>
    </w:p>
    <w:p w14:paraId="2A0543AF" w14:textId="77777777" w:rsidR="0077068C" w:rsidRPr="00A4485E" w:rsidRDefault="0077068C" w:rsidP="00A4485E">
      <w:pPr>
        <w:pStyle w:val="BodyText"/>
        <w:keepNext/>
      </w:pPr>
      <w:r w:rsidRPr="00A4485E">
        <w:t>Additional Funds of the Company may be added in the future with the prior approval of the Central Bank. The names of the other Funds are disclosed in the Prospectus.</w:t>
      </w:r>
    </w:p>
    <w:p w14:paraId="2A75D917" w14:textId="06161FA0" w:rsidR="00254B34" w:rsidRDefault="00254B34" w:rsidP="0077068C">
      <w:pPr>
        <w:rPr>
          <w:sz w:val="16"/>
        </w:rPr>
      </w:pPr>
    </w:p>
    <w:p w14:paraId="19C7EF8E" w14:textId="263DD76E" w:rsidR="00254B34" w:rsidRDefault="00254B34" w:rsidP="0077068C">
      <w:pPr>
        <w:rPr>
          <w:sz w:val="16"/>
        </w:rPr>
      </w:pPr>
    </w:p>
    <w:p w14:paraId="4C6B14C0" w14:textId="4307DA73" w:rsidR="009B71F0" w:rsidRDefault="009B71F0" w:rsidP="0077068C">
      <w:pPr>
        <w:rPr>
          <w:sz w:val="16"/>
        </w:rPr>
      </w:pPr>
    </w:p>
    <w:p w14:paraId="36AE0A00" w14:textId="4DC270E6" w:rsidR="00D96146" w:rsidRDefault="00D96146" w:rsidP="0077068C">
      <w:pPr>
        <w:rPr>
          <w:sz w:val="16"/>
        </w:rPr>
      </w:pPr>
    </w:p>
    <w:p w14:paraId="65C4C44F" w14:textId="48ABEEF4" w:rsidR="000F50E5" w:rsidRDefault="000F50E5" w:rsidP="0077068C">
      <w:pPr>
        <w:rPr>
          <w:sz w:val="16"/>
        </w:rPr>
      </w:pPr>
    </w:p>
    <w:p w14:paraId="4178705F" w14:textId="447BB5B7" w:rsidR="00C9697C" w:rsidRDefault="00C9697C" w:rsidP="0077068C">
      <w:pPr>
        <w:rPr>
          <w:sz w:val="16"/>
        </w:rPr>
      </w:pPr>
    </w:p>
    <w:p w14:paraId="58F71914" w14:textId="1A89E7D0" w:rsidR="00C9697C" w:rsidRDefault="00C9697C" w:rsidP="0077068C">
      <w:pPr>
        <w:rPr>
          <w:sz w:val="16"/>
        </w:rPr>
      </w:pPr>
    </w:p>
    <w:p w14:paraId="378EDE58" w14:textId="3100442C" w:rsidR="00C9697C" w:rsidRDefault="00C9697C">
      <w:pPr>
        <w:spacing w:before="0" w:after="0"/>
        <w:jc w:val="left"/>
        <w:rPr>
          <w:sz w:val="16"/>
        </w:rPr>
      </w:pPr>
      <w:r>
        <w:rPr>
          <w:sz w:val="16"/>
        </w:rPr>
        <w:br w:type="page"/>
      </w:r>
    </w:p>
    <w:p w14:paraId="724411BD" w14:textId="2EBFC758" w:rsidR="00C9697C" w:rsidRPr="00C9697C" w:rsidRDefault="00C9697C" w:rsidP="00C9697C">
      <w:pPr>
        <w:jc w:val="center"/>
        <w:rPr>
          <w:b/>
          <w:bCs/>
        </w:rPr>
      </w:pPr>
      <w:r w:rsidRPr="00C9697C">
        <w:rPr>
          <w:b/>
          <w:bCs/>
        </w:rPr>
        <w:lastRenderedPageBreak/>
        <w:t>Appendix I</w:t>
      </w:r>
    </w:p>
    <w:p w14:paraId="273E2498" w14:textId="77777777" w:rsidR="003C1B8B" w:rsidRPr="003C1B8B" w:rsidRDefault="003C1B8B" w:rsidP="003C1B8B">
      <w:pPr>
        <w:spacing w:before="0" w:after="160" w:line="259" w:lineRule="auto"/>
        <w:jc w:val="center"/>
        <w:rPr>
          <w:rFonts w:eastAsiaTheme="minorHAnsi" w:cs="Arial"/>
          <w:b/>
          <w:bCs/>
          <w:sz w:val="20"/>
          <w:szCs w:val="20"/>
          <w:lang w:val="en-GB"/>
        </w:rPr>
      </w:pPr>
      <w:r w:rsidRPr="003C1B8B">
        <w:rPr>
          <w:rFonts w:eastAsiaTheme="minorHAnsi" w:cs="Arial"/>
          <w:b/>
          <w:bCs/>
          <w:sz w:val="20"/>
          <w:szCs w:val="20"/>
          <w:lang w:val="en-GB"/>
        </w:rPr>
        <w:t xml:space="preserve">Template pre-contractual disclosure for the financial products referred to in Article 8, paragraphs 1, 2 and 2a, of Regulation (EU) 2019/2088 and Article 6, first paragraph, of Regulation (EU) 2020/852 </w:t>
      </w:r>
    </w:p>
    <w:tbl>
      <w:tblPr>
        <w:tblStyle w:val="TableGrid1"/>
        <w:tblW w:w="6054" w:type="pct"/>
        <w:tblInd w:w="-142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436"/>
        <w:gridCol w:w="271"/>
        <w:gridCol w:w="478"/>
        <w:gridCol w:w="2011"/>
        <w:gridCol w:w="1553"/>
        <w:gridCol w:w="417"/>
        <w:gridCol w:w="1133"/>
        <w:gridCol w:w="2619"/>
      </w:tblGrid>
      <w:tr w:rsidR="003C1B8B" w:rsidRPr="003C1B8B" w14:paraId="3418F2D8" w14:textId="77777777" w:rsidTr="00303F74">
        <w:trPr>
          <w:trHeight w:val="803"/>
        </w:trPr>
        <w:tc>
          <w:tcPr>
            <w:tcW w:w="1116" w:type="pct"/>
            <w:vMerge w:val="restart"/>
            <w:shd w:val="clear" w:color="auto" w:fill="D9D9D9" w:themeFill="background1" w:themeFillShade="D9"/>
          </w:tcPr>
          <w:p w14:paraId="160EA4A7" w14:textId="77777777" w:rsidR="003C1B8B" w:rsidRPr="003C1B8B" w:rsidRDefault="003C1B8B" w:rsidP="003C1B8B">
            <w:pPr>
              <w:spacing w:before="0" w:after="0"/>
              <w:jc w:val="left"/>
              <w:rPr>
                <w:rFonts w:ascii="Arial" w:hAnsi="Arial" w:cs="Arial"/>
                <w:bCs/>
                <w:sz w:val="18"/>
                <w:szCs w:val="18"/>
                <w:lang w:val="en-GB"/>
              </w:rPr>
            </w:pPr>
          </w:p>
          <w:p w14:paraId="4ACF4E71" w14:textId="77777777" w:rsidR="003C1B8B" w:rsidRPr="003C1B8B" w:rsidRDefault="003C1B8B" w:rsidP="003C1B8B">
            <w:pPr>
              <w:spacing w:before="0" w:after="0"/>
              <w:jc w:val="left"/>
              <w:rPr>
                <w:rFonts w:ascii="Arial" w:hAnsi="Arial" w:cs="Arial"/>
                <w:bCs/>
                <w:sz w:val="18"/>
                <w:szCs w:val="18"/>
                <w:lang w:val="en-GB"/>
              </w:rPr>
            </w:pPr>
          </w:p>
          <w:p w14:paraId="0E013299" w14:textId="77777777" w:rsidR="003C1B8B" w:rsidRPr="003C1B8B" w:rsidRDefault="003C1B8B" w:rsidP="003C1B8B">
            <w:pPr>
              <w:spacing w:before="0" w:after="0"/>
              <w:jc w:val="left"/>
              <w:rPr>
                <w:rFonts w:ascii="Arial" w:hAnsi="Arial" w:cs="Arial"/>
                <w:bCs/>
                <w:sz w:val="18"/>
                <w:szCs w:val="18"/>
                <w:lang w:val="en-GB"/>
              </w:rPr>
            </w:pPr>
          </w:p>
          <w:p w14:paraId="5EFEE07C" w14:textId="77777777" w:rsidR="003C1B8B" w:rsidRPr="003C1B8B" w:rsidRDefault="003C1B8B" w:rsidP="003C1B8B">
            <w:pPr>
              <w:spacing w:before="0" w:after="0"/>
              <w:jc w:val="left"/>
              <w:rPr>
                <w:rFonts w:ascii="Arial" w:hAnsi="Arial" w:cs="Arial"/>
                <w:bCs/>
                <w:sz w:val="18"/>
                <w:szCs w:val="18"/>
                <w:lang w:val="en-GB"/>
              </w:rPr>
            </w:pPr>
          </w:p>
          <w:p w14:paraId="72F6EB22" w14:textId="77777777" w:rsidR="003C1B8B" w:rsidRPr="003C1B8B" w:rsidRDefault="003C1B8B" w:rsidP="003C1B8B">
            <w:pPr>
              <w:spacing w:before="0" w:after="0"/>
              <w:jc w:val="left"/>
              <w:rPr>
                <w:rFonts w:ascii="Arial" w:hAnsi="Arial" w:cs="Arial"/>
                <w:bCs/>
                <w:sz w:val="20"/>
                <w:szCs w:val="20"/>
                <w:lang w:val="en-GB"/>
              </w:rPr>
            </w:pPr>
            <w:r w:rsidRPr="003C1B8B">
              <w:rPr>
                <w:rFonts w:ascii="Arial" w:hAnsi="Arial" w:cs="Arial"/>
                <w:bCs/>
                <w:sz w:val="18"/>
                <w:szCs w:val="18"/>
                <w:lang w:val="en-GB"/>
              </w:rPr>
              <w:t>Sustainable investment</w:t>
            </w:r>
            <w:r w:rsidRPr="003C1B8B">
              <w:rPr>
                <w:rFonts w:ascii="Arial" w:hAnsi="Arial" w:cs="Arial"/>
                <w:sz w:val="18"/>
                <w:szCs w:val="18"/>
                <w:lang w:val="en-GB"/>
              </w:rPr>
              <w:t xml:space="preserve"> means an investment in an economic activity that contributes to an environmental or social objective, provided that the investment does not significantly harm any environmental or social objective and that the investee companies follow good governance practices.</w:t>
            </w:r>
          </w:p>
        </w:tc>
        <w:tc>
          <w:tcPr>
            <w:tcW w:w="124" w:type="pct"/>
            <w:shd w:val="clear" w:color="auto" w:fill="FFFFFF" w:themeFill="background1"/>
          </w:tcPr>
          <w:p w14:paraId="05A75B62" w14:textId="77777777" w:rsidR="003C1B8B" w:rsidRPr="003C1B8B" w:rsidRDefault="003C1B8B" w:rsidP="003C1B8B">
            <w:pPr>
              <w:spacing w:before="0" w:after="0"/>
              <w:jc w:val="left"/>
              <w:rPr>
                <w:rFonts w:ascii="Arial" w:hAnsi="Arial" w:cs="Arial"/>
                <w:bCs/>
                <w:sz w:val="20"/>
                <w:szCs w:val="20"/>
                <w:lang w:val="en-GB"/>
              </w:rPr>
            </w:pPr>
          </w:p>
        </w:tc>
        <w:tc>
          <w:tcPr>
            <w:tcW w:w="1140" w:type="pct"/>
            <w:gridSpan w:val="2"/>
          </w:tcPr>
          <w:p w14:paraId="006984F7" w14:textId="77777777" w:rsidR="003C1B8B" w:rsidRPr="003C1B8B" w:rsidRDefault="003C1B8B" w:rsidP="003C1B8B">
            <w:pPr>
              <w:spacing w:before="0" w:after="0"/>
              <w:jc w:val="left"/>
              <w:rPr>
                <w:rFonts w:ascii="Arial" w:hAnsi="Arial" w:cs="Arial"/>
                <w:bCs/>
                <w:sz w:val="20"/>
                <w:szCs w:val="20"/>
                <w:lang w:val="en-GB"/>
              </w:rPr>
            </w:pPr>
            <w:r w:rsidRPr="003C1B8B">
              <w:rPr>
                <w:rFonts w:ascii="Arial" w:hAnsi="Arial" w:cs="Arial"/>
                <w:bCs/>
                <w:sz w:val="20"/>
                <w:szCs w:val="20"/>
                <w:lang w:val="en-GB"/>
              </w:rPr>
              <w:t>Product name:</w:t>
            </w:r>
            <w:r w:rsidRPr="003C1B8B">
              <w:rPr>
                <w:rFonts w:ascii="Arial" w:hAnsi="Arial" w:cs="Arial"/>
                <w:bCs/>
                <w:sz w:val="20"/>
                <w:szCs w:val="20"/>
                <w:lang w:val="en-GB"/>
              </w:rPr>
              <w:tab/>
            </w:r>
          </w:p>
        </w:tc>
        <w:tc>
          <w:tcPr>
            <w:tcW w:w="711" w:type="pct"/>
          </w:tcPr>
          <w:p w14:paraId="6B1E9A58" w14:textId="28968613" w:rsidR="003C1B8B" w:rsidRPr="003C1B8B" w:rsidRDefault="00AE1EE8" w:rsidP="003C1B8B">
            <w:pPr>
              <w:spacing w:before="0" w:after="0"/>
              <w:jc w:val="left"/>
              <w:rPr>
                <w:rFonts w:ascii="Arial" w:hAnsi="Arial" w:cs="Arial"/>
                <w:color w:val="FF0000"/>
                <w:sz w:val="20"/>
                <w:szCs w:val="20"/>
                <w:lang w:val="en-GB"/>
              </w:rPr>
            </w:pPr>
            <w:r>
              <w:rPr>
                <w:rFonts w:ascii="Arial" w:hAnsi="Arial" w:cs="Arial"/>
                <w:color w:val="FF0000"/>
                <w:sz w:val="20"/>
                <w:szCs w:val="20"/>
                <w:lang w:val="en-GB"/>
              </w:rPr>
              <w:t>IQ EQ</w:t>
            </w:r>
            <w:r w:rsidR="003C1B8B" w:rsidRPr="003C1B8B">
              <w:rPr>
                <w:rFonts w:ascii="Arial" w:hAnsi="Arial" w:cs="Arial"/>
                <w:color w:val="FF0000"/>
                <w:sz w:val="20"/>
                <w:szCs w:val="20"/>
                <w:lang w:val="en-GB"/>
              </w:rPr>
              <w:t xml:space="preserve"> Global Focus Fund</w:t>
            </w:r>
          </w:p>
          <w:p w14:paraId="10141F07" w14:textId="77777777" w:rsidR="003C1B8B" w:rsidRPr="003C1B8B" w:rsidRDefault="003C1B8B" w:rsidP="003C1B8B">
            <w:pPr>
              <w:spacing w:before="0" w:after="0"/>
              <w:jc w:val="left"/>
              <w:rPr>
                <w:rFonts w:ascii="Arial" w:hAnsi="Arial" w:cs="Arial"/>
                <w:color w:val="FF0000"/>
                <w:sz w:val="20"/>
                <w:szCs w:val="20"/>
                <w:lang w:val="en-GB"/>
              </w:rPr>
            </w:pPr>
          </w:p>
        </w:tc>
        <w:tc>
          <w:tcPr>
            <w:tcW w:w="710" w:type="pct"/>
            <w:gridSpan w:val="2"/>
          </w:tcPr>
          <w:p w14:paraId="6EF7178C" w14:textId="77777777" w:rsidR="003C1B8B" w:rsidRPr="003C1B8B" w:rsidRDefault="003C1B8B" w:rsidP="003C1B8B">
            <w:pPr>
              <w:spacing w:before="0" w:after="0"/>
              <w:jc w:val="left"/>
              <w:rPr>
                <w:rFonts w:ascii="Arial" w:hAnsi="Arial" w:cs="Arial"/>
                <w:bCs/>
                <w:sz w:val="20"/>
                <w:szCs w:val="20"/>
                <w:lang w:val="en-GB"/>
              </w:rPr>
            </w:pPr>
            <w:r w:rsidRPr="003C1B8B">
              <w:rPr>
                <w:rFonts w:ascii="Arial" w:hAnsi="Arial" w:cs="Arial"/>
                <w:bCs/>
                <w:sz w:val="20"/>
                <w:szCs w:val="20"/>
                <w:lang w:val="en-GB"/>
              </w:rPr>
              <w:t>Legal entity identifier:</w:t>
            </w:r>
          </w:p>
        </w:tc>
        <w:tc>
          <w:tcPr>
            <w:tcW w:w="1199" w:type="pct"/>
          </w:tcPr>
          <w:p w14:paraId="184F450E" w14:textId="77777777" w:rsidR="003C1B8B" w:rsidRPr="003C1B8B" w:rsidRDefault="003C1B8B" w:rsidP="003C1B8B">
            <w:pPr>
              <w:spacing w:before="0" w:after="0"/>
              <w:jc w:val="left"/>
              <w:rPr>
                <w:rFonts w:ascii="Arial" w:hAnsi="Arial" w:cs="Arial"/>
                <w:color w:val="FF0000"/>
                <w:sz w:val="20"/>
                <w:szCs w:val="20"/>
                <w:lang w:val="en-GB"/>
              </w:rPr>
            </w:pPr>
            <w:r w:rsidRPr="003C1B8B">
              <w:rPr>
                <w:rFonts w:ascii="Arial" w:hAnsi="Arial" w:cs="Arial"/>
                <w:color w:val="FF0000"/>
                <w:sz w:val="20"/>
                <w:szCs w:val="20"/>
                <w:lang w:val="en-GB"/>
              </w:rPr>
              <w:t>635400MNDHZIIBADO539</w:t>
            </w:r>
          </w:p>
        </w:tc>
      </w:tr>
      <w:tr w:rsidR="003C1B8B" w:rsidRPr="003C1B8B" w14:paraId="7E350E0D" w14:textId="77777777" w:rsidTr="00303F74">
        <w:trPr>
          <w:trHeight w:val="701"/>
        </w:trPr>
        <w:tc>
          <w:tcPr>
            <w:tcW w:w="1116" w:type="pct"/>
            <w:vMerge/>
          </w:tcPr>
          <w:p w14:paraId="3C290A42"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0D7B4BE3" w14:textId="77777777" w:rsidR="003C1B8B" w:rsidRPr="003C1B8B" w:rsidRDefault="003C1B8B" w:rsidP="003C1B8B">
            <w:pPr>
              <w:spacing w:before="0" w:after="0"/>
              <w:jc w:val="center"/>
              <w:rPr>
                <w:rFonts w:ascii="Arial" w:eastAsia="Lucida Sans" w:hAnsi="Arial" w:cs="Arial"/>
                <w:bCs/>
                <w:color w:val="48AB74"/>
                <w:sz w:val="28"/>
                <w:szCs w:val="28"/>
                <w:lang w:val="en-GB"/>
              </w:rPr>
            </w:pPr>
          </w:p>
        </w:tc>
        <w:tc>
          <w:tcPr>
            <w:tcW w:w="3760" w:type="pct"/>
            <w:gridSpan w:val="6"/>
          </w:tcPr>
          <w:p w14:paraId="4E1B08FF" w14:textId="77777777" w:rsidR="003C1B8B" w:rsidRPr="003C1B8B" w:rsidRDefault="003C1B8B" w:rsidP="003C1B8B">
            <w:pPr>
              <w:spacing w:before="0" w:after="0"/>
              <w:jc w:val="center"/>
              <w:rPr>
                <w:rFonts w:ascii="Arial" w:eastAsia="Lucida Sans" w:hAnsi="Arial" w:cs="Arial"/>
                <w:bCs/>
                <w:color w:val="48AB74"/>
                <w:sz w:val="28"/>
                <w:szCs w:val="28"/>
                <w:lang w:val="en-GB"/>
              </w:rPr>
            </w:pPr>
            <w:r w:rsidRPr="003C1B8B">
              <w:rPr>
                <w:rFonts w:ascii="Arial" w:eastAsia="Lucida Sans" w:hAnsi="Arial" w:cs="Arial"/>
                <w:bCs/>
                <w:color w:val="48AB74"/>
                <w:sz w:val="28"/>
                <w:szCs w:val="28"/>
                <w:lang w:val="en-GB"/>
              </w:rPr>
              <w:t>Environmental and/or social characteristics</w:t>
            </w:r>
          </w:p>
        </w:tc>
      </w:tr>
      <w:tr w:rsidR="003C1B8B" w:rsidRPr="003C1B8B" w14:paraId="074B5E5B" w14:textId="77777777" w:rsidTr="00303F74">
        <w:trPr>
          <w:trHeight w:val="554"/>
        </w:trPr>
        <w:tc>
          <w:tcPr>
            <w:tcW w:w="1116" w:type="pct"/>
            <w:vMerge/>
          </w:tcPr>
          <w:p w14:paraId="54690CBF"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5D1AD753" w14:textId="77777777" w:rsidR="003C1B8B" w:rsidRPr="003C1B8B" w:rsidRDefault="003C1B8B" w:rsidP="003C1B8B">
            <w:pPr>
              <w:spacing w:before="0" w:after="0"/>
              <w:jc w:val="left"/>
              <w:rPr>
                <w:rFonts w:ascii="Arial" w:hAnsi="Arial" w:cs="Arial"/>
                <w:sz w:val="20"/>
                <w:szCs w:val="20"/>
                <w:lang w:val="en-GB"/>
              </w:rPr>
            </w:pPr>
          </w:p>
        </w:tc>
        <w:tc>
          <w:tcPr>
            <w:tcW w:w="3760" w:type="pct"/>
            <w:gridSpan w:val="6"/>
            <w:shd w:val="clear" w:color="auto" w:fill="F7CAAC" w:themeFill="accent2" w:themeFillTint="66"/>
          </w:tcPr>
          <w:p w14:paraId="69C3601E" w14:textId="77777777" w:rsidR="003C1B8B" w:rsidRPr="003C1B8B" w:rsidRDefault="003C1B8B" w:rsidP="003C1B8B">
            <w:pPr>
              <w:spacing w:before="0" w:after="0"/>
              <w:jc w:val="left"/>
              <w:rPr>
                <w:rFonts w:ascii="Arial" w:hAnsi="Arial" w:cs="Arial"/>
                <w:b/>
                <w:sz w:val="20"/>
                <w:szCs w:val="20"/>
                <w:lang w:val="en-GB"/>
              </w:rPr>
            </w:pPr>
            <w:r w:rsidRPr="003C1B8B">
              <w:rPr>
                <w:rFonts w:ascii="Arial" w:hAnsi="Arial" w:cs="Arial"/>
                <w:b/>
                <w:sz w:val="20"/>
                <w:szCs w:val="20"/>
                <w:lang w:val="en-GB"/>
              </w:rPr>
              <w:t>Does this financial product have a sustainable investment objective?</w:t>
            </w:r>
            <w:r w:rsidRPr="003C1B8B">
              <w:rPr>
                <w:rFonts w:ascii="Arial" w:hAnsi="Arial" w:cs="Arial"/>
                <w:b/>
                <w:spacing w:val="9"/>
                <w:sz w:val="20"/>
                <w:szCs w:val="20"/>
                <w:lang w:val="en-GB"/>
              </w:rPr>
              <w:t xml:space="preserve"> </w:t>
            </w:r>
          </w:p>
        </w:tc>
      </w:tr>
      <w:tr w:rsidR="003C1B8B" w:rsidRPr="003C1B8B" w14:paraId="4FEDE4E7" w14:textId="77777777" w:rsidTr="00303F74">
        <w:trPr>
          <w:trHeight w:val="335"/>
        </w:trPr>
        <w:tc>
          <w:tcPr>
            <w:tcW w:w="1116" w:type="pct"/>
            <w:vMerge/>
          </w:tcPr>
          <w:p w14:paraId="716F7B68"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5CDE4761" w14:textId="77777777" w:rsidR="003C1B8B" w:rsidRPr="003C1B8B" w:rsidRDefault="003C1B8B" w:rsidP="003C1B8B">
            <w:pPr>
              <w:tabs>
                <w:tab w:val="left" w:pos="325"/>
              </w:tabs>
              <w:spacing w:before="0" w:after="0"/>
              <w:jc w:val="left"/>
              <w:rPr>
                <w:rFonts w:ascii="Arial" w:hAnsi="Arial" w:cs="Arial"/>
                <w:bCs/>
                <w:sz w:val="20"/>
                <w:szCs w:val="20"/>
                <w:lang w:val="en-GB"/>
              </w:rPr>
            </w:pPr>
          </w:p>
        </w:tc>
        <w:tc>
          <w:tcPr>
            <w:tcW w:w="1851" w:type="pct"/>
            <w:gridSpan w:val="3"/>
            <w:shd w:val="clear" w:color="auto" w:fill="F7CAAC" w:themeFill="accent2" w:themeFillTint="66"/>
          </w:tcPr>
          <w:p w14:paraId="56654527" w14:textId="77777777" w:rsidR="003C1B8B" w:rsidRPr="003C1B8B" w:rsidRDefault="00F12B41" w:rsidP="003C1B8B">
            <w:pPr>
              <w:tabs>
                <w:tab w:val="left" w:pos="325"/>
              </w:tabs>
              <w:spacing w:before="0" w:after="0"/>
              <w:jc w:val="left"/>
              <w:rPr>
                <w:rFonts w:ascii="Arial" w:hAnsi="Arial" w:cs="Arial"/>
                <w:b/>
                <w:sz w:val="20"/>
                <w:szCs w:val="20"/>
                <w:lang w:val="en-GB"/>
              </w:rPr>
            </w:pPr>
            <w:sdt>
              <w:sdtPr>
                <w:rPr>
                  <w:rFonts w:cs="Arial"/>
                  <w:b/>
                  <w:color w:val="000000" w:themeColor="text1"/>
                  <w:sz w:val="20"/>
                  <w:szCs w:val="20"/>
                  <w:lang w:val="en-GB"/>
                </w:rPr>
                <w:id w:val="-1113666304"/>
                <w15:color w:val="000000"/>
                <w14:checkbox>
                  <w14:checked w14:val="0"/>
                  <w14:checkedState w14:val="2612" w14:font="MS Gothic"/>
                  <w14:uncheckedState w14:val="2610" w14:font="MS Gothic"/>
                </w14:checkbox>
              </w:sdtPr>
              <w:sdtEndPr/>
              <w:sdtContent>
                <w:r w:rsidR="003C1B8B" w:rsidRPr="003C1B8B">
                  <w:rPr>
                    <w:rFonts w:ascii="Segoe UI Symbol" w:hAnsi="Segoe UI Symbol" w:cs="Segoe UI Symbol"/>
                    <w:b/>
                    <w:color w:val="000000" w:themeColor="text1"/>
                    <w:sz w:val="20"/>
                    <w:szCs w:val="20"/>
                    <w:lang w:val="en-GB"/>
                  </w:rPr>
                  <w:t>☐</w:t>
                </w:r>
              </w:sdtContent>
            </w:sdt>
            <w:r w:rsidR="003C1B8B" w:rsidRPr="003C1B8B">
              <w:rPr>
                <w:rFonts w:ascii="Calibri" w:hAnsi="Calibri" w:cs="Calibri"/>
                <w:b/>
                <w:noProof/>
                <w:sz w:val="22"/>
                <w:szCs w:val="22"/>
                <w:lang w:val="en-GB"/>
              </w:rPr>
              <w:t xml:space="preserve"> </w:t>
            </w:r>
            <w:r w:rsidR="003C1B8B" w:rsidRPr="003C1B8B">
              <w:rPr>
                <w:rFonts w:ascii="Calibri" w:hAnsi="Calibri" w:cs="Calibri"/>
                <w:b/>
                <w:noProof/>
                <w:sz w:val="22"/>
                <w:szCs w:val="22"/>
                <w:lang w:val="en-GB"/>
              </w:rPr>
              <mc:AlternateContent>
                <mc:Choice Requires="wps">
                  <w:drawing>
                    <wp:anchor distT="0" distB="0" distL="114300" distR="114300" simplePos="0" relativeHeight="251674624" behindDoc="0" locked="0" layoutInCell="1" allowOverlap="1" wp14:anchorId="267384DB" wp14:editId="38BC7D9B">
                      <wp:simplePos x="0" y="0"/>
                      <wp:positionH relativeFrom="column">
                        <wp:posOffset>129489</wp:posOffset>
                      </wp:positionH>
                      <wp:positionV relativeFrom="paragraph">
                        <wp:posOffset>2540</wp:posOffset>
                      </wp:positionV>
                      <wp:extent cx="101600" cy="101600"/>
                      <wp:effectExtent l="0" t="0" r="0" b="0"/>
                      <wp:wrapSquare wrapText="bothSides"/>
                      <wp:docPr id="34" name="Oval 34"/>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19AC4" id="Oval 34" o:spid="_x0000_s1026" style="position:absolute;margin-left:10.2pt;margin-top:.2pt;width:8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" fillcolor="#5ab05d" stroked="f" strokeweight="1pt">
                      <v:stroke joinstyle="miter"/>
                      <w10:wrap type="square"/>
                    </v:oval>
                  </w:pict>
                </mc:Fallback>
              </mc:AlternateContent>
            </w:r>
            <w:r w:rsidR="003C1B8B" w:rsidRPr="003C1B8B">
              <w:rPr>
                <w:rFonts w:ascii="Calibri" w:hAnsi="Calibri" w:cs="Calibri"/>
                <w:b/>
                <w:noProof/>
                <w:sz w:val="22"/>
                <w:szCs w:val="22"/>
                <w:lang w:val="en-GB"/>
              </w:rPr>
              <mc:AlternateContent>
                <mc:Choice Requires="wps">
                  <w:drawing>
                    <wp:anchor distT="0" distB="0" distL="114300" distR="114300" simplePos="0" relativeHeight="251673600" behindDoc="0" locked="0" layoutInCell="1" allowOverlap="1" wp14:anchorId="322B780E" wp14:editId="48A97545">
                      <wp:simplePos x="0" y="0"/>
                      <wp:positionH relativeFrom="column">
                        <wp:posOffset>-203</wp:posOffset>
                      </wp:positionH>
                      <wp:positionV relativeFrom="paragraph">
                        <wp:posOffset>3124</wp:posOffset>
                      </wp:positionV>
                      <wp:extent cx="101600" cy="101600"/>
                      <wp:effectExtent l="0" t="0" r="0" b="0"/>
                      <wp:wrapSquare wrapText="bothSides"/>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24013" id="Oval 972" o:spid="_x0000_s1026" style="position:absolute;margin-left:0;margin-top:.25pt;width:8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t7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OJtz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" fillcolor="#5ab05d" stroked="f" strokeweight="1pt">
                      <v:stroke joinstyle="miter"/>
                      <w10:wrap type="square"/>
                    </v:oval>
                  </w:pict>
                </mc:Fallback>
              </mc:AlternateContent>
            </w:r>
            <w:r w:rsidR="003C1B8B" w:rsidRPr="003C1B8B">
              <w:rPr>
                <w:rFonts w:ascii="Calibri" w:hAnsi="Calibri" w:cs="Calibri"/>
                <w:b/>
                <w:noProof/>
                <w:sz w:val="22"/>
                <w:szCs w:val="22"/>
                <w:lang w:val="en-GB"/>
              </w:rPr>
              <w:t>Yes</w:t>
            </w:r>
            <w:r w:rsidR="003C1B8B" w:rsidRPr="003C1B8B">
              <w:rPr>
                <w:rFonts w:ascii="Arial" w:hAnsi="Arial" w:cs="Arial"/>
                <w:b/>
                <w:sz w:val="20"/>
                <w:szCs w:val="20"/>
                <w:lang w:val="en-GB"/>
              </w:rPr>
              <w:t xml:space="preserve"> </w:t>
            </w:r>
          </w:p>
        </w:tc>
        <w:tc>
          <w:tcPr>
            <w:tcW w:w="1909" w:type="pct"/>
            <w:gridSpan w:val="3"/>
            <w:shd w:val="clear" w:color="auto" w:fill="F7CAAC" w:themeFill="accent2" w:themeFillTint="66"/>
          </w:tcPr>
          <w:p w14:paraId="061ADF1C" w14:textId="77777777" w:rsidR="003C1B8B" w:rsidRPr="003C1B8B" w:rsidRDefault="003C1B8B" w:rsidP="003C1B8B">
            <w:pPr>
              <w:spacing w:before="0" w:after="0"/>
              <w:jc w:val="left"/>
              <w:rPr>
                <w:rFonts w:ascii="Arial" w:hAnsi="Arial" w:cs="Arial"/>
                <w:b/>
                <w:sz w:val="20"/>
                <w:szCs w:val="20"/>
                <w:lang w:val="en-GB"/>
              </w:rPr>
            </w:pPr>
            <w:r w:rsidRPr="003C1B8B">
              <w:rPr>
                <w:rFonts w:ascii="Calibri" w:hAnsi="Calibri"/>
                <w:b/>
                <w:noProof/>
                <w:color w:val="000000"/>
                <w:sz w:val="20"/>
                <w:szCs w:val="22"/>
                <w:lang w:val="en-GB"/>
              </w:rPr>
              <mc:AlternateContent>
                <mc:Choice Requires="wps">
                  <w:drawing>
                    <wp:anchor distT="0" distB="0" distL="114300" distR="114300" simplePos="0" relativeHeight="251676672" behindDoc="0" locked="0" layoutInCell="1" allowOverlap="1" wp14:anchorId="2804BD25" wp14:editId="58D90F8E">
                      <wp:simplePos x="0" y="0"/>
                      <wp:positionH relativeFrom="column">
                        <wp:posOffset>160020</wp:posOffset>
                      </wp:positionH>
                      <wp:positionV relativeFrom="paragraph">
                        <wp:posOffset>2540</wp:posOffset>
                      </wp:positionV>
                      <wp:extent cx="101600" cy="101600"/>
                      <wp:effectExtent l="0" t="0" r="0" b="0"/>
                      <wp:wrapSquare wrapText="bothSides"/>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C9321" id="Oval 230" o:spid="_x0000_s1026" style="position:absolute;margin-left:12.6pt;margin-top:.2pt;width:8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" fillcolor="window" stroked="f" strokeweight="1pt">
                      <v:stroke joinstyle="miter"/>
                      <w10:wrap type="square"/>
                    </v:oval>
                  </w:pict>
                </mc:Fallback>
              </mc:AlternateContent>
            </w:r>
            <w:r w:rsidRPr="003C1B8B">
              <w:rPr>
                <w:rFonts w:ascii="Calibri" w:hAnsi="Calibri" w:cs="Calibri"/>
                <w:b/>
                <w:noProof/>
                <w:sz w:val="18"/>
                <w:szCs w:val="22"/>
                <w:lang w:val="en-GB"/>
              </w:rPr>
              <mc:AlternateContent>
                <mc:Choice Requires="wps">
                  <w:drawing>
                    <wp:anchor distT="0" distB="0" distL="114300" distR="114300" simplePos="0" relativeHeight="251675648" behindDoc="1" locked="0" layoutInCell="1" allowOverlap="1" wp14:anchorId="1A368FA2" wp14:editId="3A30F38C">
                      <wp:simplePos x="0" y="0"/>
                      <wp:positionH relativeFrom="column">
                        <wp:posOffset>-1270</wp:posOffset>
                      </wp:positionH>
                      <wp:positionV relativeFrom="paragraph">
                        <wp:posOffset>2540</wp:posOffset>
                      </wp:positionV>
                      <wp:extent cx="101600" cy="101600"/>
                      <wp:effectExtent l="0" t="0" r="0" b="0"/>
                      <wp:wrapSquare wrapText="bothSides"/>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E653C" id="Oval 226" o:spid="_x0000_s1026" style="position:absolute;margin-left:-.1pt;margin-top:.2pt;width:8pt;height: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" fillcolor="#5ab05d" stroked="f" strokeweight="1pt">
                      <v:stroke joinstyle="miter"/>
                      <w10:wrap type="square"/>
                    </v:oval>
                  </w:pict>
                </mc:Fallback>
              </mc:AlternateContent>
            </w:r>
            <w:sdt>
              <w:sdtPr>
                <w:rPr>
                  <w:rFonts w:cs="Arial"/>
                  <w:b/>
                  <w:color w:val="000000" w:themeColor="text1"/>
                  <w:sz w:val="20"/>
                  <w:szCs w:val="20"/>
                  <w:lang w:val="en-GB"/>
                </w:rPr>
                <w:id w:val="-2033333016"/>
                <w15:color w:val="000000"/>
                <w14:checkbox>
                  <w14:checked w14:val="1"/>
                  <w14:checkedState w14:val="2612" w14:font="MS Gothic"/>
                  <w14:uncheckedState w14:val="2610" w14:font="MS Gothic"/>
                </w14:checkbox>
              </w:sdtPr>
              <w:sdtEndPr/>
              <w:sdtContent>
                <w:r w:rsidRPr="003C1B8B">
                  <w:rPr>
                    <w:rFonts w:ascii="Segoe UI Symbol" w:hAnsi="Segoe UI Symbol" w:cs="Segoe UI Symbol"/>
                    <w:b/>
                    <w:color w:val="000000" w:themeColor="text1"/>
                    <w:sz w:val="20"/>
                    <w:szCs w:val="20"/>
                    <w:lang w:val="en-GB"/>
                  </w:rPr>
                  <w:t>☒</w:t>
                </w:r>
              </w:sdtContent>
            </w:sdt>
            <w:r w:rsidRPr="003C1B8B">
              <w:rPr>
                <w:rFonts w:ascii="Arial" w:hAnsi="Arial" w:cs="Arial"/>
                <w:b/>
                <w:sz w:val="20"/>
                <w:szCs w:val="20"/>
                <w:lang w:val="en-GB"/>
              </w:rPr>
              <w:t xml:space="preserve"> No</w:t>
            </w:r>
          </w:p>
        </w:tc>
      </w:tr>
      <w:tr w:rsidR="003C1B8B" w:rsidRPr="003C1B8B" w14:paraId="19D08E3D" w14:textId="77777777" w:rsidTr="00303F74">
        <w:trPr>
          <w:trHeight w:val="1489"/>
        </w:trPr>
        <w:tc>
          <w:tcPr>
            <w:tcW w:w="1116" w:type="pct"/>
            <w:vMerge/>
          </w:tcPr>
          <w:p w14:paraId="74734071"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047C16AE" w14:textId="77777777" w:rsidR="003C1B8B" w:rsidRPr="003C1B8B" w:rsidRDefault="003C1B8B" w:rsidP="003C1B8B">
            <w:pPr>
              <w:tabs>
                <w:tab w:val="left" w:pos="325"/>
              </w:tabs>
              <w:spacing w:before="0" w:after="0"/>
              <w:jc w:val="left"/>
              <w:rPr>
                <w:rFonts w:ascii="MS Gothic" w:eastAsia="MS Gothic" w:hAnsi="MS Gothic"/>
                <w:sz w:val="28"/>
                <w:szCs w:val="28"/>
                <w:highlight w:val="lightGray"/>
                <w:lang w:val="en-GB"/>
              </w:rPr>
            </w:pPr>
          </w:p>
        </w:tc>
        <w:tc>
          <w:tcPr>
            <w:tcW w:w="219" w:type="pct"/>
            <w:shd w:val="clear" w:color="auto" w:fill="FBE4D5" w:themeFill="accent2" w:themeFillTint="33"/>
          </w:tcPr>
          <w:p w14:paraId="277ECCC8" w14:textId="77777777" w:rsidR="003C1B8B" w:rsidRPr="003476AC" w:rsidRDefault="00F12B41" w:rsidP="003C1B8B">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910625310"/>
                <w15:color w:val="000000"/>
                <w14:checkbox>
                  <w14:checked w14:val="0"/>
                  <w14:checkedState w14:val="2612" w14:font="MS Gothic"/>
                  <w14:uncheckedState w14:val="2610" w14:font="MS Gothic"/>
                </w14:checkbox>
              </w:sdtPr>
              <w:sdtEndPr/>
              <w:sdtContent>
                <w:r w:rsidR="003C1B8B" w:rsidRPr="003476AC">
                  <w:rPr>
                    <w:rFonts w:ascii="Segoe UI Symbol" w:hAnsi="Segoe UI Symbol" w:cs="Segoe UI Symbol"/>
                    <w:bCs/>
                    <w:color w:val="000000" w:themeColor="text1"/>
                    <w:sz w:val="20"/>
                    <w:szCs w:val="20"/>
                    <w:lang w:val="en-GB"/>
                  </w:rPr>
                  <w:t>☐</w:t>
                </w:r>
              </w:sdtContent>
            </w:sdt>
          </w:p>
        </w:tc>
        <w:tc>
          <w:tcPr>
            <w:tcW w:w="1632" w:type="pct"/>
            <w:gridSpan w:val="2"/>
            <w:shd w:val="clear" w:color="auto" w:fill="FBE4D5" w:themeFill="accent2" w:themeFillTint="33"/>
          </w:tcPr>
          <w:p w14:paraId="4682D7A4" w14:textId="77777777" w:rsidR="003C1B8B" w:rsidRPr="003476AC" w:rsidRDefault="003C1B8B" w:rsidP="003C1B8B">
            <w:pPr>
              <w:tabs>
                <w:tab w:val="left" w:pos="325"/>
              </w:tabs>
              <w:spacing w:before="0" w:after="0"/>
              <w:jc w:val="left"/>
              <w:rPr>
                <w:rFonts w:ascii="Arial" w:hAnsi="Arial" w:cs="Arial"/>
                <w:sz w:val="20"/>
                <w:szCs w:val="20"/>
                <w:lang w:val="en-GB"/>
              </w:rPr>
            </w:pPr>
            <w:r w:rsidRPr="003476AC">
              <w:rPr>
                <w:rFonts w:ascii="Arial" w:hAnsi="Arial" w:cs="Arial"/>
                <w:sz w:val="20"/>
                <w:szCs w:val="20"/>
                <w:lang w:val="en-GB"/>
              </w:rPr>
              <w:t xml:space="preserve">It will make a minimum of </w:t>
            </w:r>
            <w:r w:rsidRPr="003476AC">
              <w:rPr>
                <w:rFonts w:ascii="Arial" w:hAnsi="Arial" w:cs="Arial"/>
                <w:bCs/>
                <w:sz w:val="20"/>
                <w:szCs w:val="20"/>
                <w:lang w:val="en-GB"/>
              </w:rPr>
              <w:t>sustainable investments with an environmental objective:</w:t>
            </w:r>
            <w:r w:rsidRPr="003476AC">
              <w:rPr>
                <w:rFonts w:ascii="Arial" w:hAnsi="Arial" w:cs="Arial"/>
                <w:sz w:val="20"/>
                <w:szCs w:val="20"/>
                <w:lang w:val="en-GB"/>
              </w:rPr>
              <w:t xml:space="preserve"> ___%</w:t>
            </w:r>
          </w:p>
        </w:tc>
        <w:tc>
          <w:tcPr>
            <w:tcW w:w="191" w:type="pct"/>
            <w:shd w:val="clear" w:color="auto" w:fill="FBE4D5" w:themeFill="accent2" w:themeFillTint="33"/>
          </w:tcPr>
          <w:p w14:paraId="24979741" w14:textId="77777777" w:rsidR="003C1B8B" w:rsidRPr="003476AC" w:rsidRDefault="00F12B41" w:rsidP="003C1B8B">
            <w:pPr>
              <w:spacing w:before="0" w:after="0"/>
              <w:jc w:val="left"/>
              <w:rPr>
                <w:rFonts w:ascii="Arial" w:eastAsia="MS Gothic" w:hAnsi="Arial" w:cs="Arial"/>
                <w:sz w:val="28"/>
                <w:szCs w:val="28"/>
                <w:highlight w:val="lightGray"/>
                <w:lang w:val="en-GB"/>
              </w:rPr>
            </w:pPr>
            <w:sdt>
              <w:sdtPr>
                <w:rPr>
                  <w:rFonts w:cs="Arial"/>
                  <w:bCs/>
                  <w:color w:val="000000" w:themeColor="text1"/>
                  <w:sz w:val="20"/>
                  <w:szCs w:val="20"/>
                  <w:lang w:val="en-GB"/>
                </w:rPr>
                <w:id w:val="2068528140"/>
                <w15:color w:val="000000"/>
                <w14:checkbox>
                  <w14:checked w14:val="0"/>
                  <w14:checkedState w14:val="2612" w14:font="MS Gothic"/>
                  <w14:uncheckedState w14:val="2610" w14:font="MS Gothic"/>
                </w14:checkbox>
              </w:sdtPr>
              <w:sdtEndPr/>
              <w:sdtContent>
                <w:r w:rsidR="003C1B8B" w:rsidRPr="003476AC">
                  <w:rPr>
                    <w:rFonts w:ascii="Segoe UI Symbol" w:hAnsi="Segoe UI Symbol" w:cs="Segoe UI Symbol"/>
                    <w:bCs/>
                    <w:color w:val="000000" w:themeColor="text1"/>
                    <w:sz w:val="20"/>
                    <w:szCs w:val="20"/>
                    <w:lang w:val="en-GB"/>
                  </w:rPr>
                  <w:t>☐</w:t>
                </w:r>
              </w:sdtContent>
            </w:sdt>
          </w:p>
        </w:tc>
        <w:tc>
          <w:tcPr>
            <w:tcW w:w="1718" w:type="pct"/>
            <w:gridSpan w:val="2"/>
            <w:shd w:val="clear" w:color="auto" w:fill="FBE4D5" w:themeFill="accent2" w:themeFillTint="33"/>
          </w:tcPr>
          <w:p w14:paraId="669268EF" w14:textId="77777777" w:rsidR="003C1B8B" w:rsidRPr="003476AC" w:rsidRDefault="003C1B8B" w:rsidP="003C1B8B">
            <w:pPr>
              <w:tabs>
                <w:tab w:val="left" w:pos="316"/>
              </w:tabs>
              <w:spacing w:before="0" w:after="0"/>
              <w:jc w:val="left"/>
              <w:rPr>
                <w:rFonts w:ascii="Arial" w:hAnsi="Arial" w:cs="Arial"/>
                <w:sz w:val="20"/>
                <w:szCs w:val="20"/>
                <w:lang w:val="en-GB"/>
              </w:rPr>
            </w:pPr>
            <w:r w:rsidRPr="003476AC">
              <w:rPr>
                <w:rFonts w:ascii="Arial" w:hAnsi="Arial" w:cs="Arial"/>
                <w:sz w:val="20"/>
                <w:szCs w:val="20"/>
                <w:lang w:val="en-GB"/>
              </w:rPr>
              <w:t xml:space="preserve">It </w:t>
            </w:r>
            <w:r w:rsidRPr="003476AC">
              <w:rPr>
                <w:rFonts w:ascii="Arial" w:hAnsi="Arial" w:cs="Arial"/>
                <w:bCs/>
                <w:sz w:val="20"/>
                <w:szCs w:val="20"/>
                <w:lang w:val="en-GB"/>
              </w:rPr>
              <w:t>promotes Environmental/Social (E/S) characteristics</w:t>
            </w:r>
            <w:r w:rsidRPr="003476AC">
              <w:rPr>
                <w:rFonts w:ascii="Arial" w:hAnsi="Arial" w:cs="Arial"/>
                <w:sz w:val="20"/>
                <w:szCs w:val="20"/>
                <w:lang w:val="en-GB"/>
              </w:rPr>
              <w:t xml:space="preserve"> and while it does not have as its objective a sustainable investment, it will have a minimum proportion of ___% of sustainable investments</w:t>
            </w:r>
          </w:p>
        </w:tc>
      </w:tr>
      <w:tr w:rsidR="003C1B8B" w:rsidRPr="003C1B8B" w14:paraId="4BF2A996" w14:textId="77777777" w:rsidTr="00303F74">
        <w:trPr>
          <w:trHeight w:val="693"/>
        </w:trPr>
        <w:tc>
          <w:tcPr>
            <w:tcW w:w="1116" w:type="pct"/>
            <w:vMerge w:val="restart"/>
            <w:shd w:val="clear" w:color="auto" w:fill="D9D9D9" w:themeFill="background1" w:themeFillShade="D9"/>
          </w:tcPr>
          <w:p w14:paraId="70ED85D6" w14:textId="77777777" w:rsidR="003C1B8B" w:rsidRPr="003C1B8B" w:rsidRDefault="003C1B8B" w:rsidP="003C1B8B">
            <w:pPr>
              <w:spacing w:before="0" w:after="0"/>
              <w:jc w:val="left"/>
              <w:rPr>
                <w:rFonts w:ascii="Arial" w:hAnsi="Arial" w:cs="Arial"/>
                <w:sz w:val="18"/>
                <w:szCs w:val="18"/>
                <w:lang w:val="en-GB"/>
              </w:rPr>
            </w:pPr>
            <w:r w:rsidRPr="003C1B8B">
              <w:rPr>
                <w:rFonts w:ascii="Arial" w:hAnsi="Arial" w:cs="Arial"/>
                <w:sz w:val="18"/>
                <w:szCs w:val="18"/>
                <w:lang w:val="en-GB"/>
              </w:rPr>
              <w:t xml:space="preserve">The </w:t>
            </w:r>
            <w:r w:rsidRPr="003C1B8B">
              <w:rPr>
                <w:rFonts w:ascii="Arial" w:hAnsi="Arial" w:cs="Arial"/>
                <w:bCs/>
                <w:sz w:val="18"/>
                <w:szCs w:val="18"/>
                <w:lang w:val="en-GB"/>
              </w:rPr>
              <w:t>EU Taxonomy</w:t>
            </w:r>
            <w:r w:rsidRPr="003C1B8B">
              <w:rPr>
                <w:rFonts w:ascii="Arial" w:hAnsi="Arial" w:cs="Arial"/>
                <w:sz w:val="18"/>
                <w:szCs w:val="18"/>
                <w:lang w:val="en-GB"/>
              </w:rPr>
              <w:t xml:space="preserve"> is a classification system laid down in Regulation (EU) 2020/852, establishing a list of </w:t>
            </w:r>
            <w:r w:rsidRPr="003C1B8B">
              <w:rPr>
                <w:rFonts w:ascii="Arial" w:hAnsi="Arial" w:cs="Arial"/>
                <w:bCs/>
                <w:sz w:val="18"/>
                <w:szCs w:val="18"/>
                <w:lang w:val="en-GB"/>
              </w:rPr>
              <w:t>environmentally sustainable economic activities</w:t>
            </w:r>
            <w:r w:rsidRPr="003C1B8B">
              <w:rPr>
                <w:rFonts w:ascii="Arial" w:hAnsi="Arial" w:cs="Arial"/>
                <w:sz w:val="18"/>
                <w:szCs w:val="18"/>
                <w:lang w:val="en-GB"/>
              </w:rPr>
              <w:t>.</w:t>
            </w:r>
          </w:p>
          <w:p w14:paraId="63344E1D" w14:textId="77777777" w:rsidR="003C1B8B" w:rsidRPr="003C1B8B" w:rsidRDefault="003C1B8B" w:rsidP="003C1B8B">
            <w:pPr>
              <w:spacing w:before="0" w:after="0"/>
              <w:jc w:val="left"/>
              <w:rPr>
                <w:rFonts w:ascii="Arial" w:hAnsi="Arial" w:cs="Arial"/>
                <w:sz w:val="18"/>
                <w:szCs w:val="18"/>
                <w:lang w:val="en-GB"/>
              </w:rPr>
            </w:pPr>
            <w:r w:rsidRPr="003C1B8B">
              <w:rPr>
                <w:rFonts w:ascii="Arial" w:hAnsi="Arial" w:cs="Arial"/>
                <w:sz w:val="18"/>
                <w:szCs w:val="18"/>
                <w:lang w:val="en-GB"/>
              </w:rPr>
              <w:t>That Regulation does not lay down a list of socially sustainable economic activities. Sustainable investments with an environmental objective might be aligned with the Taxonomy or not.</w:t>
            </w:r>
          </w:p>
        </w:tc>
        <w:tc>
          <w:tcPr>
            <w:tcW w:w="124" w:type="pct"/>
            <w:shd w:val="clear" w:color="auto" w:fill="FFFFFF" w:themeFill="background1"/>
          </w:tcPr>
          <w:p w14:paraId="68A5939C" w14:textId="77777777" w:rsidR="003C1B8B" w:rsidRPr="003C1B8B" w:rsidRDefault="003C1B8B" w:rsidP="003C1B8B">
            <w:pPr>
              <w:tabs>
                <w:tab w:val="left" w:pos="325"/>
              </w:tabs>
              <w:spacing w:before="0" w:after="0"/>
              <w:jc w:val="left"/>
              <w:rPr>
                <w:rFonts w:ascii="MS Gothic" w:eastAsia="MS Gothic" w:hAnsi="MS Gothic"/>
                <w:sz w:val="28"/>
                <w:szCs w:val="28"/>
                <w:highlight w:val="lightGray"/>
                <w:lang w:val="en-GB"/>
              </w:rPr>
            </w:pPr>
          </w:p>
        </w:tc>
        <w:tc>
          <w:tcPr>
            <w:tcW w:w="219" w:type="pct"/>
            <w:shd w:val="clear" w:color="auto" w:fill="FBE4D5" w:themeFill="accent2" w:themeFillTint="33"/>
          </w:tcPr>
          <w:p w14:paraId="331CC926" w14:textId="77777777" w:rsidR="003C1B8B" w:rsidRPr="003476AC" w:rsidRDefault="00F12B41" w:rsidP="003C1B8B">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2087904479"/>
                <w15:color w:val="000000"/>
                <w14:checkbox>
                  <w14:checked w14:val="0"/>
                  <w14:checkedState w14:val="2612" w14:font="MS Gothic"/>
                  <w14:uncheckedState w14:val="2610" w14:font="MS Gothic"/>
                </w14:checkbox>
              </w:sdtPr>
              <w:sdtEndPr/>
              <w:sdtContent>
                <w:r w:rsidR="003C1B8B" w:rsidRPr="003476AC">
                  <w:rPr>
                    <w:rFonts w:ascii="Segoe UI Symbol" w:hAnsi="Segoe UI Symbol" w:cs="Segoe UI Symbol"/>
                    <w:bCs/>
                    <w:color w:val="000000" w:themeColor="text1"/>
                    <w:sz w:val="20"/>
                    <w:szCs w:val="20"/>
                    <w:lang w:val="en-GB"/>
                  </w:rPr>
                  <w:t>☐</w:t>
                </w:r>
              </w:sdtContent>
            </w:sdt>
          </w:p>
        </w:tc>
        <w:tc>
          <w:tcPr>
            <w:tcW w:w="1632" w:type="pct"/>
            <w:gridSpan w:val="2"/>
            <w:shd w:val="clear" w:color="auto" w:fill="FBE4D5" w:themeFill="accent2" w:themeFillTint="33"/>
          </w:tcPr>
          <w:p w14:paraId="725D8BD8" w14:textId="77777777" w:rsidR="003C1B8B" w:rsidRPr="003476AC" w:rsidRDefault="003C1B8B" w:rsidP="003C1B8B">
            <w:pPr>
              <w:tabs>
                <w:tab w:val="left" w:pos="325"/>
              </w:tabs>
              <w:spacing w:before="0" w:after="0"/>
              <w:ind w:left="170"/>
              <w:jc w:val="left"/>
              <w:rPr>
                <w:rFonts w:ascii="Arial" w:hAnsi="Arial" w:cs="Arial"/>
                <w:sz w:val="16"/>
                <w:szCs w:val="16"/>
                <w:lang w:val="en-GB"/>
              </w:rPr>
            </w:pPr>
            <w:r w:rsidRPr="003476AC">
              <w:rPr>
                <w:rFonts w:ascii="Arial" w:hAnsi="Arial" w:cs="Arial"/>
                <w:sz w:val="16"/>
                <w:szCs w:val="16"/>
                <w:lang w:val="en-GB"/>
              </w:rPr>
              <w:t>in economic activities that qualify as environmentally sustainable under the EU Taxonomy</w:t>
            </w:r>
          </w:p>
        </w:tc>
        <w:tc>
          <w:tcPr>
            <w:tcW w:w="191" w:type="pct"/>
            <w:shd w:val="clear" w:color="auto" w:fill="FBE4D5" w:themeFill="accent2" w:themeFillTint="33"/>
          </w:tcPr>
          <w:p w14:paraId="09CAE3E5" w14:textId="77777777" w:rsidR="003C1B8B" w:rsidRPr="003476AC" w:rsidRDefault="00F12B41" w:rsidP="003C1B8B">
            <w:pPr>
              <w:spacing w:before="0" w:after="0"/>
              <w:jc w:val="left"/>
              <w:rPr>
                <w:rFonts w:ascii="Arial" w:eastAsia="MS Gothic" w:hAnsi="Arial" w:cs="Arial"/>
                <w:sz w:val="28"/>
                <w:szCs w:val="28"/>
                <w:highlight w:val="lightGray"/>
                <w:lang w:val="en-GB"/>
              </w:rPr>
            </w:pPr>
            <w:sdt>
              <w:sdtPr>
                <w:rPr>
                  <w:rFonts w:cs="Arial"/>
                  <w:bCs/>
                  <w:color w:val="000000" w:themeColor="text1"/>
                  <w:sz w:val="20"/>
                  <w:szCs w:val="20"/>
                  <w:lang w:val="en-GB"/>
                </w:rPr>
                <w:id w:val="-362126313"/>
                <w15:color w:val="000000"/>
                <w14:checkbox>
                  <w14:checked w14:val="0"/>
                  <w14:checkedState w14:val="2612" w14:font="MS Gothic"/>
                  <w14:uncheckedState w14:val="2610" w14:font="MS Gothic"/>
                </w14:checkbox>
              </w:sdtPr>
              <w:sdtEndPr/>
              <w:sdtContent>
                <w:r w:rsidR="003C1B8B" w:rsidRPr="003476AC">
                  <w:rPr>
                    <w:rFonts w:ascii="Segoe UI Symbol" w:hAnsi="Segoe UI Symbol" w:cs="Segoe UI Symbol"/>
                    <w:bCs/>
                    <w:color w:val="000000" w:themeColor="text1"/>
                    <w:sz w:val="20"/>
                    <w:szCs w:val="20"/>
                    <w:lang w:val="en-GB"/>
                  </w:rPr>
                  <w:t>☐</w:t>
                </w:r>
              </w:sdtContent>
            </w:sdt>
          </w:p>
        </w:tc>
        <w:tc>
          <w:tcPr>
            <w:tcW w:w="1718" w:type="pct"/>
            <w:gridSpan w:val="2"/>
            <w:shd w:val="clear" w:color="auto" w:fill="FBE4D5" w:themeFill="accent2" w:themeFillTint="33"/>
          </w:tcPr>
          <w:p w14:paraId="47957692" w14:textId="77777777" w:rsidR="003C1B8B" w:rsidRPr="003476AC" w:rsidRDefault="003C1B8B" w:rsidP="003C1B8B">
            <w:pPr>
              <w:spacing w:before="0" w:after="0"/>
              <w:ind w:left="170"/>
              <w:jc w:val="left"/>
              <w:rPr>
                <w:rFonts w:ascii="Arial" w:hAnsi="Arial" w:cs="Arial"/>
                <w:sz w:val="16"/>
                <w:szCs w:val="16"/>
                <w:lang w:val="en-GB"/>
              </w:rPr>
            </w:pPr>
            <w:r w:rsidRPr="003476AC">
              <w:rPr>
                <w:rFonts w:ascii="Arial" w:hAnsi="Arial" w:cs="Arial"/>
                <w:sz w:val="16"/>
                <w:szCs w:val="16"/>
                <w:lang w:val="en-GB"/>
              </w:rPr>
              <w:t>with an environmental objective in economic activities that qualify as environmentally sustainable under the EU Taxonomy</w:t>
            </w:r>
          </w:p>
        </w:tc>
      </w:tr>
      <w:tr w:rsidR="003C1B8B" w:rsidRPr="003C1B8B" w14:paraId="4E2BC8B7" w14:textId="77777777" w:rsidTr="00303F74">
        <w:trPr>
          <w:trHeight w:val="830"/>
        </w:trPr>
        <w:tc>
          <w:tcPr>
            <w:tcW w:w="1116" w:type="pct"/>
            <w:vMerge/>
          </w:tcPr>
          <w:p w14:paraId="3760C492"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1661F028" w14:textId="77777777" w:rsidR="003C1B8B" w:rsidRPr="003C1B8B" w:rsidRDefault="003C1B8B" w:rsidP="003C1B8B">
            <w:pPr>
              <w:tabs>
                <w:tab w:val="left" w:pos="325"/>
              </w:tabs>
              <w:spacing w:before="0" w:after="0"/>
              <w:jc w:val="left"/>
              <w:rPr>
                <w:rFonts w:ascii="MS Gothic" w:eastAsia="MS Gothic" w:hAnsi="MS Gothic"/>
                <w:sz w:val="28"/>
                <w:szCs w:val="28"/>
                <w:highlight w:val="lightGray"/>
                <w:lang w:val="en-GB"/>
              </w:rPr>
            </w:pPr>
          </w:p>
        </w:tc>
        <w:tc>
          <w:tcPr>
            <w:tcW w:w="219" w:type="pct"/>
            <w:vMerge w:val="restart"/>
            <w:shd w:val="clear" w:color="auto" w:fill="FBE4D5" w:themeFill="accent2" w:themeFillTint="33"/>
          </w:tcPr>
          <w:p w14:paraId="4646DD36" w14:textId="77777777" w:rsidR="003C1B8B" w:rsidRPr="003476AC" w:rsidRDefault="00F12B41" w:rsidP="003C1B8B">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613950674"/>
                <w15:color w:val="000000"/>
                <w14:checkbox>
                  <w14:checked w14:val="0"/>
                  <w14:checkedState w14:val="2612" w14:font="MS Gothic"/>
                  <w14:uncheckedState w14:val="2610" w14:font="MS Gothic"/>
                </w14:checkbox>
              </w:sdtPr>
              <w:sdtEndPr/>
              <w:sdtContent>
                <w:r w:rsidR="003C1B8B" w:rsidRPr="003476AC">
                  <w:rPr>
                    <w:rFonts w:ascii="Segoe UI Symbol" w:hAnsi="Segoe UI Symbol" w:cs="Segoe UI Symbol"/>
                    <w:bCs/>
                    <w:color w:val="000000" w:themeColor="text1"/>
                    <w:sz w:val="20"/>
                    <w:szCs w:val="20"/>
                    <w:lang w:val="en-GB"/>
                  </w:rPr>
                  <w:t>☐</w:t>
                </w:r>
              </w:sdtContent>
            </w:sdt>
          </w:p>
        </w:tc>
        <w:tc>
          <w:tcPr>
            <w:tcW w:w="1632" w:type="pct"/>
            <w:gridSpan w:val="2"/>
            <w:vMerge w:val="restart"/>
            <w:shd w:val="clear" w:color="auto" w:fill="FBE4D5" w:themeFill="accent2" w:themeFillTint="33"/>
          </w:tcPr>
          <w:p w14:paraId="27A140AD" w14:textId="77777777" w:rsidR="003C1B8B" w:rsidRPr="003476AC" w:rsidRDefault="003C1B8B" w:rsidP="003C1B8B">
            <w:pPr>
              <w:tabs>
                <w:tab w:val="left" w:pos="325"/>
              </w:tabs>
              <w:spacing w:before="0" w:after="0"/>
              <w:ind w:left="170"/>
              <w:jc w:val="left"/>
              <w:rPr>
                <w:rFonts w:ascii="Arial" w:hAnsi="Arial" w:cs="Arial"/>
                <w:sz w:val="16"/>
                <w:szCs w:val="16"/>
                <w:lang w:val="en-GB"/>
              </w:rPr>
            </w:pPr>
            <w:r w:rsidRPr="003476AC">
              <w:rPr>
                <w:rFonts w:ascii="Arial" w:hAnsi="Arial" w:cs="Arial"/>
                <w:sz w:val="16"/>
                <w:szCs w:val="16"/>
                <w:lang w:val="en-GB"/>
              </w:rPr>
              <w:t>in economic activities that do not qualify as environmentally sustainable under the EU Taxonomy</w:t>
            </w:r>
          </w:p>
        </w:tc>
        <w:tc>
          <w:tcPr>
            <w:tcW w:w="191" w:type="pct"/>
            <w:shd w:val="clear" w:color="auto" w:fill="FBE4D5" w:themeFill="accent2" w:themeFillTint="33"/>
          </w:tcPr>
          <w:p w14:paraId="703B0170" w14:textId="77777777" w:rsidR="003C1B8B" w:rsidRPr="003476AC" w:rsidRDefault="00F12B41" w:rsidP="003C1B8B">
            <w:pPr>
              <w:spacing w:before="0" w:after="0"/>
              <w:jc w:val="left"/>
              <w:rPr>
                <w:rFonts w:ascii="Arial" w:hAnsi="Arial" w:cs="Arial"/>
                <w:sz w:val="20"/>
                <w:szCs w:val="20"/>
                <w:lang w:val="en-GB"/>
              </w:rPr>
            </w:pPr>
            <w:sdt>
              <w:sdtPr>
                <w:rPr>
                  <w:rFonts w:cs="Arial"/>
                  <w:bCs/>
                  <w:color w:val="000000" w:themeColor="text1"/>
                  <w:sz w:val="20"/>
                  <w:szCs w:val="20"/>
                  <w:lang w:val="en-GB"/>
                </w:rPr>
                <w:id w:val="-584921661"/>
                <w15:color w:val="000000"/>
                <w14:checkbox>
                  <w14:checked w14:val="0"/>
                  <w14:checkedState w14:val="2612" w14:font="MS Gothic"/>
                  <w14:uncheckedState w14:val="2610" w14:font="MS Gothic"/>
                </w14:checkbox>
              </w:sdtPr>
              <w:sdtEndPr/>
              <w:sdtContent>
                <w:r w:rsidR="003C1B8B" w:rsidRPr="003476AC">
                  <w:rPr>
                    <w:rFonts w:ascii="Segoe UI Symbol" w:hAnsi="Segoe UI Symbol" w:cs="Segoe UI Symbol"/>
                    <w:bCs/>
                    <w:color w:val="000000" w:themeColor="text1"/>
                    <w:sz w:val="20"/>
                    <w:szCs w:val="20"/>
                    <w:lang w:val="en-GB"/>
                  </w:rPr>
                  <w:t>☐</w:t>
                </w:r>
              </w:sdtContent>
            </w:sdt>
          </w:p>
        </w:tc>
        <w:tc>
          <w:tcPr>
            <w:tcW w:w="1718" w:type="pct"/>
            <w:gridSpan w:val="2"/>
            <w:shd w:val="clear" w:color="auto" w:fill="FBE4D5" w:themeFill="accent2" w:themeFillTint="33"/>
          </w:tcPr>
          <w:p w14:paraId="22B328AA" w14:textId="77777777" w:rsidR="003C1B8B" w:rsidRPr="003476AC" w:rsidRDefault="003C1B8B" w:rsidP="003C1B8B">
            <w:pPr>
              <w:spacing w:before="0" w:after="0"/>
              <w:ind w:left="170"/>
              <w:jc w:val="left"/>
              <w:rPr>
                <w:rFonts w:ascii="Arial" w:hAnsi="Arial" w:cs="Arial"/>
                <w:sz w:val="16"/>
                <w:szCs w:val="16"/>
                <w:lang w:val="en-GB"/>
              </w:rPr>
            </w:pPr>
            <w:r w:rsidRPr="003476AC">
              <w:rPr>
                <w:rFonts w:ascii="Arial" w:hAnsi="Arial" w:cs="Arial"/>
                <w:sz w:val="16"/>
                <w:szCs w:val="16"/>
                <w:lang w:val="en-GB"/>
              </w:rPr>
              <w:t>with an environmental objective in economic activities that do not qualify as environmentally sustainable under the EU Taxonomy</w:t>
            </w:r>
          </w:p>
        </w:tc>
      </w:tr>
      <w:tr w:rsidR="003C1B8B" w:rsidRPr="003C1B8B" w14:paraId="2EFB1E5C" w14:textId="77777777" w:rsidTr="00303F74">
        <w:trPr>
          <w:trHeight w:val="401"/>
        </w:trPr>
        <w:tc>
          <w:tcPr>
            <w:tcW w:w="1116" w:type="pct"/>
            <w:vMerge/>
          </w:tcPr>
          <w:p w14:paraId="00BFEED9"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5E3AB08E" w14:textId="77777777" w:rsidR="003C1B8B" w:rsidRPr="003C1B8B" w:rsidRDefault="003C1B8B" w:rsidP="003C1B8B">
            <w:pPr>
              <w:tabs>
                <w:tab w:val="left" w:pos="325"/>
              </w:tabs>
              <w:spacing w:before="0" w:after="0"/>
              <w:contextualSpacing/>
              <w:jc w:val="left"/>
              <w:rPr>
                <w:rFonts w:ascii="Arial" w:hAnsi="Arial" w:cs="Arial"/>
                <w:sz w:val="20"/>
                <w:szCs w:val="20"/>
                <w:lang w:val="en-GB"/>
              </w:rPr>
            </w:pPr>
          </w:p>
        </w:tc>
        <w:tc>
          <w:tcPr>
            <w:tcW w:w="219" w:type="pct"/>
            <w:vMerge/>
          </w:tcPr>
          <w:p w14:paraId="0C941A7F" w14:textId="77777777" w:rsidR="003C1B8B" w:rsidRPr="003476AC" w:rsidRDefault="003C1B8B" w:rsidP="003C1B8B">
            <w:pPr>
              <w:tabs>
                <w:tab w:val="left" w:pos="325"/>
              </w:tabs>
              <w:spacing w:before="0" w:after="0"/>
              <w:contextualSpacing/>
              <w:jc w:val="left"/>
              <w:rPr>
                <w:rFonts w:ascii="Arial" w:hAnsi="Arial" w:cs="Arial"/>
                <w:sz w:val="20"/>
                <w:szCs w:val="20"/>
                <w:lang w:val="en-GB"/>
              </w:rPr>
            </w:pPr>
          </w:p>
        </w:tc>
        <w:tc>
          <w:tcPr>
            <w:tcW w:w="1632" w:type="pct"/>
            <w:gridSpan w:val="2"/>
            <w:vMerge/>
          </w:tcPr>
          <w:p w14:paraId="28C93016" w14:textId="77777777" w:rsidR="003C1B8B" w:rsidRPr="003476AC" w:rsidRDefault="003C1B8B" w:rsidP="003C1B8B">
            <w:pPr>
              <w:tabs>
                <w:tab w:val="left" w:pos="325"/>
              </w:tabs>
              <w:spacing w:before="0" w:after="0"/>
              <w:contextualSpacing/>
              <w:jc w:val="left"/>
              <w:rPr>
                <w:rFonts w:ascii="Arial" w:hAnsi="Arial" w:cs="Arial"/>
                <w:sz w:val="20"/>
                <w:szCs w:val="20"/>
                <w:lang w:val="en-GB"/>
              </w:rPr>
            </w:pPr>
          </w:p>
        </w:tc>
        <w:tc>
          <w:tcPr>
            <w:tcW w:w="191" w:type="pct"/>
            <w:shd w:val="clear" w:color="auto" w:fill="FBE4D5" w:themeFill="accent2" w:themeFillTint="33"/>
          </w:tcPr>
          <w:p w14:paraId="49468D70" w14:textId="77777777" w:rsidR="003C1B8B" w:rsidRPr="003476AC" w:rsidRDefault="00F12B41" w:rsidP="003C1B8B">
            <w:pPr>
              <w:spacing w:before="0" w:after="0"/>
              <w:jc w:val="left"/>
              <w:rPr>
                <w:rFonts w:ascii="Arial" w:eastAsia="MS Gothic" w:hAnsi="Arial" w:cs="Arial"/>
                <w:sz w:val="28"/>
                <w:szCs w:val="28"/>
                <w:highlight w:val="lightGray"/>
                <w:lang w:val="en-GB"/>
              </w:rPr>
            </w:pPr>
            <w:sdt>
              <w:sdtPr>
                <w:rPr>
                  <w:rFonts w:cs="Arial"/>
                  <w:bCs/>
                  <w:color w:val="000000" w:themeColor="text1"/>
                  <w:sz w:val="20"/>
                  <w:szCs w:val="20"/>
                  <w:lang w:val="en-GB"/>
                </w:rPr>
                <w:id w:val="165219974"/>
                <w15:color w:val="000000"/>
                <w14:checkbox>
                  <w14:checked w14:val="0"/>
                  <w14:checkedState w14:val="2612" w14:font="MS Gothic"/>
                  <w14:uncheckedState w14:val="2610" w14:font="MS Gothic"/>
                </w14:checkbox>
              </w:sdtPr>
              <w:sdtEndPr/>
              <w:sdtContent>
                <w:r w:rsidR="003C1B8B" w:rsidRPr="003476AC">
                  <w:rPr>
                    <w:rFonts w:ascii="Segoe UI Symbol" w:hAnsi="Segoe UI Symbol" w:cs="Segoe UI Symbol"/>
                    <w:bCs/>
                    <w:color w:val="000000" w:themeColor="text1"/>
                    <w:sz w:val="20"/>
                    <w:szCs w:val="20"/>
                    <w:lang w:val="en-GB"/>
                  </w:rPr>
                  <w:t>☐</w:t>
                </w:r>
              </w:sdtContent>
            </w:sdt>
          </w:p>
        </w:tc>
        <w:tc>
          <w:tcPr>
            <w:tcW w:w="1718" w:type="pct"/>
            <w:gridSpan w:val="2"/>
            <w:shd w:val="clear" w:color="auto" w:fill="FBE4D5" w:themeFill="accent2" w:themeFillTint="33"/>
          </w:tcPr>
          <w:p w14:paraId="32ACEC89" w14:textId="77777777" w:rsidR="003C1B8B" w:rsidRPr="003476AC" w:rsidRDefault="003C1B8B" w:rsidP="003C1B8B">
            <w:pPr>
              <w:spacing w:before="0" w:after="0"/>
              <w:ind w:left="170"/>
              <w:jc w:val="left"/>
              <w:rPr>
                <w:rFonts w:ascii="Arial" w:hAnsi="Arial" w:cs="Arial"/>
                <w:sz w:val="16"/>
                <w:szCs w:val="16"/>
                <w:lang w:val="en-GB"/>
              </w:rPr>
            </w:pPr>
            <w:r w:rsidRPr="003476AC">
              <w:rPr>
                <w:rFonts w:ascii="Arial" w:hAnsi="Arial" w:cs="Arial"/>
                <w:sz w:val="16"/>
                <w:szCs w:val="16"/>
                <w:lang w:val="en-GB"/>
              </w:rPr>
              <w:t>with a social objective</w:t>
            </w:r>
          </w:p>
        </w:tc>
      </w:tr>
      <w:tr w:rsidR="003C1B8B" w:rsidRPr="003C1B8B" w14:paraId="71EA57CD" w14:textId="77777777" w:rsidTr="00303F74">
        <w:trPr>
          <w:trHeight w:val="988"/>
        </w:trPr>
        <w:tc>
          <w:tcPr>
            <w:tcW w:w="1116" w:type="pct"/>
            <w:vMerge/>
          </w:tcPr>
          <w:p w14:paraId="72C87A0C"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0FFF1B45" w14:textId="77777777" w:rsidR="003C1B8B" w:rsidRPr="003C1B8B" w:rsidRDefault="003C1B8B" w:rsidP="003C1B8B">
            <w:pPr>
              <w:tabs>
                <w:tab w:val="left" w:pos="325"/>
              </w:tabs>
              <w:spacing w:before="0" w:after="0"/>
              <w:jc w:val="left"/>
              <w:rPr>
                <w:rFonts w:ascii="MS Gothic" w:eastAsia="MS Gothic" w:hAnsi="MS Gothic"/>
                <w:sz w:val="28"/>
                <w:szCs w:val="28"/>
                <w:highlight w:val="lightGray"/>
                <w:lang w:val="en-GB"/>
              </w:rPr>
            </w:pPr>
          </w:p>
        </w:tc>
        <w:tc>
          <w:tcPr>
            <w:tcW w:w="219" w:type="pct"/>
            <w:shd w:val="clear" w:color="auto" w:fill="FBE4D5" w:themeFill="accent2" w:themeFillTint="33"/>
          </w:tcPr>
          <w:p w14:paraId="48C5D1C0" w14:textId="77777777" w:rsidR="003C1B8B" w:rsidRPr="003476AC" w:rsidRDefault="00F12B41" w:rsidP="003C1B8B">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4139824"/>
                <w15:color w:val="000000"/>
                <w14:checkbox>
                  <w14:checked w14:val="0"/>
                  <w14:checkedState w14:val="2612" w14:font="MS Gothic"/>
                  <w14:uncheckedState w14:val="2610" w14:font="MS Gothic"/>
                </w14:checkbox>
              </w:sdtPr>
              <w:sdtEndPr/>
              <w:sdtContent>
                <w:r w:rsidR="003C1B8B" w:rsidRPr="003476AC">
                  <w:rPr>
                    <w:rFonts w:ascii="Segoe UI Symbol" w:hAnsi="Segoe UI Symbol" w:cs="Segoe UI Symbol"/>
                    <w:bCs/>
                    <w:color w:val="000000" w:themeColor="text1"/>
                    <w:sz w:val="20"/>
                    <w:szCs w:val="20"/>
                    <w:lang w:val="en-GB"/>
                  </w:rPr>
                  <w:t>☐</w:t>
                </w:r>
              </w:sdtContent>
            </w:sdt>
          </w:p>
        </w:tc>
        <w:tc>
          <w:tcPr>
            <w:tcW w:w="1632" w:type="pct"/>
            <w:gridSpan w:val="2"/>
            <w:shd w:val="clear" w:color="auto" w:fill="FBE4D5" w:themeFill="accent2" w:themeFillTint="33"/>
          </w:tcPr>
          <w:p w14:paraId="680C889E" w14:textId="77777777" w:rsidR="003C1B8B" w:rsidRPr="003476AC" w:rsidRDefault="003C1B8B" w:rsidP="003C1B8B">
            <w:pPr>
              <w:tabs>
                <w:tab w:val="left" w:pos="325"/>
              </w:tabs>
              <w:spacing w:before="0" w:after="0"/>
              <w:jc w:val="left"/>
              <w:rPr>
                <w:rFonts w:ascii="Arial" w:hAnsi="Arial" w:cs="Arial"/>
                <w:sz w:val="20"/>
                <w:szCs w:val="20"/>
                <w:lang w:val="en-GB"/>
              </w:rPr>
            </w:pPr>
            <w:r w:rsidRPr="003476AC">
              <w:rPr>
                <w:rFonts w:ascii="Arial" w:hAnsi="Arial" w:cs="Arial"/>
                <w:sz w:val="20"/>
                <w:szCs w:val="20"/>
                <w:lang w:val="en-GB"/>
              </w:rPr>
              <w:t xml:space="preserve">It will make a minimum of </w:t>
            </w:r>
            <w:r w:rsidRPr="003476AC">
              <w:rPr>
                <w:rFonts w:ascii="Arial" w:hAnsi="Arial" w:cs="Arial"/>
                <w:bCs/>
                <w:sz w:val="20"/>
                <w:szCs w:val="20"/>
                <w:lang w:val="en-GB"/>
              </w:rPr>
              <w:t>sustainable investments with a social objective</w:t>
            </w:r>
            <w:r w:rsidRPr="003476AC">
              <w:rPr>
                <w:rFonts w:ascii="Arial" w:hAnsi="Arial" w:cs="Arial"/>
                <w:sz w:val="20"/>
                <w:szCs w:val="20"/>
                <w:lang w:val="en-GB"/>
              </w:rPr>
              <w:t>: ___%</w:t>
            </w:r>
          </w:p>
        </w:tc>
        <w:tc>
          <w:tcPr>
            <w:tcW w:w="191" w:type="pct"/>
            <w:shd w:val="clear" w:color="auto" w:fill="FBE4D5" w:themeFill="accent2" w:themeFillTint="33"/>
          </w:tcPr>
          <w:p w14:paraId="43E1F562" w14:textId="77777777" w:rsidR="003C1B8B" w:rsidRPr="003476AC" w:rsidRDefault="00F12B41" w:rsidP="003C1B8B">
            <w:pPr>
              <w:spacing w:before="0" w:after="0"/>
              <w:jc w:val="left"/>
              <w:rPr>
                <w:rFonts w:ascii="Arial" w:eastAsia="MS Gothic" w:hAnsi="Arial" w:cs="Arial"/>
                <w:sz w:val="28"/>
                <w:szCs w:val="28"/>
                <w:highlight w:val="lightGray"/>
                <w:lang w:val="en-GB"/>
              </w:rPr>
            </w:pPr>
            <w:sdt>
              <w:sdtPr>
                <w:rPr>
                  <w:rFonts w:cs="Arial"/>
                  <w:bCs/>
                  <w:color w:val="000000" w:themeColor="text1"/>
                  <w:sz w:val="20"/>
                  <w:szCs w:val="20"/>
                  <w:lang w:val="en-GB"/>
                </w:rPr>
                <w:id w:val="-518475303"/>
                <w15:color w:val="000000"/>
                <w14:checkbox>
                  <w14:checked w14:val="1"/>
                  <w14:checkedState w14:val="2612" w14:font="MS Gothic"/>
                  <w14:uncheckedState w14:val="2610" w14:font="MS Gothic"/>
                </w14:checkbox>
              </w:sdtPr>
              <w:sdtEndPr/>
              <w:sdtContent>
                <w:r w:rsidR="003C1B8B" w:rsidRPr="003476AC">
                  <w:rPr>
                    <w:rFonts w:ascii="Segoe UI Symbol" w:hAnsi="Segoe UI Symbol" w:cs="Segoe UI Symbol"/>
                    <w:bCs/>
                    <w:color w:val="000000" w:themeColor="text1"/>
                    <w:sz w:val="20"/>
                    <w:szCs w:val="20"/>
                    <w:lang w:val="en-GB"/>
                  </w:rPr>
                  <w:t>☒</w:t>
                </w:r>
              </w:sdtContent>
            </w:sdt>
          </w:p>
        </w:tc>
        <w:tc>
          <w:tcPr>
            <w:tcW w:w="1718" w:type="pct"/>
            <w:gridSpan w:val="2"/>
            <w:shd w:val="clear" w:color="auto" w:fill="FBE4D5" w:themeFill="accent2" w:themeFillTint="33"/>
          </w:tcPr>
          <w:p w14:paraId="4E8F7E3A" w14:textId="77777777" w:rsidR="003C1B8B" w:rsidRPr="003476AC" w:rsidRDefault="003C1B8B" w:rsidP="003C1B8B">
            <w:pPr>
              <w:spacing w:before="0" w:after="0"/>
              <w:jc w:val="left"/>
              <w:rPr>
                <w:rFonts w:ascii="Arial" w:hAnsi="Arial" w:cs="Arial"/>
                <w:bCs/>
                <w:sz w:val="20"/>
                <w:szCs w:val="20"/>
                <w:lang w:val="en-GB"/>
              </w:rPr>
            </w:pPr>
            <w:r w:rsidRPr="003476AC">
              <w:rPr>
                <w:rFonts w:ascii="Arial" w:hAnsi="Arial" w:cs="Arial"/>
                <w:sz w:val="20"/>
                <w:szCs w:val="20"/>
                <w:lang w:val="en-GB"/>
              </w:rPr>
              <w:t xml:space="preserve">It promotes E/S characteristics, but </w:t>
            </w:r>
            <w:r w:rsidRPr="003476AC">
              <w:rPr>
                <w:rFonts w:ascii="Arial" w:hAnsi="Arial" w:cs="Arial"/>
                <w:bCs/>
                <w:sz w:val="20"/>
                <w:szCs w:val="20"/>
                <w:lang w:val="en-GB"/>
              </w:rPr>
              <w:t>will not make any sustainable investments</w:t>
            </w:r>
          </w:p>
        </w:tc>
      </w:tr>
      <w:tr w:rsidR="003C1B8B" w:rsidRPr="003C1B8B" w14:paraId="196AA483" w14:textId="77777777" w:rsidTr="00303F74">
        <w:trPr>
          <w:trHeight w:val="1113"/>
        </w:trPr>
        <w:tc>
          <w:tcPr>
            <w:tcW w:w="1116" w:type="pct"/>
          </w:tcPr>
          <w:p w14:paraId="4637406B" w14:textId="77777777" w:rsidR="003C1B8B" w:rsidRPr="003C1B8B" w:rsidRDefault="003C1B8B" w:rsidP="003C1B8B">
            <w:pPr>
              <w:spacing w:before="0" w:after="0"/>
              <w:jc w:val="left"/>
              <w:rPr>
                <w:rFonts w:ascii="Arial" w:hAnsi="Arial" w:cs="Arial"/>
                <w:sz w:val="20"/>
                <w:szCs w:val="20"/>
                <w:lang w:val="en-GB"/>
              </w:rPr>
            </w:pPr>
            <w:r w:rsidRPr="003C1B8B">
              <w:rPr>
                <w:noProof/>
                <w:sz w:val="22"/>
                <w:szCs w:val="22"/>
                <w:lang w:val="en-GB"/>
              </w:rPr>
              <w:drawing>
                <wp:inline distT="0" distB="0" distL="0" distR="0" wp14:anchorId="02FC1675" wp14:editId="1BF63CC1">
                  <wp:extent cx="1338682" cy="457200"/>
                  <wp:effectExtent l="0" t="0" r="0" b="0"/>
                  <wp:docPr id="244" name="Graphic 244"/>
                  <wp:cNvGraphicFramePr/>
                  <a:graphic xmlns:a="http://schemas.openxmlformats.org/drawingml/2006/main">
                    <a:graphicData uri="http://schemas.openxmlformats.org/drawingml/2006/picture">
                      <pic:pic xmlns:pic="http://schemas.openxmlformats.org/drawingml/2006/picture">
                        <pic:nvPicPr>
                          <pic:cNvPr id="244"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341601" cy="458197"/>
                          </a:xfrm>
                          <a:prstGeom prst="rect">
                            <a:avLst/>
                          </a:prstGeom>
                        </pic:spPr>
                      </pic:pic>
                    </a:graphicData>
                  </a:graphic>
                </wp:inline>
              </w:drawing>
            </w:r>
          </w:p>
        </w:tc>
        <w:tc>
          <w:tcPr>
            <w:tcW w:w="124" w:type="pct"/>
            <w:shd w:val="clear" w:color="auto" w:fill="FFFFFF" w:themeFill="background1"/>
          </w:tcPr>
          <w:p w14:paraId="50AF26E8" w14:textId="77777777" w:rsidR="003C1B8B" w:rsidRPr="003C1B8B" w:rsidRDefault="003C1B8B" w:rsidP="003C1B8B">
            <w:pPr>
              <w:spacing w:before="0" w:after="0"/>
              <w:jc w:val="left"/>
              <w:rPr>
                <w:rFonts w:ascii="Arial" w:hAnsi="Arial" w:cs="Arial"/>
                <w:bCs/>
                <w:sz w:val="20"/>
                <w:szCs w:val="20"/>
                <w:lang w:val="en-GB"/>
              </w:rPr>
            </w:pPr>
          </w:p>
        </w:tc>
        <w:tc>
          <w:tcPr>
            <w:tcW w:w="3760" w:type="pct"/>
            <w:gridSpan w:val="6"/>
          </w:tcPr>
          <w:p w14:paraId="6A746A8B" w14:textId="77777777" w:rsidR="003C1B8B" w:rsidRPr="003476AC" w:rsidRDefault="003C1B8B" w:rsidP="003C1B8B">
            <w:pPr>
              <w:spacing w:before="0" w:after="0"/>
              <w:jc w:val="left"/>
              <w:rPr>
                <w:rFonts w:ascii="Arial" w:hAnsi="Arial" w:cs="Arial"/>
                <w:b/>
                <w:i/>
                <w:color w:val="C00000"/>
                <w:sz w:val="20"/>
                <w:szCs w:val="20"/>
                <w:lang w:val="en-GB"/>
              </w:rPr>
            </w:pPr>
            <w:r w:rsidRPr="003476AC">
              <w:rPr>
                <w:rFonts w:ascii="Arial" w:hAnsi="Arial" w:cs="Arial"/>
                <w:b/>
                <w:sz w:val="20"/>
                <w:szCs w:val="20"/>
                <w:lang w:val="en-GB"/>
              </w:rPr>
              <w:t xml:space="preserve">What environmental and/or social characteristics are promoted by this financial product? </w:t>
            </w:r>
          </w:p>
          <w:p w14:paraId="0F2855A7" w14:textId="77777777" w:rsidR="003C1B8B" w:rsidRPr="003476AC" w:rsidRDefault="003C1B8B" w:rsidP="003C1B8B">
            <w:pPr>
              <w:spacing w:before="0" w:after="0"/>
              <w:jc w:val="left"/>
              <w:rPr>
                <w:rFonts w:ascii="Arial" w:hAnsi="Arial" w:cs="Arial"/>
                <w:color w:val="0070C0"/>
                <w:sz w:val="20"/>
                <w:szCs w:val="20"/>
                <w:lang w:val="en-GB"/>
              </w:rPr>
            </w:pPr>
          </w:p>
        </w:tc>
      </w:tr>
      <w:tr w:rsidR="003C1B8B" w:rsidRPr="003C1B8B" w14:paraId="299080DB" w14:textId="77777777" w:rsidTr="00303F74">
        <w:trPr>
          <w:trHeight w:val="1113"/>
        </w:trPr>
        <w:tc>
          <w:tcPr>
            <w:tcW w:w="1116" w:type="pct"/>
          </w:tcPr>
          <w:p w14:paraId="2B35FBF3" w14:textId="77777777" w:rsidR="003C1B8B" w:rsidRPr="003C1B8B" w:rsidRDefault="003C1B8B" w:rsidP="003C1B8B">
            <w:pPr>
              <w:spacing w:before="0" w:after="0"/>
              <w:jc w:val="left"/>
              <w:rPr>
                <w:noProof/>
                <w:sz w:val="22"/>
                <w:szCs w:val="22"/>
                <w:lang w:val="en-GB"/>
              </w:rPr>
            </w:pPr>
          </w:p>
        </w:tc>
        <w:tc>
          <w:tcPr>
            <w:tcW w:w="124" w:type="pct"/>
            <w:shd w:val="clear" w:color="auto" w:fill="FFFFFF" w:themeFill="background1"/>
          </w:tcPr>
          <w:p w14:paraId="510F6242" w14:textId="77777777" w:rsidR="003C1B8B" w:rsidRPr="003C1B8B" w:rsidRDefault="003C1B8B" w:rsidP="003C1B8B">
            <w:pPr>
              <w:spacing w:before="0" w:after="0"/>
              <w:jc w:val="left"/>
              <w:rPr>
                <w:rFonts w:ascii="Arial" w:hAnsi="Arial" w:cs="Arial"/>
                <w:bCs/>
                <w:sz w:val="20"/>
                <w:szCs w:val="20"/>
                <w:lang w:val="en-GB"/>
              </w:rPr>
            </w:pPr>
          </w:p>
        </w:tc>
        <w:tc>
          <w:tcPr>
            <w:tcW w:w="3760" w:type="pct"/>
            <w:gridSpan w:val="6"/>
          </w:tcPr>
          <w:p w14:paraId="563954AB" w14:textId="77777777" w:rsidR="003C1B8B" w:rsidRPr="003476AC" w:rsidRDefault="003C1B8B" w:rsidP="003C1B8B">
            <w:pPr>
              <w:autoSpaceDE w:val="0"/>
              <w:autoSpaceDN w:val="0"/>
              <w:adjustRightInd w:val="0"/>
              <w:spacing w:before="0" w:after="0"/>
              <w:rPr>
                <w:rFonts w:ascii="Arial" w:hAnsi="Arial" w:cs="Arial"/>
                <w:sz w:val="20"/>
                <w:szCs w:val="20"/>
                <w:lang w:val="en-GB"/>
              </w:rPr>
            </w:pPr>
            <w:r w:rsidRPr="003476AC">
              <w:rPr>
                <w:rFonts w:ascii="Arial" w:hAnsi="Arial" w:cs="Arial"/>
                <w:sz w:val="20"/>
                <w:szCs w:val="20"/>
                <w:lang w:val="en-GB"/>
              </w:rPr>
              <w:t xml:space="preserve">The Fund may invest in equity securities and fixed income securities. </w:t>
            </w:r>
          </w:p>
          <w:p w14:paraId="70720407" w14:textId="77777777" w:rsidR="003C1B8B" w:rsidRPr="003476AC" w:rsidRDefault="003C1B8B" w:rsidP="003C1B8B">
            <w:pPr>
              <w:autoSpaceDE w:val="0"/>
              <w:autoSpaceDN w:val="0"/>
              <w:adjustRightInd w:val="0"/>
              <w:spacing w:before="0" w:after="0"/>
              <w:rPr>
                <w:rFonts w:ascii="Arial" w:hAnsi="Arial" w:cs="Arial"/>
                <w:sz w:val="20"/>
                <w:szCs w:val="20"/>
                <w:lang w:val="en-GB"/>
              </w:rPr>
            </w:pPr>
          </w:p>
          <w:p w14:paraId="61116D90" w14:textId="77777777" w:rsidR="003C1B8B" w:rsidRPr="003476AC" w:rsidRDefault="003C1B8B" w:rsidP="003C1B8B">
            <w:pPr>
              <w:autoSpaceDE w:val="0"/>
              <w:autoSpaceDN w:val="0"/>
              <w:adjustRightInd w:val="0"/>
              <w:spacing w:before="0" w:after="0"/>
              <w:rPr>
                <w:rFonts w:ascii="Arial" w:hAnsi="Arial" w:cs="Arial"/>
                <w:sz w:val="20"/>
                <w:szCs w:val="20"/>
                <w:lang w:val="en-GB"/>
              </w:rPr>
            </w:pPr>
            <w:r w:rsidRPr="003476AC">
              <w:rPr>
                <w:rFonts w:ascii="Arial" w:hAnsi="Arial" w:cs="Arial"/>
                <w:sz w:val="20"/>
                <w:szCs w:val="20"/>
                <w:lang w:val="en-GB"/>
              </w:rPr>
              <w:t>In reference to fixed income and equity security investments issued by a company:</w:t>
            </w:r>
          </w:p>
          <w:p w14:paraId="74A5123D" w14:textId="77777777" w:rsidR="003C1B8B" w:rsidRPr="003476AC" w:rsidRDefault="003C1B8B" w:rsidP="006D294D">
            <w:pPr>
              <w:numPr>
                <w:ilvl w:val="0"/>
                <w:numId w:val="18"/>
              </w:numPr>
              <w:autoSpaceDE w:val="0"/>
              <w:autoSpaceDN w:val="0"/>
              <w:adjustRightInd w:val="0"/>
              <w:spacing w:before="0" w:after="0"/>
              <w:contextualSpacing/>
              <w:jc w:val="left"/>
              <w:rPr>
                <w:rFonts w:ascii="Arial" w:hAnsi="Arial" w:cs="Arial"/>
                <w:sz w:val="20"/>
                <w:szCs w:val="20"/>
                <w:lang w:val="en-GB"/>
              </w:rPr>
            </w:pPr>
            <w:r w:rsidRPr="003476AC">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Additionally, the Fund excludes companies that: (i) manufacture cluster munitions or landmines; (ii) derive more than 10% of their revenue from the production of thermal coal; or (iii) derive revenues from the production of tobacco products. </w:t>
            </w:r>
          </w:p>
          <w:p w14:paraId="7BB9A1B2" w14:textId="77777777" w:rsidR="003C1B8B" w:rsidRPr="003476AC" w:rsidRDefault="003C1B8B" w:rsidP="003C1B8B">
            <w:pPr>
              <w:autoSpaceDE w:val="0"/>
              <w:autoSpaceDN w:val="0"/>
              <w:adjustRightInd w:val="0"/>
              <w:spacing w:before="0" w:after="0"/>
              <w:contextualSpacing/>
              <w:rPr>
                <w:rFonts w:ascii="Arial" w:hAnsi="Arial" w:cs="Arial"/>
                <w:sz w:val="20"/>
                <w:szCs w:val="20"/>
                <w:lang w:val="en-GB"/>
              </w:rPr>
            </w:pPr>
          </w:p>
          <w:p w14:paraId="1B7D2D77" w14:textId="77777777" w:rsidR="003C1B8B" w:rsidRPr="003476AC" w:rsidRDefault="003C1B8B" w:rsidP="003C1B8B">
            <w:pPr>
              <w:autoSpaceDE w:val="0"/>
              <w:autoSpaceDN w:val="0"/>
              <w:adjustRightInd w:val="0"/>
              <w:spacing w:before="0" w:after="0"/>
              <w:rPr>
                <w:rFonts w:ascii="Arial" w:hAnsi="Arial" w:cs="Arial"/>
                <w:sz w:val="20"/>
                <w:szCs w:val="20"/>
                <w:lang w:val="en-GB"/>
              </w:rPr>
            </w:pPr>
            <w:r w:rsidRPr="003476AC">
              <w:rPr>
                <w:rFonts w:ascii="Arial" w:hAnsi="Arial" w:cs="Arial"/>
                <w:sz w:val="20"/>
                <w:szCs w:val="20"/>
                <w:lang w:val="en-GB"/>
              </w:rPr>
              <w:t xml:space="preserve">In reference to fixed income securities issued by government, government agencies and municipals: </w:t>
            </w:r>
          </w:p>
          <w:p w14:paraId="2C45F530" w14:textId="77777777" w:rsidR="003C1B8B" w:rsidRPr="003476AC" w:rsidRDefault="003C1B8B" w:rsidP="006D294D">
            <w:pPr>
              <w:numPr>
                <w:ilvl w:val="0"/>
                <w:numId w:val="19"/>
              </w:numPr>
              <w:autoSpaceDE w:val="0"/>
              <w:autoSpaceDN w:val="0"/>
              <w:adjustRightInd w:val="0"/>
              <w:spacing w:before="0" w:after="0"/>
              <w:contextualSpacing/>
              <w:jc w:val="left"/>
              <w:rPr>
                <w:rFonts w:ascii="Arial" w:hAnsi="Arial" w:cs="Arial"/>
                <w:sz w:val="20"/>
                <w:szCs w:val="20"/>
                <w:lang w:val="en-GB"/>
              </w:rPr>
            </w:pPr>
            <w:r w:rsidRPr="003476AC">
              <w:rPr>
                <w:rFonts w:ascii="Arial" w:hAnsi="Arial" w:cs="Arial"/>
                <w:sz w:val="20"/>
                <w:szCs w:val="20"/>
                <w:lang w:val="en-GB"/>
              </w:rPr>
              <w:t xml:space="preserve">The Fund will not invest in fixed income securities issued in respect of countries (or associated countries) ranked in the bottom quartile of countries by a proprietary Sovereign Issuer Ranking (SIR) system, based on a relative review of </w:t>
            </w:r>
            <w:r w:rsidRPr="003476AC">
              <w:rPr>
                <w:rFonts w:ascii="Arial" w:hAnsi="Arial" w:cs="Arial"/>
                <w:sz w:val="20"/>
                <w:szCs w:val="20"/>
                <w:lang w:val="en-GB"/>
              </w:rPr>
              <w:lastRenderedPageBreak/>
              <w:t xml:space="preserve">key performance indicators provided by </w:t>
            </w:r>
            <w:proofErr w:type="spellStart"/>
            <w:r w:rsidRPr="003476AC">
              <w:rPr>
                <w:rFonts w:ascii="Arial" w:hAnsi="Arial" w:cs="Arial"/>
                <w:sz w:val="20"/>
                <w:szCs w:val="20"/>
                <w:lang w:val="en-GB"/>
              </w:rPr>
              <w:t>by</w:t>
            </w:r>
            <w:proofErr w:type="spellEnd"/>
            <w:r w:rsidRPr="003476AC">
              <w:rPr>
                <w:rFonts w:ascii="Arial" w:hAnsi="Arial" w:cs="Arial"/>
                <w:sz w:val="20"/>
                <w:szCs w:val="20"/>
                <w:lang w:val="en-GB"/>
              </w:rPr>
              <w:t xml:space="preserve"> a third-party data provider across environmental (20%), social (30%) and governance (50%) factors.</w:t>
            </w:r>
          </w:p>
          <w:p w14:paraId="12DC0CCE" w14:textId="77777777" w:rsidR="003C1B8B" w:rsidRPr="003476AC" w:rsidRDefault="003C1B8B" w:rsidP="003C1B8B">
            <w:pPr>
              <w:autoSpaceDE w:val="0"/>
              <w:autoSpaceDN w:val="0"/>
              <w:adjustRightInd w:val="0"/>
              <w:spacing w:before="0" w:after="0"/>
              <w:contextualSpacing/>
              <w:rPr>
                <w:rFonts w:ascii="Arial" w:hAnsi="Arial" w:cs="Arial"/>
                <w:sz w:val="20"/>
                <w:szCs w:val="20"/>
                <w:lang w:val="en-GB"/>
              </w:rPr>
            </w:pPr>
          </w:p>
          <w:p w14:paraId="1EE3F090" w14:textId="77777777" w:rsidR="003C1B8B" w:rsidRPr="003476AC" w:rsidRDefault="003C1B8B" w:rsidP="003C1B8B">
            <w:pPr>
              <w:spacing w:before="0" w:after="0"/>
              <w:jc w:val="left"/>
              <w:rPr>
                <w:rFonts w:ascii="Arial" w:hAnsi="Arial" w:cs="Arial"/>
                <w:bCs/>
                <w:sz w:val="20"/>
                <w:szCs w:val="20"/>
                <w:lang w:val="en-GB"/>
              </w:rPr>
            </w:pPr>
            <w:r w:rsidRPr="003476AC">
              <w:rPr>
                <w:rFonts w:ascii="Arial" w:hAnsi="Arial" w:cs="Arial"/>
                <w:sz w:val="20"/>
                <w:szCs w:val="20"/>
                <w:lang w:val="en-GB"/>
              </w:rPr>
              <w:t>The Fund has not designated a reference benchmark for the purpose of attaining the above environmental and social characteristics.</w:t>
            </w:r>
          </w:p>
        </w:tc>
      </w:tr>
      <w:tr w:rsidR="003C1B8B" w:rsidRPr="003C1B8B" w14:paraId="1FBE2C43" w14:textId="77777777" w:rsidTr="00303F74">
        <w:trPr>
          <w:trHeight w:val="389"/>
        </w:trPr>
        <w:tc>
          <w:tcPr>
            <w:tcW w:w="1116" w:type="pct"/>
            <w:vMerge w:val="restart"/>
            <w:shd w:val="clear" w:color="auto" w:fill="D9D9D9" w:themeFill="background1" w:themeFillShade="D9"/>
          </w:tcPr>
          <w:p w14:paraId="27AC2268" w14:textId="77777777" w:rsidR="003C1B8B" w:rsidRPr="003C1B8B" w:rsidRDefault="003C1B8B" w:rsidP="003C1B8B">
            <w:pPr>
              <w:spacing w:before="0" w:after="0"/>
              <w:jc w:val="left"/>
              <w:rPr>
                <w:rFonts w:ascii="Arial" w:hAnsi="Arial" w:cs="Arial"/>
                <w:sz w:val="18"/>
                <w:szCs w:val="18"/>
                <w:lang w:val="en-GB"/>
              </w:rPr>
            </w:pPr>
            <w:r w:rsidRPr="003C1B8B">
              <w:rPr>
                <w:rFonts w:ascii="Arial" w:hAnsi="Arial" w:cs="Arial"/>
                <w:bCs/>
                <w:sz w:val="18"/>
                <w:szCs w:val="18"/>
                <w:lang w:val="en-GB"/>
              </w:rPr>
              <w:lastRenderedPageBreak/>
              <w:t xml:space="preserve">Sustainability indicators </w:t>
            </w:r>
            <w:r w:rsidRPr="003C1B8B">
              <w:rPr>
                <w:rFonts w:ascii="Arial" w:hAnsi="Arial" w:cs="Arial"/>
                <w:sz w:val="18"/>
                <w:szCs w:val="18"/>
                <w:lang w:val="en-GB"/>
              </w:rPr>
              <w:t>measure how the environmental or social characteristics promoted by the financial product are attained.</w:t>
            </w:r>
          </w:p>
        </w:tc>
        <w:tc>
          <w:tcPr>
            <w:tcW w:w="124" w:type="pct"/>
            <w:shd w:val="clear" w:color="auto" w:fill="FFFFFF" w:themeFill="background1"/>
          </w:tcPr>
          <w:p w14:paraId="11B0C940" w14:textId="77777777" w:rsidR="003C1B8B" w:rsidRPr="003C1B8B" w:rsidRDefault="003C1B8B" w:rsidP="003C1B8B">
            <w:pPr>
              <w:spacing w:before="0" w:after="0"/>
              <w:ind w:left="340"/>
              <w:jc w:val="left"/>
              <w:rPr>
                <w:noProof/>
                <w:sz w:val="22"/>
                <w:szCs w:val="22"/>
                <w:lang w:val="en-GB"/>
              </w:rPr>
            </w:pPr>
          </w:p>
        </w:tc>
        <w:tc>
          <w:tcPr>
            <w:tcW w:w="3760" w:type="pct"/>
            <w:gridSpan w:val="6"/>
          </w:tcPr>
          <w:p w14:paraId="46254B15" w14:textId="77777777" w:rsidR="003C1B8B" w:rsidRPr="003C1B8B" w:rsidRDefault="003C1B8B" w:rsidP="003C1B8B">
            <w:pPr>
              <w:spacing w:before="0" w:after="0"/>
              <w:ind w:left="340"/>
              <w:jc w:val="left"/>
              <w:rPr>
                <w:rFonts w:ascii="Arial" w:hAnsi="Arial" w:cs="Arial"/>
                <w:b/>
                <w:i/>
                <w:iCs/>
                <w:sz w:val="20"/>
                <w:szCs w:val="20"/>
                <w:lang w:val="en-GB"/>
              </w:rPr>
            </w:pPr>
            <w:r w:rsidRPr="003C1B8B">
              <w:rPr>
                <w:b/>
                <w:noProof/>
                <w:sz w:val="22"/>
                <w:szCs w:val="22"/>
                <w:lang w:val="en-GB"/>
              </w:rPr>
              <mc:AlternateContent>
                <mc:Choice Requires="wps">
                  <w:drawing>
                    <wp:anchor distT="0" distB="0" distL="114300" distR="114300" simplePos="0" relativeHeight="251659264" behindDoc="0" locked="0" layoutInCell="1" allowOverlap="1" wp14:anchorId="50857F12" wp14:editId="2C68C6E8">
                      <wp:simplePos x="0" y="0"/>
                      <wp:positionH relativeFrom="column">
                        <wp:posOffset>-864</wp:posOffset>
                      </wp:positionH>
                      <wp:positionV relativeFrom="page">
                        <wp:posOffset>7010</wp:posOffset>
                      </wp:positionV>
                      <wp:extent cx="130175" cy="130175"/>
                      <wp:effectExtent l="0" t="0" r="3175" b="3175"/>
                      <wp:wrapSquare wrapText="bothSides"/>
                      <wp:docPr id="64" name="Oval 6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CFA3B" id="Oval 64" o:spid="_x0000_s1026" style="position:absolute;margin-left:-.05pt;margin-top:.55pt;width:10.25pt;height:10.2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LKB8b10AgAA4QQAAA4AAAAAAAAA&#10;AAAAAAAALgIAAGRycy9lMm9Eb2MueG1sUEsBAi0AFAAGAAgAAAAhAAiYKKHcAAAABQEAAA8AAAAA&#10;AAAAAAAAAAAAzgQAAGRycy9kb3ducmV2LnhtbFBLBQYAAAAABAAEAPMAAADXBQAAAAA=&#10;" fillcolor="#d0cece" stroked="f" strokeweight="1pt">
                      <v:stroke joinstyle="miter"/>
                      <w10:wrap type="square" anchory="page"/>
                    </v:oval>
                  </w:pict>
                </mc:Fallback>
              </mc:AlternateContent>
            </w:r>
            <w:r w:rsidRPr="003C1B8B">
              <w:rPr>
                <w:rFonts w:ascii="Arial" w:hAnsi="Arial" w:cs="Arial"/>
                <w:b/>
                <w:i/>
                <w:iCs/>
                <w:sz w:val="20"/>
                <w:szCs w:val="20"/>
                <w:lang w:val="en-GB"/>
              </w:rPr>
              <w:t>What sustainability indicators are used to measure the attainment of each of the environmental or social characteristics promoted by this financial product?</w:t>
            </w:r>
          </w:p>
        </w:tc>
      </w:tr>
      <w:tr w:rsidR="003C1B8B" w:rsidRPr="003C1B8B" w14:paraId="16FE9E93" w14:textId="77777777" w:rsidTr="00303F74">
        <w:trPr>
          <w:trHeight w:val="1153"/>
        </w:trPr>
        <w:tc>
          <w:tcPr>
            <w:tcW w:w="1116" w:type="pct"/>
            <w:vMerge/>
          </w:tcPr>
          <w:p w14:paraId="5DB4D2B1"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7D03ADA8" w14:textId="77777777" w:rsidR="003C1B8B" w:rsidRPr="003C1B8B" w:rsidRDefault="003C1B8B" w:rsidP="003C1B8B">
            <w:pPr>
              <w:spacing w:before="0" w:after="0"/>
              <w:jc w:val="left"/>
              <w:rPr>
                <w:rFonts w:ascii="Arial" w:eastAsiaTheme="minorEastAsia" w:hAnsi="Arial" w:cs="Arial"/>
                <w:color w:val="0070C0"/>
                <w:sz w:val="20"/>
                <w:szCs w:val="20"/>
                <w:lang w:val="en-GB"/>
              </w:rPr>
            </w:pPr>
          </w:p>
        </w:tc>
        <w:tc>
          <w:tcPr>
            <w:tcW w:w="3760" w:type="pct"/>
            <w:gridSpan w:val="6"/>
          </w:tcPr>
          <w:p w14:paraId="112A12AD" w14:textId="77777777" w:rsidR="003C1B8B" w:rsidRPr="003476AC" w:rsidRDefault="003C1B8B" w:rsidP="003C1B8B">
            <w:pPr>
              <w:spacing w:before="0" w:after="0"/>
              <w:rPr>
                <w:rFonts w:ascii="Arial" w:hAnsi="Arial" w:cs="Arial"/>
                <w:sz w:val="20"/>
                <w:szCs w:val="20"/>
                <w:lang w:val="en-GB"/>
              </w:rPr>
            </w:pPr>
          </w:p>
          <w:p w14:paraId="161B2814" w14:textId="77777777" w:rsidR="003C1B8B" w:rsidRPr="003476AC" w:rsidRDefault="003C1B8B" w:rsidP="003C1B8B">
            <w:pPr>
              <w:spacing w:before="0" w:after="0"/>
              <w:rPr>
                <w:rFonts w:ascii="Arial" w:hAnsi="Arial" w:cs="Arial"/>
                <w:sz w:val="20"/>
                <w:szCs w:val="20"/>
                <w:lang w:val="en-GB"/>
              </w:rPr>
            </w:pPr>
            <w:r w:rsidRPr="003476AC">
              <w:rPr>
                <w:rFonts w:ascii="Arial" w:hAnsi="Arial" w:cs="Arial"/>
                <w:sz w:val="20"/>
                <w:szCs w:val="20"/>
                <w:lang w:val="en-GB"/>
              </w:rPr>
              <w:t>On an ongoing basis, the Investment Manager uses the following sustainability indicators to monitor:</w:t>
            </w:r>
          </w:p>
          <w:p w14:paraId="2ADD47B5" w14:textId="77777777" w:rsidR="003C1B8B" w:rsidRPr="003476AC" w:rsidRDefault="003C1B8B" w:rsidP="003C1B8B">
            <w:pPr>
              <w:spacing w:before="0" w:after="0"/>
              <w:rPr>
                <w:rFonts w:ascii="Arial" w:hAnsi="Arial" w:cs="Arial"/>
                <w:sz w:val="20"/>
                <w:szCs w:val="20"/>
                <w:lang w:val="en-GB"/>
              </w:rPr>
            </w:pPr>
          </w:p>
          <w:p w14:paraId="0614A653" w14:textId="77777777" w:rsidR="003C1B8B" w:rsidRPr="003476AC" w:rsidRDefault="003C1B8B" w:rsidP="006D294D">
            <w:pPr>
              <w:numPr>
                <w:ilvl w:val="0"/>
                <w:numId w:val="20"/>
              </w:numPr>
              <w:spacing w:before="0" w:after="0"/>
              <w:contextualSpacing/>
              <w:jc w:val="left"/>
              <w:rPr>
                <w:rFonts w:ascii="Arial" w:hAnsi="Arial" w:cs="Arial"/>
                <w:sz w:val="20"/>
                <w:szCs w:val="20"/>
                <w:lang w:val="en-GB"/>
              </w:rPr>
            </w:pPr>
            <w:r w:rsidRPr="003476AC">
              <w:rPr>
                <w:rFonts w:ascii="Arial" w:hAnsi="Arial" w:cs="Arial"/>
                <w:sz w:val="20"/>
                <w:szCs w:val="20"/>
                <w:lang w:val="en-GB"/>
              </w:rPr>
              <w:t>For fixed income and equity security investments issued by a company:</w:t>
            </w:r>
          </w:p>
          <w:p w14:paraId="613D8123" w14:textId="77777777" w:rsidR="003C1B8B" w:rsidRPr="003476AC" w:rsidRDefault="003C1B8B" w:rsidP="003C1B8B">
            <w:pPr>
              <w:spacing w:before="0" w:after="0"/>
              <w:rPr>
                <w:rFonts w:ascii="Arial" w:hAnsi="Arial" w:cs="Arial"/>
                <w:sz w:val="20"/>
                <w:szCs w:val="20"/>
                <w:lang w:val="en-GB"/>
              </w:rPr>
            </w:pPr>
          </w:p>
          <w:p w14:paraId="0F900465" w14:textId="77777777" w:rsidR="003C1B8B" w:rsidRPr="003476AC" w:rsidRDefault="003C1B8B" w:rsidP="006D294D">
            <w:pPr>
              <w:numPr>
                <w:ilvl w:val="0"/>
                <w:numId w:val="17"/>
              </w:numPr>
              <w:spacing w:before="0" w:after="0" w:line="256" w:lineRule="auto"/>
              <w:contextualSpacing/>
              <w:jc w:val="left"/>
              <w:rPr>
                <w:rFonts w:ascii="Arial" w:hAnsi="Arial" w:cs="Arial"/>
                <w:sz w:val="20"/>
                <w:szCs w:val="20"/>
                <w:lang w:val="en-GB"/>
              </w:rPr>
            </w:pPr>
            <w:r w:rsidRPr="003476AC">
              <w:rPr>
                <w:rFonts w:ascii="Arial" w:hAnsi="Arial" w:cs="Arial"/>
                <w:sz w:val="20"/>
                <w:szCs w:val="20"/>
                <w:lang w:val="en-GB"/>
              </w:rPr>
              <w:t xml:space="preserve">The percentage of revenues derived from the manufacture or sale of cluster munitions or landmines. The Fund will not hold any companies with exposure to this indicator.  </w:t>
            </w:r>
          </w:p>
          <w:p w14:paraId="230540A7" w14:textId="77777777" w:rsidR="003C1B8B" w:rsidRPr="003476AC" w:rsidRDefault="003C1B8B" w:rsidP="006D294D">
            <w:pPr>
              <w:numPr>
                <w:ilvl w:val="0"/>
                <w:numId w:val="17"/>
              </w:numPr>
              <w:spacing w:before="0" w:after="0" w:line="256" w:lineRule="auto"/>
              <w:contextualSpacing/>
              <w:jc w:val="left"/>
              <w:rPr>
                <w:rFonts w:ascii="Arial" w:hAnsi="Arial" w:cs="Arial"/>
                <w:sz w:val="20"/>
                <w:szCs w:val="20"/>
                <w:lang w:val="en-GB"/>
              </w:rPr>
            </w:pPr>
            <w:r w:rsidRPr="003476AC">
              <w:rPr>
                <w:rFonts w:ascii="Arial" w:hAnsi="Arial" w:cs="Arial"/>
                <w:sz w:val="20"/>
                <w:szCs w:val="20"/>
                <w:lang w:val="en-GB"/>
              </w:rPr>
              <w:t xml:space="preserve">The percentage of revenues derived from the production of thermal coal. The Fund will not hold any companies that derive more than 10% of their revenue from this indicator.  </w:t>
            </w:r>
          </w:p>
          <w:p w14:paraId="1B8E15B8" w14:textId="77777777" w:rsidR="003C1B8B" w:rsidRPr="003476AC" w:rsidRDefault="003C1B8B" w:rsidP="006D294D">
            <w:pPr>
              <w:numPr>
                <w:ilvl w:val="0"/>
                <w:numId w:val="17"/>
              </w:numPr>
              <w:spacing w:before="0" w:after="0" w:line="256" w:lineRule="auto"/>
              <w:contextualSpacing/>
              <w:jc w:val="left"/>
              <w:rPr>
                <w:rFonts w:ascii="Arial" w:hAnsi="Arial" w:cs="Arial"/>
                <w:sz w:val="20"/>
                <w:szCs w:val="20"/>
                <w:lang w:val="en-GB"/>
              </w:rPr>
            </w:pPr>
            <w:r w:rsidRPr="003476AC">
              <w:rPr>
                <w:rFonts w:ascii="Arial" w:hAnsi="Arial" w:cs="Arial"/>
                <w:sz w:val="20"/>
                <w:szCs w:val="20"/>
                <w:lang w:val="en-GB"/>
              </w:rPr>
              <w:t xml:space="preserve">The percentage of revenues derived from the production of tobacco products. The Fund will not hold any companies with exposure to this indicator.  </w:t>
            </w:r>
          </w:p>
          <w:p w14:paraId="34E3FF86" w14:textId="77777777" w:rsidR="003C1B8B" w:rsidRPr="003476AC" w:rsidRDefault="003C1B8B" w:rsidP="006D294D">
            <w:pPr>
              <w:numPr>
                <w:ilvl w:val="0"/>
                <w:numId w:val="17"/>
              </w:numPr>
              <w:spacing w:before="0" w:after="0" w:line="256" w:lineRule="auto"/>
              <w:contextualSpacing/>
              <w:jc w:val="left"/>
              <w:rPr>
                <w:rFonts w:ascii="Arial" w:hAnsi="Arial" w:cs="Arial"/>
                <w:sz w:val="20"/>
                <w:szCs w:val="20"/>
                <w:lang w:val="en-GB"/>
              </w:rPr>
            </w:pPr>
            <w:r w:rsidRPr="003476AC">
              <w:rPr>
                <w:rFonts w:ascii="Arial" w:hAnsi="Arial" w:cs="Arial"/>
                <w:sz w:val="20"/>
                <w:szCs w:val="20"/>
                <w:lang w:val="en-GB"/>
              </w:rPr>
              <w:t xml:space="preserve">Violations of UNGC Principles and Organisation for Economic Cooperation and Development (OECD) Guidelines for Multinational Enterprises. A third-party data provider is used to identify a violation; measured by the severity and number of human and labour rights controversial incidents recorded for a company (denoted by a ‘red flag’). This Fund will not invest in any companies with such violations.  </w:t>
            </w:r>
          </w:p>
          <w:p w14:paraId="29CE7CB1" w14:textId="77777777" w:rsidR="003C1B8B" w:rsidRPr="003476AC" w:rsidRDefault="003C1B8B" w:rsidP="003C1B8B">
            <w:pPr>
              <w:spacing w:before="0" w:after="0" w:line="256" w:lineRule="auto"/>
              <w:contextualSpacing/>
              <w:rPr>
                <w:rFonts w:ascii="Arial" w:hAnsi="Arial" w:cs="Arial"/>
                <w:sz w:val="20"/>
                <w:szCs w:val="20"/>
                <w:lang w:val="en-GB"/>
              </w:rPr>
            </w:pPr>
          </w:p>
          <w:p w14:paraId="719250F0" w14:textId="77777777" w:rsidR="003C1B8B" w:rsidRPr="003476AC" w:rsidRDefault="003C1B8B" w:rsidP="006D294D">
            <w:pPr>
              <w:numPr>
                <w:ilvl w:val="0"/>
                <w:numId w:val="20"/>
              </w:numPr>
              <w:spacing w:before="0" w:after="0"/>
              <w:contextualSpacing/>
              <w:jc w:val="left"/>
              <w:rPr>
                <w:rFonts w:ascii="Arial" w:hAnsi="Arial" w:cs="Arial"/>
                <w:sz w:val="20"/>
                <w:szCs w:val="20"/>
                <w:lang w:val="en-GB"/>
              </w:rPr>
            </w:pPr>
            <w:r w:rsidRPr="003476AC">
              <w:rPr>
                <w:rFonts w:ascii="Arial" w:hAnsi="Arial" w:cs="Arial"/>
                <w:sz w:val="20"/>
                <w:szCs w:val="20"/>
                <w:lang w:val="en-GB"/>
              </w:rPr>
              <w:t>For fixed income securities issued by government, government agencies and municipals</w:t>
            </w:r>
          </w:p>
          <w:p w14:paraId="153801B3" w14:textId="77777777" w:rsidR="003C1B8B" w:rsidRPr="003476AC" w:rsidRDefault="003C1B8B" w:rsidP="006D294D">
            <w:pPr>
              <w:numPr>
                <w:ilvl w:val="0"/>
                <w:numId w:val="17"/>
              </w:numPr>
              <w:spacing w:before="0" w:after="0" w:line="256" w:lineRule="auto"/>
              <w:contextualSpacing/>
              <w:jc w:val="left"/>
              <w:rPr>
                <w:rFonts w:ascii="Arial" w:hAnsi="Arial" w:cs="Arial"/>
                <w:sz w:val="20"/>
                <w:szCs w:val="20"/>
                <w:lang w:val="en-GB"/>
              </w:rPr>
            </w:pPr>
            <w:r w:rsidRPr="003476AC">
              <w:rPr>
                <w:rFonts w:ascii="Arial" w:hAnsi="Arial" w:cs="Arial"/>
                <w:sz w:val="20"/>
                <w:szCs w:val="20"/>
                <w:lang w:val="en-GB"/>
              </w:rPr>
              <w:t xml:space="preserve">The ranking of countries (or associated countries) by a proprietary Sovereign Issuer Ranking (SIR) system. The Fund will not hold fixed income securities issued in respect of countries ranked in the bottom quartile of countries.  </w:t>
            </w:r>
          </w:p>
          <w:p w14:paraId="20A5E2E8" w14:textId="77777777" w:rsidR="003C1B8B" w:rsidRPr="003476AC" w:rsidRDefault="003C1B8B" w:rsidP="003C1B8B">
            <w:pPr>
              <w:spacing w:before="0" w:after="0"/>
              <w:jc w:val="left"/>
              <w:rPr>
                <w:rFonts w:ascii="Arial" w:eastAsiaTheme="minorEastAsia" w:hAnsi="Arial" w:cs="Arial"/>
                <w:color w:val="0070C0"/>
                <w:sz w:val="20"/>
                <w:szCs w:val="20"/>
                <w:lang w:val="en-GB"/>
              </w:rPr>
            </w:pPr>
          </w:p>
        </w:tc>
      </w:tr>
      <w:tr w:rsidR="003C1B8B" w:rsidRPr="003C1B8B" w14:paraId="4A3E0E9B" w14:textId="77777777" w:rsidTr="00303F74">
        <w:trPr>
          <w:trHeight w:val="1528"/>
        </w:trPr>
        <w:tc>
          <w:tcPr>
            <w:tcW w:w="1116" w:type="pct"/>
          </w:tcPr>
          <w:p w14:paraId="41161B09" w14:textId="77777777" w:rsidR="003C1B8B" w:rsidRPr="003C1B8B" w:rsidRDefault="003C1B8B" w:rsidP="003C1B8B">
            <w:pPr>
              <w:spacing w:before="0" w:after="0"/>
              <w:ind w:left="1440"/>
              <w:jc w:val="left"/>
              <w:rPr>
                <w:rFonts w:ascii="Arial" w:hAnsi="Arial" w:cs="Arial"/>
                <w:sz w:val="20"/>
                <w:szCs w:val="20"/>
                <w:lang w:val="en-GB"/>
              </w:rPr>
            </w:pPr>
          </w:p>
        </w:tc>
        <w:tc>
          <w:tcPr>
            <w:tcW w:w="124" w:type="pct"/>
            <w:shd w:val="clear" w:color="auto" w:fill="FFFFFF" w:themeFill="background1"/>
          </w:tcPr>
          <w:p w14:paraId="0817F380" w14:textId="77777777" w:rsidR="003C1B8B" w:rsidRPr="003C1B8B" w:rsidRDefault="003C1B8B" w:rsidP="003C1B8B">
            <w:pPr>
              <w:spacing w:before="0" w:after="0"/>
              <w:ind w:left="340"/>
              <w:jc w:val="left"/>
              <w:rPr>
                <w:noProof/>
                <w:sz w:val="22"/>
                <w:szCs w:val="22"/>
                <w:lang w:val="en-GB"/>
              </w:rPr>
            </w:pPr>
          </w:p>
        </w:tc>
        <w:tc>
          <w:tcPr>
            <w:tcW w:w="3760" w:type="pct"/>
            <w:gridSpan w:val="6"/>
          </w:tcPr>
          <w:p w14:paraId="19E53711" w14:textId="77777777" w:rsidR="003C1B8B" w:rsidRPr="003476AC" w:rsidRDefault="003C1B8B" w:rsidP="003C1B8B">
            <w:pPr>
              <w:spacing w:before="0" w:after="0"/>
              <w:ind w:left="340"/>
              <w:jc w:val="left"/>
              <w:rPr>
                <w:rFonts w:ascii="Arial" w:hAnsi="Arial" w:cs="Arial"/>
                <w:b/>
                <w:i/>
                <w:iCs/>
                <w:color w:val="C00000"/>
                <w:sz w:val="20"/>
                <w:szCs w:val="20"/>
                <w:lang w:val="en-GB"/>
              </w:rPr>
            </w:pPr>
            <w:r w:rsidRPr="003476AC">
              <w:rPr>
                <w:rFonts w:cs="Arial"/>
                <w:b/>
                <w:noProof/>
                <w:sz w:val="20"/>
                <w:szCs w:val="20"/>
                <w:lang w:val="en-GB"/>
              </w:rPr>
              <mc:AlternateContent>
                <mc:Choice Requires="wps">
                  <w:drawing>
                    <wp:anchor distT="0" distB="0" distL="114300" distR="114300" simplePos="0" relativeHeight="251660288" behindDoc="0" locked="0" layoutInCell="1" allowOverlap="1" wp14:anchorId="4AA3854D" wp14:editId="7E3DBEB3">
                      <wp:simplePos x="0" y="0"/>
                      <wp:positionH relativeFrom="column">
                        <wp:posOffset>-864</wp:posOffset>
                      </wp:positionH>
                      <wp:positionV relativeFrom="page">
                        <wp:posOffset>7620</wp:posOffset>
                      </wp:positionV>
                      <wp:extent cx="130175" cy="130175"/>
                      <wp:effectExtent l="0" t="0" r="3175" b="3175"/>
                      <wp:wrapSquare wrapText="bothSides"/>
                      <wp:docPr id="349" name="Oval 3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6AC86F" id="Oval 349" o:spid="_x0000_s1026" style="position:absolute;margin-left:-.05pt;margin-top:.6pt;width:10.25pt;height:10.2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EXBAY11AgAA4wQAAA4AAAAA&#10;AAAAAAAAAAAALgIAAGRycy9lMm9Eb2MueG1sUEsBAi0AFAAGAAgAAAAhAEkmGf3eAAAABQEAAA8A&#10;AAAAAAAAAAAAAAAAzwQAAGRycy9kb3ducmV2LnhtbFBLBQYAAAAABAAEAPMAAADaBQAAAAA=&#10;" fillcolor="#d0cece" stroked="f" strokeweight="1pt">
                      <v:stroke joinstyle="miter"/>
                      <w10:wrap type="square" anchory="page"/>
                    </v:oval>
                  </w:pict>
                </mc:Fallback>
              </mc:AlternateContent>
            </w:r>
            <w:r w:rsidRPr="003476AC">
              <w:rPr>
                <w:rFonts w:ascii="Arial" w:hAnsi="Arial" w:cs="Arial"/>
                <w:b/>
                <w:i/>
                <w:iCs/>
                <w:sz w:val="20"/>
                <w:szCs w:val="20"/>
                <w:lang w:val="en-GB"/>
              </w:rPr>
              <w:t>What are the objectives of the sustainable investments that the financial product partially intends to make and how does the sustainable investment contribute to such objectives?</w:t>
            </w:r>
            <w:r w:rsidRPr="003476AC">
              <w:rPr>
                <w:rFonts w:ascii="Arial" w:hAnsi="Arial" w:cs="Arial"/>
                <w:b/>
                <w:sz w:val="20"/>
                <w:szCs w:val="20"/>
                <w:lang w:val="en-GB"/>
              </w:rPr>
              <w:t xml:space="preserve"> </w:t>
            </w:r>
          </w:p>
          <w:p w14:paraId="097E382F" w14:textId="77777777" w:rsidR="003C1B8B" w:rsidRPr="003476AC" w:rsidRDefault="003C1B8B" w:rsidP="003C1B8B">
            <w:pPr>
              <w:spacing w:before="0" w:after="0"/>
              <w:ind w:left="340"/>
              <w:jc w:val="left"/>
              <w:rPr>
                <w:rFonts w:ascii="Arial" w:hAnsi="Arial" w:cs="Arial"/>
                <w:sz w:val="20"/>
                <w:szCs w:val="20"/>
                <w:lang w:val="en-GB"/>
              </w:rPr>
            </w:pPr>
          </w:p>
        </w:tc>
      </w:tr>
      <w:tr w:rsidR="003C1B8B" w:rsidRPr="003C1B8B" w14:paraId="60FFF01F" w14:textId="77777777" w:rsidTr="00303F74">
        <w:trPr>
          <w:trHeight w:val="581"/>
        </w:trPr>
        <w:tc>
          <w:tcPr>
            <w:tcW w:w="1116" w:type="pct"/>
          </w:tcPr>
          <w:p w14:paraId="49C33E9A"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6245822B" w14:textId="77777777" w:rsidR="003C1B8B" w:rsidRPr="003C1B8B" w:rsidRDefault="003C1B8B" w:rsidP="003C1B8B">
            <w:pPr>
              <w:spacing w:before="0" w:after="0"/>
              <w:jc w:val="left"/>
              <w:rPr>
                <w:rFonts w:ascii="Arial" w:hAnsi="Arial" w:cs="Arial"/>
                <w:color w:val="0070C0"/>
                <w:sz w:val="20"/>
                <w:szCs w:val="20"/>
                <w:lang w:val="en-GB"/>
              </w:rPr>
            </w:pPr>
          </w:p>
        </w:tc>
        <w:tc>
          <w:tcPr>
            <w:tcW w:w="3760" w:type="pct"/>
            <w:gridSpan w:val="6"/>
          </w:tcPr>
          <w:p w14:paraId="1F9F9EDD" w14:textId="77777777" w:rsidR="003C1B8B" w:rsidRPr="003476AC" w:rsidRDefault="003C1B8B" w:rsidP="003C1B8B">
            <w:pPr>
              <w:spacing w:before="0" w:after="0"/>
              <w:rPr>
                <w:rFonts w:ascii="Arial" w:hAnsi="Arial" w:cs="Arial"/>
                <w:sz w:val="20"/>
                <w:szCs w:val="20"/>
                <w:lang w:val="en-GB"/>
              </w:rPr>
            </w:pPr>
            <w:r w:rsidRPr="003476AC">
              <w:rPr>
                <w:rFonts w:ascii="Arial" w:hAnsi="Arial" w:cs="Arial"/>
                <w:sz w:val="20"/>
                <w:szCs w:val="20"/>
                <w:lang w:val="en-GB"/>
              </w:rPr>
              <w:t xml:space="preserve">Not applicable, the Fund does not intend to make sustainable investments.  </w:t>
            </w:r>
          </w:p>
          <w:p w14:paraId="499E45B3" w14:textId="77777777" w:rsidR="003C1B8B" w:rsidRPr="003476AC" w:rsidRDefault="003C1B8B" w:rsidP="003C1B8B">
            <w:pPr>
              <w:spacing w:before="0" w:after="0"/>
              <w:rPr>
                <w:rFonts w:ascii="Arial" w:hAnsi="Arial" w:cs="Arial"/>
                <w:sz w:val="20"/>
                <w:szCs w:val="20"/>
                <w:lang w:val="en-GB"/>
              </w:rPr>
            </w:pPr>
          </w:p>
          <w:p w14:paraId="57E4AD75" w14:textId="77777777" w:rsidR="003C1B8B" w:rsidRPr="003476AC" w:rsidRDefault="003C1B8B" w:rsidP="003C1B8B">
            <w:pPr>
              <w:spacing w:before="0" w:after="0"/>
              <w:rPr>
                <w:rFonts w:ascii="Arial" w:hAnsi="Arial" w:cs="Arial"/>
                <w:sz w:val="20"/>
                <w:szCs w:val="20"/>
                <w:lang w:val="en-GB"/>
              </w:rPr>
            </w:pPr>
            <w:r w:rsidRPr="003476AC">
              <w:rPr>
                <w:rFonts w:ascii="Arial" w:hAnsi="Arial" w:cs="Arial"/>
                <w:sz w:val="20"/>
                <w:szCs w:val="20"/>
                <w:lang w:val="en-GB"/>
              </w:rPr>
              <w:t>The environmental objective set out in Article 9 of the EU Taxonomy Regulation to which the investments of the Fund with environmental characteristics will contribute is climate change mitigation.</w:t>
            </w:r>
          </w:p>
          <w:p w14:paraId="7ADF3BA4" w14:textId="77777777" w:rsidR="003C1B8B" w:rsidRPr="003476AC" w:rsidRDefault="003C1B8B" w:rsidP="003C1B8B">
            <w:pPr>
              <w:spacing w:before="0" w:after="0"/>
              <w:jc w:val="left"/>
              <w:rPr>
                <w:rFonts w:ascii="Arial" w:hAnsi="Arial" w:cs="Arial"/>
                <w:i/>
                <w:iCs/>
                <w:color w:val="0070C0"/>
                <w:sz w:val="20"/>
                <w:szCs w:val="20"/>
                <w:lang w:val="en-GB"/>
              </w:rPr>
            </w:pPr>
          </w:p>
        </w:tc>
      </w:tr>
      <w:tr w:rsidR="003C1B8B" w:rsidRPr="003C1B8B" w14:paraId="639C3181" w14:textId="77777777" w:rsidTr="00303F74">
        <w:trPr>
          <w:trHeight w:val="854"/>
        </w:trPr>
        <w:tc>
          <w:tcPr>
            <w:tcW w:w="1116" w:type="pct"/>
          </w:tcPr>
          <w:p w14:paraId="55ABC4AE"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39A524DF" w14:textId="77777777" w:rsidR="003C1B8B" w:rsidRPr="003C1B8B" w:rsidRDefault="003C1B8B" w:rsidP="003C1B8B">
            <w:pPr>
              <w:spacing w:before="0" w:after="0"/>
              <w:ind w:left="340"/>
              <w:jc w:val="left"/>
              <w:rPr>
                <w:noProof/>
                <w:sz w:val="22"/>
                <w:szCs w:val="22"/>
                <w:lang w:val="en-GB"/>
              </w:rPr>
            </w:pPr>
          </w:p>
        </w:tc>
        <w:tc>
          <w:tcPr>
            <w:tcW w:w="3760" w:type="pct"/>
            <w:gridSpan w:val="6"/>
          </w:tcPr>
          <w:p w14:paraId="0F845ACD" w14:textId="77777777" w:rsidR="003C1B8B" w:rsidRPr="003476AC" w:rsidRDefault="003C1B8B" w:rsidP="003C1B8B">
            <w:pPr>
              <w:spacing w:before="0" w:after="0"/>
              <w:ind w:left="340"/>
              <w:jc w:val="left"/>
              <w:rPr>
                <w:rFonts w:ascii="Arial" w:hAnsi="Arial" w:cs="Arial"/>
                <w:b/>
                <w:sz w:val="20"/>
                <w:szCs w:val="20"/>
                <w:lang w:val="en-GB"/>
              </w:rPr>
            </w:pPr>
            <w:r w:rsidRPr="003476AC">
              <w:rPr>
                <w:rFonts w:cs="Arial"/>
                <w:b/>
                <w:noProof/>
                <w:sz w:val="20"/>
                <w:szCs w:val="20"/>
                <w:lang w:val="en-GB"/>
              </w:rPr>
              <mc:AlternateContent>
                <mc:Choice Requires="wps">
                  <w:drawing>
                    <wp:anchor distT="0" distB="0" distL="114300" distR="114300" simplePos="0" relativeHeight="251661312" behindDoc="0" locked="0" layoutInCell="1" allowOverlap="1" wp14:anchorId="21C9D02A" wp14:editId="5643ADE7">
                      <wp:simplePos x="0" y="0"/>
                      <wp:positionH relativeFrom="column">
                        <wp:posOffset>-864</wp:posOffset>
                      </wp:positionH>
                      <wp:positionV relativeFrom="page">
                        <wp:posOffset>13462</wp:posOffset>
                      </wp:positionV>
                      <wp:extent cx="130175" cy="130175"/>
                      <wp:effectExtent l="0" t="0" r="3175" b="3175"/>
                      <wp:wrapSquare wrapText="bothSides"/>
                      <wp:docPr id="5" name="Oval 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5E44D8" id="Oval 5" o:spid="_x0000_s1026" style="position:absolute;margin-left:-.05pt;margin-top:1.05pt;width:10.25pt;height:10.2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" fillcolor="#d0cece" stroked="f" strokeweight="1pt">
                      <v:stroke joinstyle="miter"/>
                      <w10:wrap type="square" anchory="page"/>
                    </v:oval>
                  </w:pict>
                </mc:Fallback>
              </mc:AlternateContent>
            </w:r>
            <w:r w:rsidRPr="003476AC">
              <w:rPr>
                <w:rFonts w:ascii="Arial" w:hAnsi="Arial" w:cs="Arial"/>
                <w:b/>
                <w:i/>
                <w:iCs/>
                <w:sz w:val="20"/>
                <w:szCs w:val="20"/>
                <w:lang w:val="en-GB"/>
              </w:rPr>
              <w:t>How do the sustainable investments that the financial product partially intends to make, not cause significant harm to any environmental or social sustainable investment objective?</w:t>
            </w:r>
            <w:r w:rsidRPr="003476AC">
              <w:rPr>
                <w:rFonts w:ascii="Arial" w:hAnsi="Arial" w:cs="Arial"/>
                <w:b/>
                <w:sz w:val="20"/>
                <w:szCs w:val="20"/>
                <w:lang w:val="en-GB"/>
              </w:rPr>
              <w:t xml:space="preserve"> </w:t>
            </w:r>
          </w:p>
        </w:tc>
      </w:tr>
      <w:tr w:rsidR="003C1B8B" w:rsidRPr="003C1B8B" w14:paraId="75DB2D54" w14:textId="77777777" w:rsidTr="00303F74">
        <w:trPr>
          <w:trHeight w:val="496"/>
        </w:trPr>
        <w:tc>
          <w:tcPr>
            <w:tcW w:w="1116" w:type="pct"/>
            <w:vMerge w:val="restart"/>
            <w:shd w:val="clear" w:color="auto" w:fill="D9D9D9" w:themeFill="background1" w:themeFillShade="D9"/>
          </w:tcPr>
          <w:p w14:paraId="7A240331" w14:textId="77777777" w:rsidR="003C1B8B" w:rsidRPr="003C1B8B" w:rsidRDefault="003C1B8B" w:rsidP="003C1B8B">
            <w:pPr>
              <w:spacing w:before="0" w:after="0"/>
              <w:jc w:val="left"/>
              <w:rPr>
                <w:rFonts w:ascii="Arial" w:hAnsi="Arial" w:cs="Arial"/>
                <w:sz w:val="18"/>
                <w:szCs w:val="18"/>
                <w:lang w:val="en-GB"/>
              </w:rPr>
            </w:pPr>
            <w:r w:rsidRPr="003C1B8B">
              <w:rPr>
                <w:rFonts w:ascii="Arial" w:hAnsi="Arial" w:cs="Arial"/>
                <w:bCs/>
                <w:sz w:val="18"/>
                <w:szCs w:val="18"/>
                <w:lang w:val="en-GB"/>
              </w:rPr>
              <w:t>Principal adverse impacts</w:t>
            </w:r>
            <w:r w:rsidRPr="003C1B8B">
              <w:rPr>
                <w:rFonts w:ascii="Arial" w:hAnsi="Arial" w:cs="Arial"/>
                <w:sz w:val="18"/>
                <w:szCs w:val="18"/>
                <w:lang w:val="en-GB"/>
              </w:rPr>
              <w:t xml:space="preserve"> are the most significant negative impacts of</w:t>
            </w:r>
          </w:p>
          <w:p w14:paraId="529B6D21" w14:textId="77777777" w:rsidR="003C1B8B" w:rsidRPr="003C1B8B" w:rsidRDefault="003C1B8B" w:rsidP="003C1B8B">
            <w:pPr>
              <w:spacing w:before="0" w:after="0"/>
              <w:jc w:val="left"/>
              <w:rPr>
                <w:rFonts w:ascii="Arial" w:hAnsi="Arial" w:cs="Arial"/>
                <w:sz w:val="18"/>
                <w:szCs w:val="18"/>
                <w:lang w:val="en-GB"/>
              </w:rPr>
            </w:pPr>
            <w:r w:rsidRPr="003C1B8B">
              <w:rPr>
                <w:rFonts w:ascii="Arial" w:hAnsi="Arial" w:cs="Arial"/>
                <w:sz w:val="18"/>
                <w:szCs w:val="18"/>
                <w:lang w:val="en-GB"/>
              </w:rPr>
              <w:t xml:space="preserve">investment decisions on sustainability factors relating to environmental, social and employee matters, respect for human </w:t>
            </w:r>
            <w:r w:rsidRPr="003C1B8B">
              <w:rPr>
                <w:rFonts w:ascii="Arial" w:hAnsi="Arial" w:cs="Arial"/>
                <w:sz w:val="18"/>
                <w:szCs w:val="18"/>
                <w:lang w:val="en-GB"/>
              </w:rPr>
              <w:lastRenderedPageBreak/>
              <w:t>rights, anti</w:t>
            </w:r>
            <w:r w:rsidRPr="003C1B8B">
              <w:rPr>
                <w:rFonts w:ascii="Cambria Math" w:hAnsi="Cambria Math" w:cs="Cambria Math"/>
                <w:sz w:val="18"/>
                <w:szCs w:val="18"/>
                <w:lang w:val="en-GB"/>
              </w:rPr>
              <w:t>‐</w:t>
            </w:r>
            <w:r w:rsidRPr="003C1B8B">
              <w:rPr>
                <w:rFonts w:ascii="Arial" w:hAnsi="Arial" w:cs="Arial"/>
                <w:sz w:val="18"/>
                <w:szCs w:val="18"/>
                <w:lang w:val="en-GB"/>
              </w:rPr>
              <w:t xml:space="preserve"> corruption and anti</w:t>
            </w:r>
            <w:r w:rsidRPr="003C1B8B">
              <w:rPr>
                <w:rFonts w:ascii="Cambria Math" w:hAnsi="Cambria Math" w:cs="Cambria Math"/>
                <w:sz w:val="18"/>
                <w:szCs w:val="18"/>
                <w:lang w:val="en-GB"/>
              </w:rPr>
              <w:t>‐</w:t>
            </w:r>
            <w:r w:rsidRPr="003C1B8B">
              <w:rPr>
                <w:rFonts w:ascii="Arial" w:hAnsi="Arial" w:cs="Arial"/>
                <w:sz w:val="18"/>
                <w:szCs w:val="18"/>
                <w:lang w:val="en-GB"/>
              </w:rPr>
              <w:t xml:space="preserve"> bribery matters.</w:t>
            </w:r>
          </w:p>
        </w:tc>
        <w:tc>
          <w:tcPr>
            <w:tcW w:w="124" w:type="pct"/>
            <w:shd w:val="clear" w:color="auto" w:fill="FFFFFF" w:themeFill="background1"/>
          </w:tcPr>
          <w:p w14:paraId="2FB66E6B" w14:textId="77777777" w:rsidR="003C1B8B" w:rsidRPr="003C1B8B" w:rsidRDefault="003C1B8B" w:rsidP="003C1B8B">
            <w:pPr>
              <w:spacing w:before="0" w:after="0"/>
              <w:jc w:val="left"/>
              <w:rPr>
                <w:rFonts w:ascii="Calibri" w:hAnsi="Calibri"/>
                <w:bCs/>
                <w:i/>
                <w:iCs/>
                <w:noProof/>
                <w:sz w:val="22"/>
                <w:szCs w:val="22"/>
                <w:lang w:val="en-GB"/>
              </w:rPr>
            </w:pPr>
          </w:p>
        </w:tc>
        <w:tc>
          <w:tcPr>
            <w:tcW w:w="3760" w:type="pct"/>
            <w:gridSpan w:val="6"/>
          </w:tcPr>
          <w:p w14:paraId="04B6DA23" w14:textId="77777777" w:rsidR="003C1B8B" w:rsidRPr="003476AC" w:rsidRDefault="003C1B8B" w:rsidP="003C1B8B">
            <w:pPr>
              <w:spacing w:before="0" w:after="0"/>
              <w:ind w:left="170"/>
              <w:jc w:val="left"/>
              <w:rPr>
                <w:rFonts w:ascii="Arial" w:hAnsi="Arial" w:cs="Arial"/>
                <w:sz w:val="20"/>
                <w:szCs w:val="20"/>
                <w:lang w:val="en-GB"/>
              </w:rPr>
            </w:pPr>
            <w:r w:rsidRPr="003476AC">
              <w:rPr>
                <w:rFonts w:ascii="Arial" w:hAnsi="Arial" w:cs="Arial"/>
                <w:i/>
                <w:iCs/>
                <w:sz w:val="20"/>
                <w:szCs w:val="20"/>
                <w:lang w:val="en-GB"/>
              </w:rPr>
              <w:t xml:space="preserve">Not applicable </w:t>
            </w:r>
            <w:r w:rsidRPr="003476AC">
              <w:rPr>
                <w:rFonts w:cs="Arial"/>
                <w:bCs/>
                <w:i/>
                <w:iCs/>
                <w:noProof/>
                <w:sz w:val="20"/>
                <w:szCs w:val="20"/>
                <w:lang w:val="en-GB"/>
              </w:rPr>
              <mc:AlternateContent>
                <mc:Choice Requires="wps">
                  <w:drawing>
                    <wp:anchor distT="0" distB="0" distL="114300" distR="114300" simplePos="0" relativeHeight="251662336" behindDoc="0" locked="0" layoutInCell="1" allowOverlap="1" wp14:anchorId="7D735E2A" wp14:editId="4DF07D00">
                      <wp:simplePos x="0" y="0"/>
                      <wp:positionH relativeFrom="column">
                        <wp:posOffset>57658</wp:posOffset>
                      </wp:positionH>
                      <wp:positionV relativeFrom="page">
                        <wp:posOffset>-408838</wp:posOffset>
                      </wp:positionV>
                      <wp:extent cx="0" cy="2457450"/>
                      <wp:effectExtent l="0" t="0" r="38100" b="19050"/>
                      <wp:wrapNone/>
                      <wp:docPr id="61" name="Straight Connector 61"/>
                      <wp:cNvGraphicFramePr/>
                      <a:graphic xmlns:a="http://schemas.openxmlformats.org/drawingml/2006/main">
                        <a:graphicData uri="http://schemas.microsoft.com/office/word/2010/wordprocessingShape">
                          <wps:wsp>
                            <wps:cNvCnPr/>
                            <wps:spPr>
                              <a:xfrm>
                                <a:off x="0" y="0"/>
                                <a:ext cx="0" cy="245745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B1A125" id="Straight Connector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5pt,-32.2pt" to="4.5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" strokecolor="#e7e6e6" strokeweight="1pt">
                      <v:stroke dashstyle="longDash" joinstyle="miter"/>
                      <w10:wrap anchory="page"/>
                    </v:line>
                  </w:pict>
                </mc:Fallback>
              </mc:AlternateContent>
            </w:r>
          </w:p>
        </w:tc>
      </w:tr>
      <w:tr w:rsidR="003C1B8B" w:rsidRPr="003C1B8B" w14:paraId="6120BED8" w14:textId="77777777" w:rsidTr="00303F74">
        <w:trPr>
          <w:trHeight w:val="846"/>
        </w:trPr>
        <w:tc>
          <w:tcPr>
            <w:tcW w:w="1116" w:type="pct"/>
            <w:vMerge/>
          </w:tcPr>
          <w:p w14:paraId="7466EDB1"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2BB99B02" w14:textId="77777777" w:rsidR="003C1B8B" w:rsidRPr="003C1B8B" w:rsidRDefault="003C1B8B" w:rsidP="003C1B8B">
            <w:pPr>
              <w:spacing w:before="0" w:after="0"/>
              <w:ind w:left="737"/>
              <w:jc w:val="left"/>
              <w:rPr>
                <w:rFonts w:ascii="Calibri" w:hAnsi="Calibri" w:cs="Calibri"/>
                <w:bCs/>
                <w:i/>
                <w:iCs/>
                <w:noProof/>
                <w:sz w:val="22"/>
                <w:szCs w:val="22"/>
                <w:lang w:val="en-GB"/>
              </w:rPr>
            </w:pPr>
          </w:p>
        </w:tc>
        <w:tc>
          <w:tcPr>
            <w:tcW w:w="3760" w:type="pct"/>
            <w:gridSpan w:val="6"/>
          </w:tcPr>
          <w:p w14:paraId="0A7C7160" w14:textId="77777777" w:rsidR="003C1B8B" w:rsidRPr="003476AC" w:rsidRDefault="003C1B8B" w:rsidP="003C1B8B">
            <w:pPr>
              <w:spacing w:before="0" w:after="0"/>
              <w:ind w:left="737"/>
              <w:jc w:val="left"/>
              <w:rPr>
                <w:rFonts w:ascii="Arial" w:hAnsi="Arial" w:cs="Arial"/>
                <w:i/>
                <w:iCs/>
                <w:color w:val="C00000"/>
                <w:sz w:val="20"/>
                <w:szCs w:val="20"/>
                <w:lang w:val="en-GB"/>
              </w:rPr>
            </w:pPr>
            <w:r w:rsidRPr="003476AC">
              <w:rPr>
                <w:rFonts w:cs="Arial"/>
                <w:i/>
                <w:iCs/>
                <w:noProof/>
                <w:sz w:val="20"/>
                <w:szCs w:val="20"/>
                <w:lang w:val="en-GB"/>
              </w:rPr>
              <mc:AlternateContent>
                <mc:Choice Requires="wps">
                  <w:drawing>
                    <wp:anchor distT="0" distB="0" distL="114300" distR="114300" simplePos="0" relativeHeight="251663360" behindDoc="0" locked="0" layoutInCell="1" allowOverlap="1" wp14:anchorId="1DF839B3" wp14:editId="56CA538E">
                      <wp:simplePos x="0" y="0"/>
                      <wp:positionH relativeFrom="column">
                        <wp:posOffset>64973</wp:posOffset>
                      </wp:positionH>
                      <wp:positionV relativeFrom="page">
                        <wp:posOffset>72669</wp:posOffset>
                      </wp:positionV>
                      <wp:extent cx="321310" cy="0"/>
                      <wp:effectExtent l="0" t="0" r="0" b="0"/>
                      <wp:wrapNone/>
                      <wp:docPr id="347" name="Straight Connector 347"/>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41A15A" id="Straight Connector 34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7pt" to="30.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" strokecolor="#e7e6e6" strokeweight="1pt">
                      <v:stroke dashstyle="longDash" joinstyle="miter"/>
                      <w10:wrap anchory="page"/>
                    </v:line>
                  </w:pict>
                </mc:Fallback>
              </mc:AlternateContent>
            </w:r>
            <w:r w:rsidRPr="003476AC">
              <w:rPr>
                <w:rFonts w:ascii="Arial" w:hAnsi="Arial" w:cs="Arial"/>
                <w:i/>
                <w:iCs/>
                <w:sz w:val="20"/>
                <w:szCs w:val="20"/>
                <w:lang w:val="en-GB"/>
              </w:rPr>
              <w:t>How have the indicators for adverse impacts on sustainability factors been taken into account?</w:t>
            </w:r>
            <w:r w:rsidRPr="003476AC">
              <w:rPr>
                <w:rFonts w:ascii="Arial" w:hAnsi="Arial" w:cs="Arial"/>
                <w:sz w:val="20"/>
                <w:szCs w:val="20"/>
                <w:lang w:val="en-GB"/>
              </w:rPr>
              <w:t xml:space="preserve"> </w:t>
            </w:r>
          </w:p>
          <w:p w14:paraId="63161497" w14:textId="77777777" w:rsidR="003C1B8B" w:rsidRPr="003476AC" w:rsidRDefault="003C1B8B" w:rsidP="003C1B8B">
            <w:pPr>
              <w:spacing w:before="0" w:after="0"/>
              <w:ind w:left="737"/>
              <w:jc w:val="left"/>
              <w:rPr>
                <w:rFonts w:ascii="Arial" w:hAnsi="Arial" w:cs="Arial"/>
                <w:sz w:val="20"/>
                <w:szCs w:val="20"/>
                <w:lang w:val="en-GB"/>
              </w:rPr>
            </w:pPr>
          </w:p>
        </w:tc>
      </w:tr>
      <w:tr w:rsidR="003C1B8B" w:rsidRPr="003C1B8B" w14:paraId="054B4AC3" w14:textId="77777777" w:rsidTr="00303F74">
        <w:trPr>
          <w:trHeight w:val="568"/>
        </w:trPr>
        <w:tc>
          <w:tcPr>
            <w:tcW w:w="1116" w:type="pct"/>
            <w:vMerge/>
          </w:tcPr>
          <w:p w14:paraId="40464414"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62AE8469" w14:textId="77777777" w:rsidR="003C1B8B" w:rsidRPr="003C1B8B" w:rsidRDefault="003C1B8B" w:rsidP="003C1B8B">
            <w:pPr>
              <w:spacing w:before="0" w:after="0"/>
              <w:jc w:val="left"/>
              <w:rPr>
                <w:rFonts w:ascii="Arial" w:hAnsi="Arial" w:cs="Arial"/>
                <w:sz w:val="20"/>
                <w:szCs w:val="20"/>
                <w:lang w:val="en-GB"/>
              </w:rPr>
            </w:pPr>
          </w:p>
        </w:tc>
        <w:tc>
          <w:tcPr>
            <w:tcW w:w="3760" w:type="pct"/>
            <w:gridSpan w:val="6"/>
          </w:tcPr>
          <w:p w14:paraId="5C1AA57B" w14:textId="77777777" w:rsidR="003C1B8B" w:rsidRPr="003476AC" w:rsidRDefault="003C1B8B" w:rsidP="003C1B8B">
            <w:pPr>
              <w:spacing w:before="0" w:after="0"/>
              <w:ind w:left="170"/>
              <w:jc w:val="left"/>
              <w:rPr>
                <w:rFonts w:ascii="Arial" w:hAnsi="Arial" w:cs="Arial"/>
                <w:sz w:val="20"/>
                <w:szCs w:val="20"/>
                <w:lang w:val="en-GB"/>
              </w:rPr>
            </w:pPr>
            <w:r w:rsidRPr="003476AC">
              <w:rPr>
                <w:rFonts w:ascii="Arial" w:hAnsi="Arial" w:cs="Arial"/>
                <w:i/>
                <w:iCs/>
                <w:sz w:val="20"/>
                <w:szCs w:val="20"/>
                <w:lang w:val="en-GB"/>
              </w:rPr>
              <w:t>Not applicable</w:t>
            </w:r>
          </w:p>
        </w:tc>
      </w:tr>
      <w:tr w:rsidR="003C1B8B" w:rsidRPr="003C1B8B" w14:paraId="2D32BA8B" w14:textId="77777777" w:rsidTr="00303F74">
        <w:trPr>
          <w:trHeight w:val="1421"/>
        </w:trPr>
        <w:tc>
          <w:tcPr>
            <w:tcW w:w="1116" w:type="pct"/>
            <w:vMerge/>
          </w:tcPr>
          <w:p w14:paraId="347FBD9C"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2399C7F0" w14:textId="77777777" w:rsidR="003C1B8B" w:rsidRPr="003C1B8B" w:rsidRDefault="003C1B8B" w:rsidP="003C1B8B">
            <w:pPr>
              <w:spacing w:before="0" w:after="0"/>
              <w:ind w:left="737"/>
              <w:jc w:val="left"/>
              <w:rPr>
                <w:rFonts w:ascii="Calibri" w:hAnsi="Calibri" w:cs="Calibri"/>
                <w:bCs/>
                <w:i/>
                <w:iCs/>
                <w:noProof/>
                <w:sz w:val="22"/>
                <w:szCs w:val="22"/>
                <w:lang w:val="en-GB"/>
              </w:rPr>
            </w:pPr>
          </w:p>
        </w:tc>
        <w:tc>
          <w:tcPr>
            <w:tcW w:w="3760" w:type="pct"/>
            <w:gridSpan w:val="6"/>
          </w:tcPr>
          <w:p w14:paraId="5D9819DA" w14:textId="77777777" w:rsidR="003C1B8B" w:rsidRPr="003476AC" w:rsidRDefault="003C1B8B" w:rsidP="003C1B8B">
            <w:pPr>
              <w:spacing w:before="0" w:after="0"/>
              <w:ind w:left="737"/>
              <w:jc w:val="left"/>
              <w:rPr>
                <w:rFonts w:ascii="Arial" w:hAnsi="Arial" w:cs="Arial"/>
                <w:i/>
                <w:color w:val="C00000"/>
                <w:sz w:val="20"/>
                <w:szCs w:val="20"/>
                <w:lang w:val="en-GB"/>
              </w:rPr>
            </w:pPr>
            <w:r w:rsidRPr="003476AC">
              <w:rPr>
                <w:rFonts w:cs="Arial"/>
                <w:i/>
                <w:iCs/>
                <w:noProof/>
                <w:sz w:val="20"/>
                <w:szCs w:val="20"/>
                <w:lang w:val="en-GB"/>
              </w:rPr>
              <mc:AlternateContent>
                <mc:Choice Requires="wps">
                  <w:drawing>
                    <wp:anchor distT="0" distB="0" distL="114300" distR="114300" simplePos="0" relativeHeight="251664384" behindDoc="0" locked="0" layoutInCell="1" allowOverlap="1" wp14:anchorId="2AF44C06" wp14:editId="7915490F">
                      <wp:simplePos x="0" y="0"/>
                      <wp:positionH relativeFrom="column">
                        <wp:posOffset>64973</wp:posOffset>
                      </wp:positionH>
                      <wp:positionV relativeFrom="page">
                        <wp:posOffset>70485</wp:posOffset>
                      </wp:positionV>
                      <wp:extent cx="32131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9F2277"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55pt" to="3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" strokecolor="#e7e6e6" strokeweight="1pt">
                      <v:stroke dashstyle="longDash" joinstyle="miter"/>
                      <w10:wrap anchory="page"/>
                    </v:line>
                  </w:pict>
                </mc:Fallback>
              </mc:AlternateContent>
            </w:r>
            <w:r w:rsidRPr="003476AC">
              <w:rPr>
                <w:rFonts w:ascii="Arial" w:hAnsi="Arial" w:cs="Arial"/>
                <w:i/>
                <w:spacing w:val="-1"/>
                <w:sz w:val="20"/>
                <w:szCs w:val="20"/>
                <w:lang w:val="en-GB"/>
              </w:rPr>
              <w:t>Ho</w:t>
            </w:r>
            <w:r w:rsidRPr="003476AC">
              <w:rPr>
                <w:rFonts w:ascii="Arial" w:hAnsi="Arial" w:cs="Arial"/>
                <w:i/>
                <w:sz w:val="20"/>
                <w:szCs w:val="20"/>
                <w:lang w:val="en-GB"/>
              </w:rPr>
              <w:t>w</w:t>
            </w:r>
            <w:r w:rsidRPr="003476AC">
              <w:rPr>
                <w:rFonts w:ascii="Arial" w:hAnsi="Arial" w:cs="Arial"/>
                <w:i/>
                <w:spacing w:val="4"/>
                <w:sz w:val="20"/>
                <w:szCs w:val="20"/>
                <w:lang w:val="en-GB"/>
              </w:rPr>
              <w:t xml:space="preserve"> </w:t>
            </w:r>
            <w:r w:rsidRPr="003476AC">
              <w:rPr>
                <w:rFonts w:ascii="Arial" w:hAnsi="Arial" w:cs="Arial"/>
                <w:i/>
                <w:spacing w:val="-1"/>
                <w:sz w:val="20"/>
                <w:szCs w:val="20"/>
                <w:lang w:val="en-GB"/>
              </w:rPr>
              <w:t>a</w:t>
            </w:r>
            <w:r w:rsidRPr="003476AC">
              <w:rPr>
                <w:rFonts w:ascii="Arial" w:hAnsi="Arial" w:cs="Arial"/>
                <w:i/>
                <w:spacing w:val="1"/>
                <w:sz w:val="20"/>
                <w:szCs w:val="20"/>
                <w:lang w:val="en-GB"/>
              </w:rPr>
              <w:t>r</w:t>
            </w:r>
            <w:r w:rsidRPr="003476AC">
              <w:rPr>
                <w:rFonts w:ascii="Arial" w:hAnsi="Arial" w:cs="Arial"/>
                <w:i/>
                <w:sz w:val="20"/>
                <w:szCs w:val="20"/>
                <w:lang w:val="en-GB"/>
              </w:rPr>
              <w:t>e</w:t>
            </w:r>
            <w:r w:rsidRPr="003476AC">
              <w:rPr>
                <w:rFonts w:ascii="Arial" w:hAnsi="Arial" w:cs="Arial"/>
                <w:i/>
                <w:spacing w:val="4"/>
                <w:sz w:val="20"/>
                <w:szCs w:val="20"/>
                <w:lang w:val="en-GB"/>
              </w:rPr>
              <w:t xml:space="preserve"> </w:t>
            </w:r>
            <w:r w:rsidRPr="003476AC">
              <w:rPr>
                <w:rFonts w:ascii="Arial" w:hAnsi="Arial" w:cs="Arial"/>
                <w:i/>
                <w:sz w:val="20"/>
                <w:szCs w:val="20"/>
                <w:lang w:val="en-GB"/>
              </w:rPr>
              <w:t>t</w:t>
            </w:r>
            <w:r w:rsidRPr="003476AC">
              <w:rPr>
                <w:rFonts w:ascii="Arial" w:hAnsi="Arial" w:cs="Arial"/>
                <w:i/>
                <w:spacing w:val="-1"/>
                <w:sz w:val="20"/>
                <w:szCs w:val="20"/>
                <w:lang w:val="en-GB"/>
              </w:rPr>
              <w:t>h</w:t>
            </w:r>
            <w:r w:rsidRPr="003476AC">
              <w:rPr>
                <w:rFonts w:ascii="Arial" w:hAnsi="Arial" w:cs="Arial"/>
                <w:i/>
                <w:sz w:val="20"/>
                <w:szCs w:val="20"/>
                <w:lang w:val="en-GB"/>
              </w:rPr>
              <w:t>e</w:t>
            </w:r>
            <w:r w:rsidRPr="003476AC">
              <w:rPr>
                <w:rFonts w:ascii="Arial" w:hAnsi="Arial" w:cs="Arial"/>
                <w:i/>
                <w:spacing w:val="1"/>
                <w:sz w:val="20"/>
                <w:szCs w:val="20"/>
                <w:lang w:val="en-GB"/>
              </w:rPr>
              <w:t xml:space="preserve"> </w:t>
            </w:r>
            <w:r w:rsidRPr="003476AC">
              <w:rPr>
                <w:rFonts w:ascii="Arial" w:hAnsi="Arial" w:cs="Arial"/>
                <w:i/>
                <w:sz w:val="20"/>
                <w:szCs w:val="20"/>
                <w:lang w:val="en-GB"/>
              </w:rPr>
              <w:t>s</w:t>
            </w:r>
            <w:r w:rsidRPr="003476AC">
              <w:rPr>
                <w:rFonts w:ascii="Arial" w:hAnsi="Arial" w:cs="Arial"/>
                <w:i/>
                <w:spacing w:val="-1"/>
                <w:sz w:val="20"/>
                <w:szCs w:val="20"/>
                <w:lang w:val="en-GB"/>
              </w:rPr>
              <w:t>u</w:t>
            </w:r>
            <w:r w:rsidRPr="003476AC">
              <w:rPr>
                <w:rFonts w:ascii="Arial" w:hAnsi="Arial" w:cs="Arial"/>
                <w:i/>
                <w:sz w:val="20"/>
                <w:szCs w:val="20"/>
                <w:lang w:val="en-GB"/>
              </w:rPr>
              <w:t>st</w:t>
            </w:r>
            <w:r w:rsidRPr="003476AC">
              <w:rPr>
                <w:rFonts w:ascii="Arial" w:hAnsi="Arial" w:cs="Arial"/>
                <w:i/>
                <w:spacing w:val="-1"/>
                <w:sz w:val="20"/>
                <w:szCs w:val="20"/>
                <w:lang w:val="en-GB"/>
              </w:rPr>
              <w:t>a</w:t>
            </w:r>
            <w:r w:rsidRPr="003476AC">
              <w:rPr>
                <w:rFonts w:ascii="Arial" w:hAnsi="Arial" w:cs="Arial"/>
                <w:i/>
                <w:sz w:val="20"/>
                <w:szCs w:val="20"/>
                <w:lang w:val="en-GB"/>
              </w:rPr>
              <w:t>i</w:t>
            </w:r>
            <w:r w:rsidRPr="003476AC">
              <w:rPr>
                <w:rFonts w:ascii="Arial" w:hAnsi="Arial" w:cs="Arial"/>
                <w:i/>
                <w:spacing w:val="-1"/>
                <w:sz w:val="20"/>
                <w:szCs w:val="20"/>
                <w:lang w:val="en-GB"/>
              </w:rPr>
              <w:t>nab</w:t>
            </w:r>
            <w:r w:rsidRPr="003476AC">
              <w:rPr>
                <w:rFonts w:ascii="Arial" w:hAnsi="Arial" w:cs="Arial"/>
                <w:i/>
                <w:sz w:val="20"/>
                <w:szCs w:val="20"/>
                <w:lang w:val="en-GB"/>
              </w:rPr>
              <w:t>le</w:t>
            </w:r>
            <w:r w:rsidRPr="003476AC">
              <w:rPr>
                <w:rFonts w:ascii="Arial" w:hAnsi="Arial" w:cs="Arial"/>
                <w:i/>
                <w:spacing w:val="4"/>
                <w:sz w:val="20"/>
                <w:szCs w:val="20"/>
                <w:lang w:val="en-GB"/>
              </w:rPr>
              <w:t xml:space="preserve"> </w:t>
            </w:r>
            <w:r w:rsidRPr="003476AC">
              <w:rPr>
                <w:rFonts w:ascii="Arial" w:hAnsi="Arial" w:cs="Arial"/>
                <w:i/>
                <w:spacing w:val="-3"/>
                <w:sz w:val="20"/>
                <w:szCs w:val="20"/>
                <w:lang w:val="en-GB"/>
              </w:rPr>
              <w:t>i</w:t>
            </w:r>
            <w:r w:rsidRPr="003476AC">
              <w:rPr>
                <w:rFonts w:ascii="Arial" w:hAnsi="Arial" w:cs="Arial"/>
                <w:i/>
                <w:spacing w:val="-1"/>
                <w:sz w:val="20"/>
                <w:szCs w:val="20"/>
                <w:lang w:val="en-GB"/>
              </w:rPr>
              <w:t>n</w:t>
            </w:r>
            <w:r w:rsidRPr="003476AC">
              <w:rPr>
                <w:rFonts w:ascii="Arial" w:hAnsi="Arial" w:cs="Arial"/>
                <w:i/>
                <w:sz w:val="20"/>
                <w:szCs w:val="20"/>
                <w:lang w:val="en-GB"/>
              </w:rPr>
              <w:t>vest</w:t>
            </w:r>
            <w:r w:rsidRPr="003476AC">
              <w:rPr>
                <w:rFonts w:ascii="Arial" w:hAnsi="Arial" w:cs="Arial"/>
                <w:i/>
                <w:spacing w:val="-2"/>
                <w:sz w:val="20"/>
                <w:szCs w:val="20"/>
                <w:lang w:val="en-GB"/>
              </w:rPr>
              <w:t>m</w:t>
            </w:r>
            <w:r w:rsidRPr="003476AC">
              <w:rPr>
                <w:rFonts w:ascii="Arial" w:hAnsi="Arial" w:cs="Arial"/>
                <w:i/>
                <w:sz w:val="20"/>
                <w:szCs w:val="20"/>
                <w:lang w:val="en-GB"/>
              </w:rPr>
              <w:t>e</w:t>
            </w:r>
            <w:r w:rsidRPr="003476AC">
              <w:rPr>
                <w:rFonts w:ascii="Arial" w:hAnsi="Arial" w:cs="Arial"/>
                <w:i/>
                <w:spacing w:val="-1"/>
                <w:sz w:val="20"/>
                <w:szCs w:val="20"/>
                <w:lang w:val="en-GB"/>
              </w:rPr>
              <w:t>n</w:t>
            </w:r>
            <w:r w:rsidRPr="003476AC">
              <w:rPr>
                <w:rFonts w:ascii="Arial" w:hAnsi="Arial" w:cs="Arial"/>
                <w:i/>
                <w:sz w:val="20"/>
                <w:szCs w:val="20"/>
                <w:lang w:val="en-GB"/>
              </w:rPr>
              <w:t>ts</w:t>
            </w:r>
            <w:r w:rsidRPr="003476AC">
              <w:rPr>
                <w:rFonts w:ascii="Arial" w:hAnsi="Arial" w:cs="Arial"/>
                <w:i/>
                <w:spacing w:val="4"/>
                <w:sz w:val="20"/>
                <w:szCs w:val="20"/>
                <w:lang w:val="en-GB"/>
              </w:rPr>
              <w:t xml:space="preserve"> </w:t>
            </w:r>
            <w:r w:rsidRPr="003476AC">
              <w:rPr>
                <w:rFonts w:ascii="Arial" w:hAnsi="Arial" w:cs="Arial"/>
                <w:i/>
                <w:spacing w:val="-1"/>
                <w:sz w:val="20"/>
                <w:szCs w:val="20"/>
                <w:lang w:val="en-GB"/>
              </w:rPr>
              <w:t>a</w:t>
            </w:r>
            <w:r w:rsidRPr="003476AC">
              <w:rPr>
                <w:rFonts w:ascii="Arial" w:hAnsi="Arial" w:cs="Arial"/>
                <w:i/>
                <w:sz w:val="20"/>
                <w:szCs w:val="20"/>
                <w:lang w:val="en-GB"/>
              </w:rPr>
              <w:t>li</w:t>
            </w:r>
            <w:r w:rsidRPr="003476AC">
              <w:rPr>
                <w:rFonts w:ascii="Arial" w:hAnsi="Arial" w:cs="Arial"/>
                <w:i/>
                <w:spacing w:val="-1"/>
                <w:sz w:val="20"/>
                <w:szCs w:val="20"/>
                <w:lang w:val="en-GB"/>
              </w:rPr>
              <w:t>gn</w:t>
            </w:r>
            <w:r w:rsidRPr="003476AC">
              <w:rPr>
                <w:rFonts w:ascii="Arial" w:hAnsi="Arial" w:cs="Arial"/>
                <w:i/>
                <w:sz w:val="20"/>
                <w:szCs w:val="20"/>
                <w:lang w:val="en-GB"/>
              </w:rPr>
              <w:t>ed</w:t>
            </w:r>
            <w:r w:rsidRPr="003476AC">
              <w:rPr>
                <w:rFonts w:ascii="Arial" w:hAnsi="Arial" w:cs="Arial"/>
                <w:i/>
                <w:spacing w:val="3"/>
                <w:sz w:val="20"/>
                <w:szCs w:val="20"/>
                <w:lang w:val="en-GB"/>
              </w:rPr>
              <w:t xml:space="preserve"> </w:t>
            </w:r>
            <w:r w:rsidRPr="003476AC">
              <w:rPr>
                <w:rFonts w:ascii="Arial" w:hAnsi="Arial" w:cs="Arial"/>
                <w:i/>
                <w:spacing w:val="1"/>
                <w:sz w:val="20"/>
                <w:szCs w:val="20"/>
                <w:lang w:val="en-GB"/>
              </w:rPr>
              <w:t>w</w:t>
            </w:r>
            <w:r w:rsidRPr="003476AC">
              <w:rPr>
                <w:rFonts w:ascii="Arial" w:hAnsi="Arial" w:cs="Arial"/>
                <w:i/>
                <w:sz w:val="20"/>
                <w:szCs w:val="20"/>
                <w:lang w:val="en-GB"/>
              </w:rPr>
              <w:t xml:space="preserve">ith </w:t>
            </w:r>
            <w:r w:rsidRPr="003476AC">
              <w:rPr>
                <w:rFonts w:ascii="Arial" w:hAnsi="Arial" w:cs="Arial"/>
                <w:i/>
                <w:spacing w:val="-2"/>
                <w:sz w:val="20"/>
                <w:szCs w:val="20"/>
                <w:lang w:val="en-GB"/>
              </w:rPr>
              <w:t>t</w:t>
            </w:r>
            <w:r w:rsidRPr="003476AC">
              <w:rPr>
                <w:rFonts w:ascii="Arial" w:hAnsi="Arial" w:cs="Arial"/>
                <w:i/>
                <w:spacing w:val="-1"/>
                <w:sz w:val="20"/>
                <w:szCs w:val="20"/>
                <w:lang w:val="en-GB"/>
              </w:rPr>
              <w:t>h</w:t>
            </w:r>
            <w:r w:rsidRPr="003476AC">
              <w:rPr>
                <w:rFonts w:ascii="Arial" w:hAnsi="Arial" w:cs="Arial"/>
                <w:i/>
                <w:sz w:val="20"/>
                <w:szCs w:val="20"/>
                <w:lang w:val="en-GB"/>
              </w:rPr>
              <w:t>e</w:t>
            </w:r>
            <w:r w:rsidRPr="003476AC">
              <w:rPr>
                <w:rFonts w:ascii="Arial" w:hAnsi="Arial" w:cs="Arial"/>
                <w:i/>
                <w:spacing w:val="4"/>
                <w:sz w:val="20"/>
                <w:szCs w:val="20"/>
                <w:lang w:val="en-GB"/>
              </w:rPr>
              <w:t xml:space="preserve"> </w:t>
            </w:r>
            <w:r w:rsidRPr="003476AC">
              <w:rPr>
                <w:rFonts w:ascii="Arial" w:hAnsi="Arial" w:cs="Arial"/>
                <w:i/>
                <w:sz w:val="20"/>
                <w:szCs w:val="20"/>
                <w:lang w:val="en-GB"/>
              </w:rPr>
              <w:t>OECD</w:t>
            </w:r>
            <w:r w:rsidRPr="003476AC">
              <w:rPr>
                <w:rFonts w:ascii="Arial" w:hAnsi="Arial" w:cs="Arial"/>
                <w:i/>
                <w:spacing w:val="4"/>
                <w:sz w:val="20"/>
                <w:szCs w:val="20"/>
                <w:lang w:val="en-GB"/>
              </w:rPr>
              <w:t xml:space="preserve"> </w:t>
            </w:r>
            <w:r w:rsidRPr="003476AC">
              <w:rPr>
                <w:rFonts w:ascii="Arial" w:hAnsi="Arial" w:cs="Arial"/>
                <w:i/>
                <w:sz w:val="20"/>
                <w:szCs w:val="20"/>
                <w:lang w:val="en-GB"/>
              </w:rPr>
              <w:t>G</w:t>
            </w:r>
            <w:r w:rsidRPr="003476AC">
              <w:rPr>
                <w:rFonts w:ascii="Arial" w:hAnsi="Arial" w:cs="Arial"/>
                <w:i/>
                <w:spacing w:val="-1"/>
                <w:sz w:val="20"/>
                <w:szCs w:val="20"/>
                <w:lang w:val="en-GB"/>
              </w:rPr>
              <w:t>u</w:t>
            </w:r>
            <w:r w:rsidRPr="003476AC">
              <w:rPr>
                <w:rFonts w:ascii="Arial" w:hAnsi="Arial" w:cs="Arial"/>
                <w:i/>
                <w:sz w:val="20"/>
                <w:szCs w:val="20"/>
                <w:lang w:val="en-GB"/>
              </w:rPr>
              <w:t>i</w:t>
            </w:r>
            <w:r w:rsidRPr="003476AC">
              <w:rPr>
                <w:rFonts w:ascii="Arial" w:hAnsi="Arial" w:cs="Arial"/>
                <w:i/>
                <w:spacing w:val="-1"/>
                <w:sz w:val="20"/>
                <w:szCs w:val="20"/>
                <w:lang w:val="en-GB"/>
              </w:rPr>
              <w:t>d</w:t>
            </w:r>
            <w:r w:rsidRPr="003476AC">
              <w:rPr>
                <w:rFonts w:ascii="Arial" w:hAnsi="Arial" w:cs="Arial"/>
                <w:i/>
                <w:sz w:val="20"/>
                <w:szCs w:val="20"/>
                <w:lang w:val="en-GB"/>
              </w:rPr>
              <w:t>eli</w:t>
            </w:r>
            <w:r w:rsidRPr="003476AC">
              <w:rPr>
                <w:rFonts w:ascii="Arial" w:hAnsi="Arial" w:cs="Arial"/>
                <w:i/>
                <w:spacing w:val="-1"/>
                <w:sz w:val="20"/>
                <w:szCs w:val="20"/>
                <w:lang w:val="en-GB"/>
              </w:rPr>
              <w:t>n</w:t>
            </w:r>
            <w:r w:rsidRPr="003476AC">
              <w:rPr>
                <w:rFonts w:ascii="Arial" w:hAnsi="Arial" w:cs="Arial"/>
                <w:i/>
                <w:spacing w:val="-2"/>
                <w:sz w:val="20"/>
                <w:szCs w:val="20"/>
                <w:lang w:val="en-GB"/>
              </w:rPr>
              <w:t>e</w:t>
            </w:r>
            <w:r w:rsidRPr="003476AC">
              <w:rPr>
                <w:rFonts w:ascii="Arial" w:hAnsi="Arial" w:cs="Arial"/>
                <w:i/>
                <w:sz w:val="20"/>
                <w:szCs w:val="20"/>
                <w:lang w:val="en-GB"/>
              </w:rPr>
              <w:t>s</w:t>
            </w:r>
            <w:r w:rsidRPr="003476AC">
              <w:rPr>
                <w:rFonts w:ascii="Arial" w:hAnsi="Arial" w:cs="Arial"/>
                <w:i/>
                <w:spacing w:val="4"/>
                <w:sz w:val="20"/>
                <w:szCs w:val="20"/>
                <w:lang w:val="en-GB"/>
              </w:rPr>
              <w:t xml:space="preserve"> </w:t>
            </w:r>
            <w:r w:rsidRPr="003476AC">
              <w:rPr>
                <w:rFonts w:ascii="Arial" w:hAnsi="Arial" w:cs="Arial"/>
                <w:i/>
                <w:sz w:val="20"/>
                <w:szCs w:val="20"/>
                <w:lang w:val="en-GB"/>
              </w:rPr>
              <w:t>f</w:t>
            </w:r>
            <w:r w:rsidRPr="003476AC">
              <w:rPr>
                <w:rFonts w:ascii="Arial" w:hAnsi="Arial" w:cs="Arial"/>
                <w:i/>
                <w:spacing w:val="-1"/>
                <w:sz w:val="20"/>
                <w:szCs w:val="20"/>
                <w:lang w:val="en-GB"/>
              </w:rPr>
              <w:t>o</w:t>
            </w:r>
            <w:r w:rsidRPr="003476AC">
              <w:rPr>
                <w:rFonts w:ascii="Arial" w:hAnsi="Arial" w:cs="Arial"/>
                <w:i/>
                <w:sz w:val="20"/>
                <w:szCs w:val="20"/>
                <w:lang w:val="en-GB"/>
              </w:rPr>
              <w:t xml:space="preserve">r </w:t>
            </w:r>
            <w:r w:rsidRPr="003476AC">
              <w:rPr>
                <w:rFonts w:ascii="Arial" w:hAnsi="Arial" w:cs="Arial"/>
                <w:i/>
                <w:spacing w:val="1"/>
                <w:sz w:val="20"/>
                <w:szCs w:val="20"/>
                <w:lang w:val="en-GB"/>
              </w:rPr>
              <w:t>M</w:t>
            </w:r>
            <w:r w:rsidRPr="003476AC">
              <w:rPr>
                <w:rFonts w:ascii="Arial" w:hAnsi="Arial" w:cs="Arial"/>
                <w:i/>
                <w:spacing w:val="-1"/>
                <w:sz w:val="20"/>
                <w:szCs w:val="20"/>
                <w:lang w:val="en-GB"/>
              </w:rPr>
              <w:t>u</w:t>
            </w:r>
            <w:r w:rsidRPr="003476AC">
              <w:rPr>
                <w:rFonts w:ascii="Arial" w:hAnsi="Arial" w:cs="Arial"/>
                <w:i/>
                <w:sz w:val="20"/>
                <w:szCs w:val="20"/>
                <w:lang w:val="en-GB"/>
              </w:rPr>
              <w:t>lti</w:t>
            </w:r>
            <w:r w:rsidRPr="003476AC">
              <w:rPr>
                <w:rFonts w:ascii="Arial" w:hAnsi="Arial" w:cs="Arial"/>
                <w:i/>
                <w:spacing w:val="-1"/>
                <w:sz w:val="20"/>
                <w:szCs w:val="20"/>
                <w:lang w:val="en-GB"/>
              </w:rPr>
              <w:t>na</w:t>
            </w:r>
            <w:r w:rsidRPr="003476AC">
              <w:rPr>
                <w:rFonts w:ascii="Arial" w:hAnsi="Arial" w:cs="Arial"/>
                <w:i/>
                <w:sz w:val="20"/>
                <w:szCs w:val="20"/>
                <w:lang w:val="en-GB"/>
              </w:rPr>
              <w:t>ti</w:t>
            </w:r>
            <w:r w:rsidRPr="003476AC">
              <w:rPr>
                <w:rFonts w:ascii="Arial" w:hAnsi="Arial" w:cs="Arial"/>
                <w:i/>
                <w:spacing w:val="-1"/>
                <w:sz w:val="20"/>
                <w:szCs w:val="20"/>
                <w:lang w:val="en-GB"/>
              </w:rPr>
              <w:t>ona</w:t>
            </w:r>
            <w:r w:rsidRPr="003476AC">
              <w:rPr>
                <w:rFonts w:ascii="Arial" w:hAnsi="Arial" w:cs="Arial"/>
                <w:i/>
                <w:sz w:val="20"/>
                <w:szCs w:val="20"/>
                <w:lang w:val="en-GB"/>
              </w:rPr>
              <w:t>l</w:t>
            </w:r>
            <w:r w:rsidRPr="003476AC">
              <w:rPr>
                <w:rFonts w:ascii="Arial" w:hAnsi="Arial" w:cs="Arial"/>
                <w:i/>
                <w:spacing w:val="1"/>
                <w:sz w:val="20"/>
                <w:szCs w:val="20"/>
                <w:lang w:val="en-GB"/>
              </w:rPr>
              <w:t xml:space="preserve"> </w:t>
            </w:r>
            <w:r w:rsidRPr="003476AC">
              <w:rPr>
                <w:rFonts w:ascii="Arial" w:hAnsi="Arial" w:cs="Arial"/>
                <w:i/>
                <w:sz w:val="20"/>
                <w:szCs w:val="20"/>
                <w:lang w:val="en-GB"/>
              </w:rPr>
              <w:t>E</w:t>
            </w:r>
            <w:r w:rsidRPr="003476AC">
              <w:rPr>
                <w:rFonts w:ascii="Arial" w:hAnsi="Arial" w:cs="Arial"/>
                <w:i/>
                <w:spacing w:val="-1"/>
                <w:sz w:val="20"/>
                <w:szCs w:val="20"/>
                <w:lang w:val="en-GB"/>
              </w:rPr>
              <w:t>n</w:t>
            </w:r>
            <w:r w:rsidRPr="003476AC">
              <w:rPr>
                <w:rFonts w:ascii="Arial" w:hAnsi="Arial" w:cs="Arial"/>
                <w:i/>
                <w:sz w:val="20"/>
                <w:szCs w:val="20"/>
                <w:lang w:val="en-GB"/>
              </w:rPr>
              <w:t>t</w:t>
            </w:r>
            <w:r w:rsidRPr="003476AC">
              <w:rPr>
                <w:rFonts w:ascii="Arial" w:hAnsi="Arial" w:cs="Arial"/>
                <w:i/>
                <w:spacing w:val="-2"/>
                <w:sz w:val="20"/>
                <w:szCs w:val="20"/>
                <w:lang w:val="en-GB"/>
              </w:rPr>
              <w:t>e</w:t>
            </w:r>
            <w:r w:rsidRPr="003476AC">
              <w:rPr>
                <w:rFonts w:ascii="Arial" w:hAnsi="Arial" w:cs="Arial"/>
                <w:i/>
                <w:spacing w:val="1"/>
                <w:sz w:val="20"/>
                <w:szCs w:val="20"/>
                <w:lang w:val="en-GB"/>
              </w:rPr>
              <w:t>r</w:t>
            </w:r>
            <w:r w:rsidRPr="003476AC">
              <w:rPr>
                <w:rFonts w:ascii="Arial" w:hAnsi="Arial" w:cs="Arial"/>
                <w:i/>
                <w:spacing w:val="-1"/>
                <w:sz w:val="20"/>
                <w:szCs w:val="20"/>
                <w:lang w:val="en-GB"/>
              </w:rPr>
              <w:t>p</w:t>
            </w:r>
            <w:r w:rsidRPr="003476AC">
              <w:rPr>
                <w:rFonts w:ascii="Arial" w:hAnsi="Arial" w:cs="Arial"/>
                <w:i/>
                <w:spacing w:val="1"/>
                <w:sz w:val="20"/>
                <w:szCs w:val="20"/>
                <w:lang w:val="en-GB"/>
              </w:rPr>
              <w:t>r</w:t>
            </w:r>
            <w:r w:rsidRPr="003476AC">
              <w:rPr>
                <w:rFonts w:ascii="Arial" w:hAnsi="Arial" w:cs="Arial"/>
                <w:i/>
                <w:sz w:val="20"/>
                <w:szCs w:val="20"/>
                <w:lang w:val="en-GB"/>
              </w:rPr>
              <w:t>i</w:t>
            </w:r>
            <w:r w:rsidRPr="003476AC">
              <w:rPr>
                <w:rFonts w:ascii="Arial" w:hAnsi="Arial" w:cs="Arial"/>
                <w:i/>
                <w:spacing w:val="-2"/>
                <w:sz w:val="20"/>
                <w:szCs w:val="20"/>
                <w:lang w:val="en-GB"/>
              </w:rPr>
              <w:t>s</w:t>
            </w:r>
            <w:r w:rsidRPr="003476AC">
              <w:rPr>
                <w:rFonts w:ascii="Arial" w:hAnsi="Arial" w:cs="Arial"/>
                <w:i/>
                <w:sz w:val="20"/>
                <w:szCs w:val="20"/>
                <w:lang w:val="en-GB"/>
              </w:rPr>
              <w:t xml:space="preserve">es </w:t>
            </w:r>
            <w:r w:rsidRPr="003476AC">
              <w:rPr>
                <w:rFonts w:ascii="Arial" w:hAnsi="Arial" w:cs="Arial"/>
                <w:i/>
                <w:spacing w:val="-1"/>
                <w:sz w:val="20"/>
                <w:szCs w:val="20"/>
                <w:lang w:val="en-GB"/>
              </w:rPr>
              <w:t>an</w:t>
            </w:r>
            <w:r w:rsidRPr="003476AC">
              <w:rPr>
                <w:rFonts w:ascii="Arial" w:hAnsi="Arial" w:cs="Arial"/>
                <w:i/>
                <w:sz w:val="20"/>
                <w:szCs w:val="20"/>
                <w:lang w:val="en-GB"/>
              </w:rPr>
              <w:t>d</w:t>
            </w:r>
            <w:r w:rsidRPr="003476AC">
              <w:rPr>
                <w:rFonts w:ascii="Arial" w:hAnsi="Arial" w:cs="Arial"/>
                <w:i/>
                <w:spacing w:val="1"/>
                <w:sz w:val="20"/>
                <w:szCs w:val="20"/>
                <w:lang w:val="en-GB"/>
              </w:rPr>
              <w:t xml:space="preserve"> </w:t>
            </w:r>
            <w:r w:rsidRPr="003476AC">
              <w:rPr>
                <w:rFonts w:ascii="Arial" w:hAnsi="Arial" w:cs="Arial"/>
                <w:i/>
                <w:sz w:val="20"/>
                <w:szCs w:val="20"/>
                <w:lang w:val="en-GB"/>
              </w:rPr>
              <w:t>t</w:t>
            </w:r>
            <w:r w:rsidRPr="003476AC">
              <w:rPr>
                <w:rFonts w:ascii="Arial" w:hAnsi="Arial" w:cs="Arial"/>
                <w:i/>
                <w:spacing w:val="-1"/>
                <w:sz w:val="20"/>
                <w:szCs w:val="20"/>
                <w:lang w:val="en-GB"/>
              </w:rPr>
              <w:t>h</w:t>
            </w:r>
            <w:r w:rsidRPr="003476AC">
              <w:rPr>
                <w:rFonts w:ascii="Arial" w:hAnsi="Arial" w:cs="Arial"/>
                <w:i/>
                <w:sz w:val="20"/>
                <w:szCs w:val="20"/>
                <w:lang w:val="en-GB"/>
              </w:rPr>
              <w:t>e</w:t>
            </w:r>
            <w:r w:rsidRPr="003476AC">
              <w:rPr>
                <w:rFonts w:ascii="Arial" w:hAnsi="Arial" w:cs="Arial"/>
                <w:i/>
                <w:spacing w:val="2"/>
                <w:sz w:val="20"/>
                <w:szCs w:val="20"/>
                <w:lang w:val="en-GB"/>
              </w:rPr>
              <w:t xml:space="preserve"> </w:t>
            </w:r>
            <w:r w:rsidRPr="003476AC">
              <w:rPr>
                <w:rFonts w:ascii="Arial" w:hAnsi="Arial" w:cs="Arial"/>
                <w:i/>
                <w:sz w:val="20"/>
                <w:szCs w:val="20"/>
                <w:lang w:val="en-GB"/>
              </w:rPr>
              <w:t>UN</w:t>
            </w:r>
            <w:r w:rsidRPr="003476AC">
              <w:rPr>
                <w:rFonts w:ascii="Arial" w:hAnsi="Arial" w:cs="Arial"/>
                <w:i/>
                <w:spacing w:val="1"/>
                <w:sz w:val="20"/>
                <w:szCs w:val="20"/>
                <w:lang w:val="en-GB"/>
              </w:rPr>
              <w:t xml:space="preserve"> </w:t>
            </w:r>
            <w:r w:rsidRPr="003476AC">
              <w:rPr>
                <w:rFonts w:ascii="Arial" w:hAnsi="Arial" w:cs="Arial"/>
                <w:i/>
                <w:sz w:val="20"/>
                <w:szCs w:val="20"/>
                <w:lang w:val="en-GB"/>
              </w:rPr>
              <w:t>G</w:t>
            </w:r>
            <w:r w:rsidRPr="003476AC">
              <w:rPr>
                <w:rFonts w:ascii="Arial" w:hAnsi="Arial" w:cs="Arial"/>
                <w:i/>
                <w:spacing w:val="-1"/>
                <w:sz w:val="20"/>
                <w:szCs w:val="20"/>
                <w:lang w:val="en-GB"/>
              </w:rPr>
              <w:t>u</w:t>
            </w:r>
            <w:r w:rsidRPr="003476AC">
              <w:rPr>
                <w:rFonts w:ascii="Arial" w:hAnsi="Arial" w:cs="Arial"/>
                <w:i/>
                <w:sz w:val="20"/>
                <w:szCs w:val="20"/>
                <w:lang w:val="en-GB"/>
              </w:rPr>
              <w:t>i</w:t>
            </w:r>
            <w:r w:rsidRPr="003476AC">
              <w:rPr>
                <w:rFonts w:ascii="Arial" w:hAnsi="Arial" w:cs="Arial"/>
                <w:i/>
                <w:spacing w:val="-1"/>
                <w:sz w:val="20"/>
                <w:szCs w:val="20"/>
                <w:lang w:val="en-GB"/>
              </w:rPr>
              <w:t>d</w:t>
            </w:r>
            <w:r w:rsidRPr="003476AC">
              <w:rPr>
                <w:rFonts w:ascii="Arial" w:hAnsi="Arial" w:cs="Arial"/>
                <w:i/>
                <w:sz w:val="20"/>
                <w:szCs w:val="20"/>
                <w:lang w:val="en-GB"/>
              </w:rPr>
              <w:t>i</w:t>
            </w:r>
            <w:r w:rsidRPr="003476AC">
              <w:rPr>
                <w:rFonts w:ascii="Arial" w:hAnsi="Arial" w:cs="Arial"/>
                <w:i/>
                <w:spacing w:val="-1"/>
                <w:sz w:val="20"/>
                <w:szCs w:val="20"/>
                <w:lang w:val="en-GB"/>
              </w:rPr>
              <w:t>n</w:t>
            </w:r>
            <w:r w:rsidRPr="003476AC">
              <w:rPr>
                <w:rFonts w:ascii="Arial" w:hAnsi="Arial" w:cs="Arial"/>
                <w:i/>
                <w:sz w:val="20"/>
                <w:szCs w:val="20"/>
                <w:lang w:val="en-GB"/>
              </w:rPr>
              <w:t>g</w:t>
            </w:r>
            <w:r w:rsidRPr="003476AC">
              <w:rPr>
                <w:rFonts w:ascii="Arial" w:hAnsi="Arial" w:cs="Arial"/>
                <w:i/>
                <w:spacing w:val="1"/>
                <w:sz w:val="20"/>
                <w:szCs w:val="20"/>
                <w:lang w:val="en-GB"/>
              </w:rPr>
              <w:t xml:space="preserve"> </w:t>
            </w:r>
            <w:r w:rsidRPr="003476AC">
              <w:rPr>
                <w:rFonts w:ascii="Arial" w:hAnsi="Arial" w:cs="Arial"/>
                <w:i/>
                <w:spacing w:val="-1"/>
                <w:sz w:val="20"/>
                <w:szCs w:val="20"/>
                <w:lang w:val="en-GB"/>
              </w:rPr>
              <w:t>P</w:t>
            </w:r>
            <w:r w:rsidRPr="003476AC">
              <w:rPr>
                <w:rFonts w:ascii="Arial" w:hAnsi="Arial" w:cs="Arial"/>
                <w:i/>
                <w:spacing w:val="1"/>
                <w:sz w:val="20"/>
                <w:szCs w:val="20"/>
                <w:lang w:val="en-GB"/>
              </w:rPr>
              <w:t>r</w:t>
            </w:r>
            <w:r w:rsidRPr="003476AC">
              <w:rPr>
                <w:rFonts w:ascii="Arial" w:hAnsi="Arial" w:cs="Arial"/>
                <w:i/>
                <w:sz w:val="20"/>
                <w:szCs w:val="20"/>
                <w:lang w:val="en-GB"/>
              </w:rPr>
              <w:t>i</w:t>
            </w:r>
            <w:r w:rsidRPr="003476AC">
              <w:rPr>
                <w:rFonts w:ascii="Arial" w:hAnsi="Arial" w:cs="Arial"/>
                <w:i/>
                <w:spacing w:val="-1"/>
                <w:sz w:val="20"/>
                <w:szCs w:val="20"/>
                <w:lang w:val="en-GB"/>
              </w:rPr>
              <w:t>nc</w:t>
            </w:r>
            <w:r w:rsidRPr="003476AC">
              <w:rPr>
                <w:rFonts w:ascii="Arial" w:hAnsi="Arial" w:cs="Arial"/>
                <w:i/>
                <w:sz w:val="20"/>
                <w:szCs w:val="20"/>
                <w:lang w:val="en-GB"/>
              </w:rPr>
              <w:t>i</w:t>
            </w:r>
            <w:r w:rsidRPr="003476AC">
              <w:rPr>
                <w:rFonts w:ascii="Arial" w:hAnsi="Arial" w:cs="Arial"/>
                <w:i/>
                <w:spacing w:val="-1"/>
                <w:sz w:val="20"/>
                <w:szCs w:val="20"/>
                <w:lang w:val="en-GB"/>
              </w:rPr>
              <w:t>p</w:t>
            </w:r>
            <w:r w:rsidRPr="003476AC">
              <w:rPr>
                <w:rFonts w:ascii="Arial" w:hAnsi="Arial" w:cs="Arial"/>
                <w:i/>
                <w:sz w:val="20"/>
                <w:szCs w:val="20"/>
                <w:lang w:val="en-GB"/>
              </w:rPr>
              <w:t>les</w:t>
            </w:r>
            <w:r w:rsidRPr="003476AC">
              <w:rPr>
                <w:rFonts w:ascii="Arial" w:hAnsi="Arial" w:cs="Arial"/>
                <w:i/>
                <w:spacing w:val="2"/>
                <w:sz w:val="20"/>
                <w:szCs w:val="20"/>
                <w:lang w:val="en-GB"/>
              </w:rPr>
              <w:t xml:space="preserve"> </w:t>
            </w:r>
            <w:r w:rsidRPr="003476AC">
              <w:rPr>
                <w:rFonts w:ascii="Arial" w:hAnsi="Arial" w:cs="Arial"/>
                <w:i/>
                <w:spacing w:val="-1"/>
                <w:sz w:val="20"/>
                <w:szCs w:val="20"/>
                <w:lang w:val="en-GB"/>
              </w:rPr>
              <w:t>o</w:t>
            </w:r>
            <w:r w:rsidRPr="003476AC">
              <w:rPr>
                <w:rFonts w:ascii="Arial" w:hAnsi="Arial" w:cs="Arial"/>
                <w:i/>
                <w:sz w:val="20"/>
                <w:szCs w:val="20"/>
                <w:lang w:val="en-GB"/>
              </w:rPr>
              <w:t>n</w:t>
            </w:r>
            <w:r w:rsidRPr="003476AC">
              <w:rPr>
                <w:rFonts w:ascii="Arial" w:hAnsi="Arial" w:cs="Arial"/>
                <w:i/>
                <w:spacing w:val="1"/>
                <w:sz w:val="20"/>
                <w:szCs w:val="20"/>
                <w:lang w:val="en-GB"/>
              </w:rPr>
              <w:t xml:space="preserve"> </w:t>
            </w:r>
            <w:r w:rsidRPr="003476AC">
              <w:rPr>
                <w:rFonts w:ascii="Arial" w:hAnsi="Arial" w:cs="Arial"/>
                <w:i/>
                <w:sz w:val="20"/>
                <w:szCs w:val="20"/>
                <w:lang w:val="en-GB"/>
              </w:rPr>
              <w:t>B</w:t>
            </w:r>
            <w:r w:rsidRPr="003476AC">
              <w:rPr>
                <w:rFonts w:ascii="Arial" w:hAnsi="Arial" w:cs="Arial"/>
                <w:i/>
                <w:spacing w:val="-1"/>
                <w:sz w:val="20"/>
                <w:szCs w:val="20"/>
                <w:lang w:val="en-GB"/>
              </w:rPr>
              <w:t>u</w:t>
            </w:r>
            <w:r w:rsidRPr="003476AC">
              <w:rPr>
                <w:rFonts w:ascii="Arial" w:hAnsi="Arial" w:cs="Arial"/>
                <w:i/>
                <w:sz w:val="20"/>
                <w:szCs w:val="20"/>
                <w:lang w:val="en-GB"/>
              </w:rPr>
              <w:t>si</w:t>
            </w:r>
            <w:r w:rsidRPr="003476AC">
              <w:rPr>
                <w:rFonts w:ascii="Arial" w:hAnsi="Arial" w:cs="Arial"/>
                <w:i/>
                <w:spacing w:val="-1"/>
                <w:sz w:val="20"/>
                <w:szCs w:val="20"/>
                <w:lang w:val="en-GB"/>
              </w:rPr>
              <w:t>n</w:t>
            </w:r>
            <w:r w:rsidRPr="003476AC">
              <w:rPr>
                <w:rFonts w:ascii="Arial" w:hAnsi="Arial" w:cs="Arial"/>
                <w:i/>
                <w:sz w:val="20"/>
                <w:szCs w:val="20"/>
                <w:lang w:val="en-GB"/>
              </w:rPr>
              <w:t xml:space="preserve">ess </w:t>
            </w:r>
            <w:r w:rsidRPr="003476AC">
              <w:rPr>
                <w:rFonts w:ascii="Arial" w:hAnsi="Arial" w:cs="Arial"/>
                <w:i/>
                <w:spacing w:val="-1"/>
                <w:sz w:val="20"/>
                <w:szCs w:val="20"/>
                <w:lang w:val="en-GB"/>
              </w:rPr>
              <w:t>and Hu</w:t>
            </w:r>
            <w:r w:rsidRPr="003476AC">
              <w:rPr>
                <w:rFonts w:ascii="Arial" w:hAnsi="Arial" w:cs="Arial"/>
                <w:i/>
                <w:spacing w:val="1"/>
                <w:sz w:val="20"/>
                <w:szCs w:val="20"/>
                <w:lang w:val="en-GB"/>
              </w:rPr>
              <w:t>m</w:t>
            </w:r>
            <w:r w:rsidRPr="003476AC">
              <w:rPr>
                <w:rFonts w:ascii="Arial" w:hAnsi="Arial" w:cs="Arial"/>
                <w:i/>
                <w:spacing w:val="-1"/>
                <w:sz w:val="20"/>
                <w:szCs w:val="20"/>
                <w:lang w:val="en-GB"/>
              </w:rPr>
              <w:t>a</w:t>
            </w:r>
            <w:r w:rsidRPr="003476AC">
              <w:rPr>
                <w:rFonts w:ascii="Arial" w:hAnsi="Arial" w:cs="Arial"/>
                <w:i/>
                <w:sz w:val="20"/>
                <w:szCs w:val="20"/>
                <w:lang w:val="en-GB"/>
              </w:rPr>
              <w:t>n</w:t>
            </w:r>
            <w:r w:rsidRPr="003476AC">
              <w:rPr>
                <w:rFonts w:ascii="Arial" w:hAnsi="Arial" w:cs="Arial"/>
                <w:i/>
                <w:spacing w:val="-5"/>
                <w:sz w:val="20"/>
                <w:szCs w:val="20"/>
                <w:lang w:val="en-GB"/>
              </w:rPr>
              <w:t xml:space="preserve"> </w:t>
            </w:r>
            <w:r w:rsidRPr="003476AC">
              <w:rPr>
                <w:rFonts w:ascii="Arial" w:hAnsi="Arial" w:cs="Arial"/>
                <w:i/>
                <w:sz w:val="20"/>
                <w:szCs w:val="20"/>
                <w:lang w:val="en-GB"/>
              </w:rPr>
              <w:t>Ri</w:t>
            </w:r>
            <w:r w:rsidRPr="003476AC">
              <w:rPr>
                <w:rFonts w:ascii="Arial" w:hAnsi="Arial" w:cs="Arial"/>
                <w:i/>
                <w:spacing w:val="-1"/>
                <w:sz w:val="20"/>
                <w:szCs w:val="20"/>
                <w:lang w:val="en-GB"/>
              </w:rPr>
              <w:t>gh</w:t>
            </w:r>
            <w:r w:rsidRPr="003476AC">
              <w:rPr>
                <w:rFonts w:ascii="Arial" w:hAnsi="Arial" w:cs="Arial"/>
                <w:i/>
                <w:sz w:val="20"/>
                <w:szCs w:val="20"/>
                <w:lang w:val="en-GB"/>
              </w:rPr>
              <w:t>ts?</w:t>
            </w:r>
            <w:r w:rsidRPr="003476AC">
              <w:rPr>
                <w:rFonts w:ascii="Arial" w:hAnsi="Arial" w:cs="Arial"/>
                <w:i/>
                <w:spacing w:val="-6"/>
                <w:sz w:val="20"/>
                <w:szCs w:val="20"/>
                <w:lang w:val="en-GB"/>
              </w:rPr>
              <w:t xml:space="preserve"> </w:t>
            </w:r>
            <w:r w:rsidRPr="003476AC">
              <w:rPr>
                <w:rFonts w:ascii="Arial" w:hAnsi="Arial" w:cs="Arial"/>
                <w:i/>
                <w:spacing w:val="-1"/>
                <w:sz w:val="20"/>
                <w:szCs w:val="20"/>
                <w:lang w:val="en-GB"/>
              </w:rPr>
              <w:t>D</w:t>
            </w:r>
            <w:r w:rsidRPr="003476AC">
              <w:rPr>
                <w:rFonts w:ascii="Arial" w:hAnsi="Arial" w:cs="Arial"/>
                <w:i/>
                <w:sz w:val="20"/>
                <w:szCs w:val="20"/>
                <w:lang w:val="en-GB"/>
              </w:rPr>
              <w:t>et</w:t>
            </w:r>
            <w:r w:rsidRPr="003476AC">
              <w:rPr>
                <w:rFonts w:ascii="Arial" w:hAnsi="Arial" w:cs="Arial"/>
                <w:i/>
                <w:spacing w:val="-1"/>
                <w:sz w:val="20"/>
                <w:szCs w:val="20"/>
                <w:lang w:val="en-GB"/>
              </w:rPr>
              <w:t>a</w:t>
            </w:r>
            <w:r w:rsidRPr="003476AC">
              <w:rPr>
                <w:rFonts w:ascii="Arial" w:hAnsi="Arial" w:cs="Arial"/>
                <w:i/>
                <w:sz w:val="20"/>
                <w:szCs w:val="20"/>
                <w:lang w:val="en-GB"/>
              </w:rPr>
              <w:t>ils:</w:t>
            </w:r>
            <w:r w:rsidRPr="003476AC">
              <w:rPr>
                <w:rFonts w:ascii="Arial" w:hAnsi="Arial" w:cs="Arial"/>
                <w:i/>
                <w:spacing w:val="-13"/>
                <w:sz w:val="20"/>
                <w:szCs w:val="20"/>
                <w:lang w:val="en-GB"/>
              </w:rPr>
              <w:t xml:space="preserve"> </w:t>
            </w:r>
          </w:p>
          <w:p w14:paraId="2F24ADF7" w14:textId="77777777" w:rsidR="003C1B8B" w:rsidRPr="003476AC" w:rsidRDefault="003C1B8B" w:rsidP="003C1B8B">
            <w:pPr>
              <w:spacing w:before="0" w:after="0"/>
              <w:jc w:val="left"/>
              <w:rPr>
                <w:rFonts w:ascii="Arial" w:hAnsi="Arial" w:cs="Arial"/>
                <w:sz w:val="20"/>
                <w:szCs w:val="20"/>
                <w:lang w:val="en-GB"/>
              </w:rPr>
            </w:pPr>
          </w:p>
        </w:tc>
      </w:tr>
      <w:tr w:rsidR="003C1B8B" w:rsidRPr="003C1B8B" w14:paraId="18BCB074" w14:textId="77777777" w:rsidTr="00303F74">
        <w:trPr>
          <w:trHeight w:val="693"/>
        </w:trPr>
        <w:tc>
          <w:tcPr>
            <w:tcW w:w="1116" w:type="pct"/>
          </w:tcPr>
          <w:p w14:paraId="0E2B29DC" w14:textId="77777777" w:rsidR="003C1B8B" w:rsidRPr="003C1B8B" w:rsidRDefault="003C1B8B" w:rsidP="003C1B8B">
            <w:pPr>
              <w:widowControl w:val="0"/>
              <w:spacing w:before="0" w:after="0"/>
              <w:jc w:val="left"/>
              <w:rPr>
                <w:rFonts w:ascii="Arial" w:hAnsi="Arial" w:cs="Arial"/>
                <w:sz w:val="20"/>
                <w:szCs w:val="20"/>
                <w:lang w:val="en-GB"/>
              </w:rPr>
            </w:pPr>
          </w:p>
        </w:tc>
        <w:tc>
          <w:tcPr>
            <w:tcW w:w="124" w:type="pct"/>
            <w:shd w:val="clear" w:color="auto" w:fill="FFFFFF" w:themeFill="background1"/>
          </w:tcPr>
          <w:p w14:paraId="28F19BB7" w14:textId="77777777" w:rsidR="003C1B8B" w:rsidRPr="003C1B8B" w:rsidRDefault="003C1B8B" w:rsidP="003C1B8B">
            <w:pPr>
              <w:widowControl w:val="0"/>
              <w:spacing w:before="0" w:after="0"/>
              <w:jc w:val="left"/>
              <w:rPr>
                <w:rFonts w:ascii="Arial" w:hAnsi="Arial" w:cs="Arial"/>
                <w:sz w:val="20"/>
                <w:szCs w:val="20"/>
                <w:lang w:val="en-GB"/>
              </w:rPr>
            </w:pPr>
          </w:p>
        </w:tc>
        <w:tc>
          <w:tcPr>
            <w:tcW w:w="3760" w:type="pct"/>
            <w:gridSpan w:val="6"/>
          </w:tcPr>
          <w:p w14:paraId="57EF7732" w14:textId="77777777" w:rsidR="003C1B8B" w:rsidRPr="003476AC" w:rsidRDefault="003C1B8B" w:rsidP="003C1B8B">
            <w:pPr>
              <w:widowControl w:val="0"/>
              <w:spacing w:before="0" w:after="0"/>
              <w:jc w:val="left"/>
              <w:rPr>
                <w:rFonts w:ascii="Arial" w:hAnsi="Arial" w:cs="Arial"/>
                <w:sz w:val="20"/>
                <w:szCs w:val="20"/>
                <w:lang w:val="en-GB"/>
              </w:rPr>
            </w:pPr>
            <w:r w:rsidRPr="003476AC">
              <w:rPr>
                <w:rFonts w:ascii="Arial" w:hAnsi="Arial" w:cs="Arial"/>
                <w:i/>
                <w:iCs/>
                <w:sz w:val="20"/>
                <w:szCs w:val="20"/>
                <w:lang w:val="en-GB"/>
              </w:rPr>
              <w:t>Not applicable</w:t>
            </w:r>
          </w:p>
        </w:tc>
      </w:tr>
      <w:tr w:rsidR="003C1B8B" w:rsidRPr="003C1B8B" w14:paraId="56F8599A" w14:textId="77777777" w:rsidTr="00303F74">
        <w:tc>
          <w:tcPr>
            <w:tcW w:w="1116" w:type="pct"/>
          </w:tcPr>
          <w:p w14:paraId="19CA0C36" w14:textId="77777777" w:rsidR="003C1B8B" w:rsidRPr="003C1B8B" w:rsidRDefault="003C1B8B" w:rsidP="003C1B8B">
            <w:pPr>
              <w:widowControl w:val="0"/>
              <w:spacing w:before="0" w:after="0"/>
              <w:jc w:val="left"/>
              <w:rPr>
                <w:rFonts w:ascii="Arial" w:hAnsi="Arial" w:cs="Arial"/>
                <w:sz w:val="20"/>
                <w:szCs w:val="20"/>
                <w:lang w:val="en-GB"/>
              </w:rPr>
            </w:pPr>
          </w:p>
        </w:tc>
        <w:tc>
          <w:tcPr>
            <w:tcW w:w="124" w:type="pct"/>
            <w:shd w:val="clear" w:color="auto" w:fill="FFFFFF" w:themeFill="background1"/>
          </w:tcPr>
          <w:p w14:paraId="774344B0" w14:textId="77777777" w:rsidR="003C1B8B" w:rsidRPr="003C1B8B" w:rsidRDefault="003C1B8B" w:rsidP="003C1B8B">
            <w:pPr>
              <w:widowControl w:val="0"/>
              <w:spacing w:before="0" w:after="0"/>
              <w:jc w:val="left"/>
              <w:rPr>
                <w:rFonts w:ascii="Arial" w:hAnsi="Arial" w:cs="Arial"/>
                <w:i/>
                <w:color w:val="C00000"/>
                <w:sz w:val="20"/>
                <w:szCs w:val="20"/>
                <w:lang w:val="en-GB"/>
              </w:rPr>
            </w:pPr>
          </w:p>
        </w:tc>
        <w:tc>
          <w:tcPr>
            <w:tcW w:w="3760" w:type="pct"/>
            <w:gridSpan w:val="6"/>
            <w:shd w:val="clear" w:color="auto" w:fill="FBE4D5" w:themeFill="accent2" w:themeFillTint="33"/>
          </w:tcPr>
          <w:p w14:paraId="6AAF024E" w14:textId="77777777" w:rsidR="003C1B8B" w:rsidRPr="003C1B8B" w:rsidRDefault="003C1B8B" w:rsidP="003C1B8B">
            <w:pPr>
              <w:widowControl w:val="0"/>
              <w:spacing w:before="0" w:after="0"/>
              <w:jc w:val="left"/>
              <w:rPr>
                <w:rFonts w:ascii="Arial" w:hAnsi="Arial" w:cs="Arial"/>
                <w:sz w:val="22"/>
                <w:szCs w:val="22"/>
                <w:lang w:val="en-GB"/>
              </w:rPr>
            </w:pPr>
          </w:p>
        </w:tc>
      </w:tr>
      <w:tr w:rsidR="003C1B8B" w:rsidRPr="003C1B8B" w14:paraId="38B09DFC" w14:textId="77777777" w:rsidTr="00303F74">
        <w:trPr>
          <w:trHeight w:val="1951"/>
        </w:trPr>
        <w:tc>
          <w:tcPr>
            <w:tcW w:w="1116" w:type="pct"/>
          </w:tcPr>
          <w:p w14:paraId="10925F09" w14:textId="77777777" w:rsidR="003C1B8B" w:rsidRPr="003C1B8B" w:rsidRDefault="003C1B8B" w:rsidP="003C1B8B">
            <w:pPr>
              <w:widowControl w:val="0"/>
              <w:spacing w:before="0" w:after="0"/>
              <w:jc w:val="left"/>
              <w:rPr>
                <w:rFonts w:ascii="Arial" w:hAnsi="Arial" w:cs="Arial"/>
                <w:sz w:val="20"/>
                <w:szCs w:val="20"/>
                <w:lang w:val="en-GB"/>
              </w:rPr>
            </w:pPr>
          </w:p>
        </w:tc>
        <w:tc>
          <w:tcPr>
            <w:tcW w:w="124" w:type="pct"/>
            <w:shd w:val="clear" w:color="auto" w:fill="FFFFFF" w:themeFill="background1"/>
          </w:tcPr>
          <w:p w14:paraId="5A5499EF" w14:textId="77777777" w:rsidR="003C1B8B" w:rsidRPr="003C1B8B" w:rsidRDefault="003C1B8B" w:rsidP="003C1B8B">
            <w:pPr>
              <w:widowControl w:val="0"/>
              <w:spacing w:before="0" w:after="0"/>
              <w:jc w:val="left"/>
              <w:rPr>
                <w:rFonts w:ascii="Arial" w:hAnsi="Arial" w:cs="Arial"/>
                <w:sz w:val="20"/>
                <w:szCs w:val="20"/>
                <w:lang w:val="en-GB"/>
              </w:rPr>
            </w:pPr>
          </w:p>
        </w:tc>
        <w:tc>
          <w:tcPr>
            <w:tcW w:w="3760" w:type="pct"/>
            <w:gridSpan w:val="6"/>
            <w:shd w:val="clear" w:color="auto" w:fill="FBE4D5" w:themeFill="accent2" w:themeFillTint="33"/>
          </w:tcPr>
          <w:p w14:paraId="7AA25278" w14:textId="77777777" w:rsidR="003C1B8B" w:rsidRPr="003476AC" w:rsidRDefault="003C1B8B" w:rsidP="003C1B8B">
            <w:pPr>
              <w:spacing w:before="0" w:after="0" w:line="268" w:lineRule="auto"/>
              <w:ind w:left="100" w:right="98"/>
              <w:rPr>
                <w:rFonts w:ascii="Arial" w:hAnsi="Arial" w:cs="Arial"/>
                <w:i/>
                <w:color w:val="000000"/>
                <w:sz w:val="20"/>
                <w:szCs w:val="20"/>
                <w:lang w:val="en-GB"/>
              </w:rPr>
            </w:pPr>
            <w:r w:rsidRPr="003476AC">
              <w:rPr>
                <w:rFonts w:ascii="Arial" w:hAnsi="Arial" w:cs="Arial"/>
                <w:i/>
                <w:color w:val="000000"/>
                <w:sz w:val="20"/>
                <w:szCs w:val="20"/>
                <w:lang w:val="en-GB"/>
              </w:rPr>
              <w:t>The EU Taxonomy sets out a "do no significant harm" principle by which Taxonomy-aligned investments should not significantly harm EU Taxonomy objectives and is accompanied by specific EU criteria.</w:t>
            </w:r>
          </w:p>
          <w:p w14:paraId="4042ADF8" w14:textId="77777777" w:rsidR="003C1B8B" w:rsidRPr="003476AC" w:rsidRDefault="003C1B8B" w:rsidP="003C1B8B">
            <w:pPr>
              <w:widowControl w:val="0"/>
              <w:autoSpaceDE w:val="0"/>
              <w:autoSpaceDN w:val="0"/>
              <w:spacing w:before="7" w:after="0"/>
              <w:jc w:val="left"/>
              <w:rPr>
                <w:rFonts w:ascii="Arial" w:eastAsia="Arial" w:hAnsi="Arial" w:cs="Arial"/>
                <w:i/>
                <w:color w:val="000000"/>
                <w:sz w:val="20"/>
                <w:szCs w:val="20"/>
                <w:lang w:val="en-US"/>
              </w:rPr>
            </w:pPr>
          </w:p>
          <w:p w14:paraId="5918DDFB" w14:textId="77777777" w:rsidR="003C1B8B" w:rsidRPr="003476AC" w:rsidRDefault="003C1B8B" w:rsidP="003C1B8B">
            <w:pPr>
              <w:widowControl w:val="0"/>
              <w:autoSpaceDE w:val="0"/>
              <w:autoSpaceDN w:val="0"/>
              <w:spacing w:before="0" w:after="0" w:line="268" w:lineRule="auto"/>
              <w:ind w:left="100" w:right="98"/>
              <w:rPr>
                <w:rFonts w:ascii="Arial" w:eastAsia="Arial" w:hAnsi="Arial" w:cs="Arial"/>
                <w:color w:val="000000"/>
                <w:sz w:val="20"/>
                <w:szCs w:val="20"/>
                <w:lang w:val="en-US"/>
              </w:rPr>
            </w:pPr>
            <w:r w:rsidRPr="003476AC">
              <w:rPr>
                <w:rFonts w:ascii="Arial" w:eastAsia="Arial" w:hAnsi="Arial" w:cs="Arial"/>
                <w:color w:val="000000"/>
                <w:sz w:val="20"/>
                <w:szCs w:val="20"/>
                <w:lang w:val="en-US"/>
              </w:rPr>
              <w:t>The "do no significant harm" principle applies only to those investments underlying the financial</w:t>
            </w:r>
            <w:r w:rsidRPr="003476AC">
              <w:rPr>
                <w:rFonts w:ascii="Arial" w:eastAsia="Arial" w:hAnsi="Arial" w:cs="Arial"/>
                <w:color w:val="000000"/>
                <w:spacing w:val="-1"/>
                <w:sz w:val="20"/>
                <w:szCs w:val="20"/>
                <w:lang w:val="en-US"/>
              </w:rPr>
              <w:t xml:space="preserve"> </w:t>
            </w:r>
            <w:r w:rsidRPr="003476AC">
              <w:rPr>
                <w:rFonts w:ascii="Arial" w:eastAsia="Arial" w:hAnsi="Arial" w:cs="Arial"/>
                <w:color w:val="000000"/>
                <w:sz w:val="20"/>
                <w:szCs w:val="20"/>
                <w:lang w:val="en-US"/>
              </w:rPr>
              <w:t>product</w:t>
            </w:r>
            <w:r w:rsidRPr="003476AC">
              <w:rPr>
                <w:rFonts w:ascii="Arial" w:eastAsia="Arial" w:hAnsi="Arial" w:cs="Arial"/>
                <w:color w:val="000000"/>
                <w:spacing w:val="-2"/>
                <w:sz w:val="20"/>
                <w:szCs w:val="20"/>
                <w:lang w:val="en-US"/>
              </w:rPr>
              <w:t xml:space="preserve"> </w:t>
            </w:r>
            <w:r w:rsidRPr="003476AC">
              <w:rPr>
                <w:rFonts w:ascii="Arial" w:eastAsia="Arial" w:hAnsi="Arial" w:cs="Arial"/>
                <w:color w:val="000000"/>
                <w:sz w:val="20"/>
                <w:szCs w:val="20"/>
                <w:lang w:val="en-US"/>
              </w:rPr>
              <w:t>that</w:t>
            </w:r>
            <w:r w:rsidRPr="003476AC">
              <w:rPr>
                <w:rFonts w:ascii="Arial" w:eastAsia="Arial" w:hAnsi="Arial" w:cs="Arial"/>
                <w:color w:val="000000"/>
                <w:spacing w:val="-1"/>
                <w:sz w:val="20"/>
                <w:szCs w:val="20"/>
                <w:lang w:val="en-US"/>
              </w:rPr>
              <w:t xml:space="preserve"> </w:t>
            </w:r>
            <w:r w:rsidRPr="003476AC">
              <w:rPr>
                <w:rFonts w:ascii="Arial" w:eastAsia="Arial" w:hAnsi="Arial" w:cs="Arial"/>
                <w:color w:val="000000"/>
                <w:sz w:val="20"/>
                <w:szCs w:val="20"/>
                <w:lang w:val="en-US"/>
              </w:rPr>
              <w:t>take</w:t>
            </w:r>
            <w:r w:rsidRPr="003476AC">
              <w:rPr>
                <w:rFonts w:ascii="Arial" w:eastAsia="Arial" w:hAnsi="Arial" w:cs="Arial"/>
                <w:color w:val="000000"/>
                <w:spacing w:val="-1"/>
                <w:sz w:val="20"/>
                <w:szCs w:val="20"/>
                <w:lang w:val="en-US"/>
              </w:rPr>
              <w:t xml:space="preserve"> </w:t>
            </w:r>
            <w:r w:rsidRPr="003476AC">
              <w:rPr>
                <w:rFonts w:ascii="Arial" w:eastAsia="Arial" w:hAnsi="Arial" w:cs="Arial"/>
                <w:color w:val="000000"/>
                <w:sz w:val="20"/>
                <w:szCs w:val="20"/>
                <w:lang w:val="en-US"/>
              </w:rPr>
              <w:t>into</w:t>
            </w:r>
            <w:r w:rsidRPr="003476AC">
              <w:rPr>
                <w:rFonts w:ascii="Arial" w:eastAsia="Arial" w:hAnsi="Arial" w:cs="Arial"/>
                <w:color w:val="000000"/>
                <w:spacing w:val="-2"/>
                <w:sz w:val="20"/>
                <w:szCs w:val="20"/>
                <w:lang w:val="en-US"/>
              </w:rPr>
              <w:t xml:space="preserve"> </w:t>
            </w:r>
            <w:r w:rsidRPr="003476AC">
              <w:rPr>
                <w:rFonts w:ascii="Arial" w:eastAsia="Arial" w:hAnsi="Arial" w:cs="Arial"/>
                <w:color w:val="000000"/>
                <w:sz w:val="20"/>
                <w:szCs w:val="20"/>
                <w:lang w:val="en-US"/>
              </w:rPr>
              <w:t>account</w:t>
            </w:r>
            <w:r w:rsidRPr="003476AC">
              <w:rPr>
                <w:rFonts w:ascii="Arial" w:eastAsia="Arial" w:hAnsi="Arial" w:cs="Arial"/>
                <w:color w:val="000000"/>
                <w:spacing w:val="-2"/>
                <w:sz w:val="20"/>
                <w:szCs w:val="20"/>
                <w:lang w:val="en-US"/>
              </w:rPr>
              <w:t xml:space="preserve"> </w:t>
            </w:r>
            <w:r w:rsidRPr="003476AC">
              <w:rPr>
                <w:rFonts w:ascii="Arial" w:eastAsia="Arial" w:hAnsi="Arial" w:cs="Arial"/>
                <w:color w:val="000000"/>
                <w:sz w:val="20"/>
                <w:szCs w:val="20"/>
                <w:lang w:val="en-US"/>
              </w:rPr>
              <w:t>the</w:t>
            </w:r>
            <w:r w:rsidRPr="003476AC">
              <w:rPr>
                <w:rFonts w:ascii="Arial" w:eastAsia="Arial" w:hAnsi="Arial" w:cs="Arial"/>
                <w:color w:val="000000"/>
                <w:spacing w:val="-1"/>
                <w:sz w:val="20"/>
                <w:szCs w:val="20"/>
                <w:lang w:val="en-US"/>
              </w:rPr>
              <w:t xml:space="preserve"> </w:t>
            </w:r>
            <w:r w:rsidRPr="003476AC">
              <w:rPr>
                <w:rFonts w:ascii="Arial" w:eastAsia="Arial" w:hAnsi="Arial" w:cs="Arial"/>
                <w:color w:val="000000"/>
                <w:sz w:val="20"/>
                <w:szCs w:val="20"/>
                <w:lang w:val="en-US"/>
              </w:rPr>
              <w:t>EU</w:t>
            </w:r>
            <w:r w:rsidRPr="003476AC">
              <w:rPr>
                <w:rFonts w:ascii="Arial" w:eastAsia="Arial" w:hAnsi="Arial" w:cs="Arial"/>
                <w:color w:val="000000"/>
                <w:spacing w:val="-1"/>
                <w:sz w:val="20"/>
                <w:szCs w:val="20"/>
                <w:lang w:val="en-US"/>
              </w:rPr>
              <w:t xml:space="preserve"> </w:t>
            </w:r>
            <w:r w:rsidRPr="003476AC">
              <w:rPr>
                <w:rFonts w:ascii="Arial" w:eastAsia="Arial" w:hAnsi="Arial" w:cs="Arial"/>
                <w:color w:val="000000"/>
                <w:sz w:val="20"/>
                <w:szCs w:val="20"/>
                <w:lang w:val="en-US"/>
              </w:rPr>
              <w:t>criteria</w:t>
            </w:r>
            <w:r w:rsidRPr="003476AC">
              <w:rPr>
                <w:rFonts w:ascii="Arial" w:eastAsia="Arial" w:hAnsi="Arial" w:cs="Arial"/>
                <w:color w:val="000000"/>
                <w:spacing w:val="-2"/>
                <w:sz w:val="20"/>
                <w:szCs w:val="20"/>
                <w:lang w:val="en-US"/>
              </w:rPr>
              <w:t xml:space="preserve"> </w:t>
            </w:r>
            <w:r w:rsidRPr="003476AC">
              <w:rPr>
                <w:rFonts w:ascii="Arial" w:eastAsia="Arial" w:hAnsi="Arial" w:cs="Arial"/>
                <w:color w:val="000000"/>
                <w:sz w:val="20"/>
                <w:szCs w:val="20"/>
                <w:lang w:val="en-US"/>
              </w:rPr>
              <w:t>for</w:t>
            </w:r>
            <w:r w:rsidRPr="003476AC">
              <w:rPr>
                <w:rFonts w:ascii="Arial" w:eastAsia="Arial" w:hAnsi="Arial" w:cs="Arial"/>
                <w:color w:val="000000"/>
                <w:spacing w:val="-2"/>
                <w:sz w:val="20"/>
                <w:szCs w:val="20"/>
                <w:lang w:val="en-US"/>
              </w:rPr>
              <w:t xml:space="preserve"> </w:t>
            </w:r>
            <w:r w:rsidRPr="003476AC">
              <w:rPr>
                <w:rFonts w:ascii="Arial" w:eastAsia="Arial" w:hAnsi="Arial" w:cs="Arial"/>
                <w:color w:val="000000"/>
                <w:sz w:val="20"/>
                <w:szCs w:val="20"/>
                <w:lang w:val="en-US"/>
              </w:rPr>
              <w:t>environmentally</w:t>
            </w:r>
            <w:r w:rsidRPr="003476AC">
              <w:rPr>
                <w:rFonts w:ascii="Arial" w:eastAsia="Arial" w:hAnsi="Arial" w:cs="Arial"/>
                <w:color w:val="000000"/>
                <w:spacing w:val="-2"/>
                <w:sz w:val="20"/>
                <w:szCs w:val="20"/>
                <w:lang w:val="en-US"/>
              </w:rPr>
              <w:t xml:space="preserve"> </w:t>
            </w:r>
            <w:r w:rsidRPr="003476AC">
              <w:rPr>
                <w:rFonts w:ascii="Arial" w:eastAsia="Arial" w:hAnsi="Arial" w:cs="Arial"/>
                <w:color w:val="000000"/>
                <w:sz w:val="20"/>
                <w:szCs w:val="20"/>
                <w:lang w:val="en-US"/>
              </w:rPr>
              <w:t>sustainable</w:t>
            </w:r>
            <w:r w:rsidRPr="003476AC">
              <w:rPr>
                <w:rFonts w:ascii="Arial" w:eastAsia="Arial" w:hAnsi="Arial" w:cs="Arial"/>
                <w:color w:val="000000"/>
                <w:spacing w:val="-2"/>
                <w:sz w:val="20"/>
                <w:szCs w:val="20"/>
                <w:lang w:val="en-US"/>
              </w:rPr>
              <w:t xml:space="preserve"> </w:t>
            </w:r>
            <w:r w:rsidRPr="003476AC">
              <w:rPr>
                <w:rFonts w:ascii="Arial" w:eastAsia="Arial" w:hAnsi="Arial" w:cs="Arial"/>
                <w:color w:val="000000"/>
                <w:sz w:val="20"/>
                <w:szCs w:val="20"/>
                <w:lang w:val="en-US"/>
              </w:rPr>
              <w:t>economic activities. The investments underlying the remaining portion of this financial product do not take into account the EU criteria for environmentally sustainable economic activities.</w:t>
            </w:r>
          </w:p>
          <w:p w14:paraId="2A08CCB0" w14:textId="77777777" w:rsidR="003C1B8B" w:rsidRPr="003476AC" w:rsidRDefault="003C1B8B" w:rsidP="003C1B8B">
            <w:pPr>
              <w:widowControl w:val="0"/>
              <w:autoSpaceDE w:val="0"/>
              <w:autoSpaceDN w:val="0"/>
              <w:spacing w:before="8" w:after="0"/>
              <w:jc w:val="left"/>
              <w:rPr>
                <w:rFonts w:ascii="Arial" w:eastAsia="Arial" w:hAnsi="Arial" w:cs="Arial"/>
                <w:color w:val="000000"/>
                <w:sz w:val="20"/>
                <w:szCs w:val="20"/>
                <w:lang w:val="en-US"/>
              </w:rPr>
            </w:pPr>
          </w:p>
          <w:p w14:paraId="2EA141FF" w14:textId="77777777" w:rsidR="003C1B8B" w:rsidRPr="003476AC" w:rsidRDefault="003C1B8B" w:rsidP="003C1B8B">
            <w:pPr>
              <w:spacing w:before="0" w:after="0" w:line="268" w:lineRule="auto"/>
              <w:ind w:left="100" w:right="97"/>
              <w:rPr>
                <w:rFonts w:ascii="Arial" w:hAnsi="Arial" w:cs="Arial"/>
                <w:i/>
                <w:color w:val="000000"/>
                <w:sz w:val="20"/>
                <w:szCs w:val="20"/>
                <w:lang w:val="en-GB"/>
              </w:rPr>
            </w:pPr>
            <w:r w:rsidRPr="003476AC">
              <w:rPr>
                <w:rFonts w:ascii="Arial" w:hAnsi="Arial" w:cs="Arial"/>
                <w:i/>
                <w:color w:val="000000"/>
                <w:sz w:val="20"/>
                <w:szCs w:val="20"/>
                <w:lang w:val="en-GB"/>
              </w:rPr>
              <w:t xml:space="preserve">Any other sustainable investments must also not significantly harm any environmental or social </w:t>
            </w:r>
            <w:r w:rsidRPr="003476AC">
              <w:rPr>
                <w:rFonts w:ascii="Arial" w:hAnsi="Arial" w:cs="Arial"/>
                <w:i/>
                <w:color w:val="000000"/>
                <w:spacing w:val="-2"/>
                <w:sz w:val="20"/>
                <w:szCs w:val="20"/>
                <w:lang w:val="en-GB"/>
              </w:rPr>
              <w:t>objectives.</w:t>
            </w:r>
          </w:p>
          <w:p w14:paraId="7B6DA71B" w14:textId="77777777" w:rsidR="003C1B8B" w:rsidRPr="003476AC" w:rsidRDefault="003C1B8B" w:rsidP="003C1B8B">
            <w:pPr>
              <w:widowControl w:val="0"/>
              <w:spacing w:before="0" w:after="0"/>
              <w:jc w:val="left"/>
              <w:rPr>
                <w:rFonts w:ascii="Arial" w:hAnsi="Arial" w:cs="Arial"/>
                <w:sz w:val="20"/>
                <w:szCs w:val="20"/>
                <w:lang w:val="en-GB"/>
              </w:rPr>
            </w:pPr>
          </w:p>
        </w:tc>
      </w:tr>
      <w:tr w:rsidR="003C1B8B" w:rsidRPr="003C1B8B" w14:paraId="098F401C" w14:textId="77777777" w:rsidTr="00303F74">
        <w:trPr>
          <w:trHeight w:val="605"/>
        </w:trPr>
        <w:tc>
          <w:tcPr>
            <w:tcW w:w="1116" w:type="pct"/>
          </w:tcPr>
          <w:p w14:paraId="6AA9AB07" w14:textId="77777777" w:rsidR="003C1B8B" w:rsidRPr="003C1B8B" w:rsidRDefault="003C1B8B" w:rsidP="003C1B8B">
            <w:pPr>
              <w:widowControl w:val="0"/>
              <w:spacing w:before="0" w:after="0"/>
              <w:jc w:val="left"/>
              <w:rPr>
                <w:rFonts w:ascii="Arial" w:hAnsi="Arial" w:cs="Arial"/>
                <w:sz w:val="20"/>
                <w:szCs w:val="20"/>
                <w:lang w:val="en-GB"/>
              </w:rPr>
            </w:pPr>
            <w:r w:rsidRPr="003C1B8B">
              <w:rPr>
                <w:rFonts w:ascii="Calibri" w:hAnsi="Calibri"/>
                <w:noProof/>
                <w:sz w:val="22"/>
                <w:szCs w:val="24"/>
                <w:lang w:val="en-GB"/>
              </w:rPr>
              <w:drawing>
                <wp:anchor distT="0" distB="0" distL="114300" distR="114300" simplePos="0" relativeHeight="251665408" behindDoc="0" locked="0" layoutInCell="1" allowOverlap="1" wp14:anchorId="40A0BE35" wp14:editId="71ADD789">
                  <wp:simplePos x="0" y="0"/>
                  <wp:positionH relativeFrom="page">
                    <wp:posOffset>4801</wp:posOffset>
                  </wp:positionH>
                  <wp:positionV relativeFrom="page">
                    <wp:posOffset>14935</wp:posOffset>
                  </wp:positionV>
                  <wp:extent cx="1374775" cy="483235"/>
                  <wp:effectExtent l="0" t="0" r="0" b="0"/>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374775" cy="483235"/>
                          </a:xfrm>
                          <a:prstGeom prst="rect">
                            <a:avLst/>
                          </a:prstGeom>
                        </pic:spPr>
                      </pic:pic>
                    </a:graphicData>
                  </a:graphic>
                  <wp14:sizeRelH relativeFrom="margin">
                    <wp14:pctWidth>0</wp14:pctWidth>
                  </wp14:sizeRelH>
                  <wp14:sizeRelV relativeFrom="margin">
                    <wp14:pctHeight>0</wp14:pctHeight>
                  </wp14:sizeRelV>
                </wp:anchor>
              </w:drawing>
            </w:r>
          </w:p>
        </w:tc>
        <w:tc>
          <w:tcPr>
            <w:tcW w:w="124" w:type="pct"/>
            <w:shd w:val="clear" w:color="auto" w:fill="FFFFFF" w:themeFill="background1"/>
          </w:tcPr>
          <w:p w14:paraId="0A132D9F" w14:textId="77777777" w:rsidR="003C1B8B" w:rsidRPr="003C1B8B" w:rsidRDefault="003C1B8B" w:rsidP="003C1B8B">
            <w:pPr>
              <w:widowControl w:val="0"/>
              <w:spacing w:before="0" w:after="0"/>
              <w:jc w:val="left"/>
              <w:rPr>
                <w:rFonts w:ascii="Arial" w:hAnsi="Arial" w:cs="Arial"/>
                <w:bCs/>
                <w:sz w:val="20"/>
                <w:szCs w:val="20"/>
                <w:lang w:val="en-GB"/>
              </w:rPr>
            </w:pPr>
          </w:p>
        </w:tc>
        <w:tc>
          <w:tcPr>
            <w:tcW w:w="3760" w:type="pct"/>
            <w:gridSpan w:val="6"/>
            <w:shd w:val="clear" w:color="auto" w:fill="auto"/>
          </w:tcPr>
          <w:p w14:paraId="1CC9ECD4" w14:textId="77777777" w:rsidR="003C1B8B" w:rsidRPr="003476AC" w:rsidRDefault="003C1B8B" w:rsidP="003C1B8B">
            <w:pPr>
              <w:widowControl w:val="0"/>
              <w:spacing w:before="0" w:after="0"/>
              <w:jc w:val="left"/>
              <w:rPr>
                <w:rFonts w:ascii="Arial" w:hAnsi="Arial" w:cs="Arial"/>
                <w:b/>
                <w:sz w:val="20"/>
                <w:szCs w:val="20"/>
                <w:highlight w:val="yellow"/>
                <w:lang w:val="en-GB"/>
              </w:rPr>
            </w:pPr>
            <w:r w:rsidRPr="003476AC">
              <w:rPr>
                <w:rFonts w:ascii="Arial" w:hAnsi="Arial" w:cs="Arial"/>
                <w:b/>
                <w:sz w:val="20"/>
                <w:szCs w:val="20"/>
                <w:lang w:val="en-GB"/>
              </w:rPr>
              <w:t>Does this financial product consider principal adverse impacts on sustainability factors?</w:t>
            </w:r>
          </w:p>
        </w:tc>
      </w:tr>
      <w:tr w:rsidR="003C1B8B" w:rsidRPr="003C1B8B" w14:paraId="630D7805" w14:textId="77777777" w:rsidTr="00303F74">
        <w:tc>
          <w:tcPr>
            <w:tcW w:w="1116" w:type="pct"/>
            <w:shd w:val="clear" w:color="auto" w:fill="auto"/>
          </w:tcPr>
          <w:p w14:paraId="579B2366" w14:textId="77777777" w:rsidR="003C1B8B" w:rsidRPr="003C1B8B" w:rsidRDefault="003C1B8B" w:rsidP="003C1B8B">
            <w:pPr>
              <w:widowControl w:val="0"/>
              <w:spacing w:before="0" w:after="0"/>
              <w:jc w:val="left"/>
              <w:rPr>
                <w:rFonts w:ascii="Arial" w:hAnsi="Arial" w:cs="Arial"/>
                <w:sz w:val="20"/>
                <w:szCs w:val="20"/>
                <w:lang w:val="en-GB"/>
              </w:rPr>
            </w:pPr>
          </w:p>
        </w:tc>
        <w:tc>
          <w:tcPr>
            <w:tcW w:w="124" w:type="pct"/>
            <w:shd w:val="clear" w:color="auto" w:fill="FFFFFF" w:themeFill="background1"/>
          </w:tcPr>
          <w:p w14:paraId="75A9E6DA" w14:textId="77777777" w:rsidR="003C1B8B" w:rsidRPr="003C1B8B" w:rsidRDefault="003C1B8B" w:rsidP="003C1B8B">
            <w:pPr>
              <w:widowControl w:val="0"/>
              <w:spacing w:before="0" w:after="0"/>
              <w:jc w:val="left"/>
              <w:rPr>
                <w:rFonts w:ascii="Arial" w:hAnsi="Arial" w:cs="Arial"/>
                <w:sz w:val="20"/>
                <w:szCs w:val="20"/>
                <w:lang w:val="en-GB"/>
              </w:rPr>
            </w:pPr>
          </w:p>
        </w:tc>
        <w:tc>
          <w:tcPr>
            <w:tcW w:w="3760" w:type="pct"/>
            <w:gridSpan w:val="6"/>
          </w:tcPr>
          <w:p w14:paraId="120A417E" w14:textId="77777777" w:rsidR="003C1B8B" w:rsidRPr="003476AC" w:rsidRDefault="00F12B41" w:rsidP="003C1B8B">
            <w:pPr>
              <w:widowControl w:val="0"/>
              <w:spacing w:before="0" w:after="0"/>
              <w:jc w:val="left"/>
              <w:rPr>
                <w:rFonts w:ascii="Arial" w:hAnsi="Arial" w:cs="Arial"/>
                <w:sz w:val="20"/>
                <w:szCs w:val="20"/>
                <w:lang w:val="en-GB"/>
              </w:rPr>
            </w:pPr>
            <w:sdt>
              <w:sdtPr>
                <w:rPr>
                  <w:rFonts w:cs="Arial"/>
                  <w:sz w:val="20"/>
                  <w:szCs w:val="20"/>
                  <w:lang w:val="en-GB"/>
                </w:rPr>
                <w:id w:val="235665448"/>
                <w14:checkbox>
                  <w14:checked w14:val="1"/>
                  <w14:checkedState w14:val="2612" w14:font="MS Gothic"/>
                  <w14:uncheckedState w14:val="2610" w14:font="MS Gothic"/>
                </w14:checkbox>
              </w:sdtPr>
              <w:sdtEndPr/>
              <w:sdtContent>
                <w:r w:rsidR="003C1B8B" w:rsidRPr="003476AC">
                  <w:rPr>
                    <w:rFonts w:ascii="Segoe UI Symbol" w:hAnsi="Segoe UI Symbol" w:cs="Segoe UI Symbol"/>
                    <w:sz w:val="20"/>
                    <w:szCs w:val="20"/>
                    <w:lang w:val="en-GB"/>
                  </w:rPr>
                  <w:t>☒</w:t>
                </w:r>
              </w:sdtContent>
            </w:sdt>
            <w:r w:rsidR="003C1B8B" w:rsidRPr="003476AC">
              <w:rPr>
                <w:rFonts w:ascii="Arial" w:hAnsi="Arial" w:cs="Arial"/>
                <w:sz w:val="20"/>
                <w:szCs w:val="20"/>
                <w:lang w:val="en-GB"/>
              </w:rPr>
              <w:t xml:space="preserve">Yes, </w:t>
            </w:r>
            <w:r w:rsidR="003C1B8B" w:rsidRPr="003476AC">
              <w:rPr>
                <w:rFonts w:ascii="Arial" w:hAnsi="Arial" w:cs="Arial"/>
                <w:color w:val="0070C0"/>
                <w:sz w:val="20"/>
                <w:szCs w:val="20"/>
                <w:lang w:val="en-GB"/>
              </w:rPr>
              <w:t xml:space="preserve"> </w:t>
            </w:r>
          </w:p>
          <w:p w14:paraId="2E7F41D6" w14:textId="77777777" w:rsidR="003C1B8B" w:rsidRPr="003476AC" w:rsidRDefault="003C1B8B" w:rsidP="003C1B8B">
            <w:pPr>
              <w:widowControl w:val="0"/>
              <w:spacing w:before="0" w:after="0"/>
              <w:jc w:val="left"/>
              <w:rPr>
                <w:rFonts w:ascii="Arial" w:hAnsi="Arial" w:cs="Arial"/>
                <w:i/>
                <w:iCs/>
                <w:color w:val="C00000"/>
                <w:sz w:val="20"/>
                <w:szCs w:val="20"/>
                <w:lang w:val="en-GB"/>
              </w:rPr>
            </w:pPr>
          </w:p>
        </w:tc>
      </w:tr>
      <w:tr w:rsidR="003C1B8B" w:rsidRPr="003C1B8B" w14:paraId="19F9FF99" w14:textId="77777777" w:rsidTr="00303F74">
        <w:tc>
          <w:tcPr>
            <w:tcW w:w="1116" w:type="pct"/>
            <w:shd w:val="clear" w:color="auto" w:fill="auto"/>
          </w:tcPr>
          <w:p w14:paraId="16C24A62" w14:textId="77777777" w:rsidR="003C1B8B" w:rsidRPr="003C1B8B" w:rsidRDefault="003C1B8B" w:rsidP="003C1B8B">
            <w:pPr>
              <w:widowControl w:val="0"/>
              <w:spacing w:before="0" w:after="0"/>
              <w:jc w:val="left"/>
              <w:rPr>
                <w:rFonts w:ascii="Arial" w:hAnsi="Arial" w:cs="Arial"/>
                <w:sz w:val="20"/>
                <w:szCs w:val="20"/>
                <w:lang w:val="en-GB"/>
              </w:rPr>
            </w:pPr>
          </w:p>
        </w:tc>
        <w:tc>
          <w:tcPr>
            <w:tcW w:w="124" w:type="pct"/>
            <w:shd w:val="clear" w:color="auto" w:fill="FFFFFF" w:themeFill="background1"/>
          </w:tcPr>
          <w:p w14:paraId="36AC6107" w14:textId="77777777" w:rsidR="003C1B8B" w:rsidRPr="003C1B8B" w:rsidRDefault="003C1B8B" w:rsidP="003C1B8B">
            <w:pPr>
              <w:widowControl w:val="0"/>
              <w:spacing w:before="0" w:after="0"/>
              <w:jc w:val="left"/>
              <w:rPr>
                <w:rFonts w:ascii="Arial" w:hAnsi="Arial" w:cs="Arial"/>
                <w:sz w:val="20"/>
                <w:szCs w:val="20"/>
                <w:lang w:val="en-GB"/>
              </w:rPr>
            </w:pPr>
          </w:p>
        </w:tc>
        <w:tc>
          <w:tcPr>
            <w:tcW w:w="3760" w:type="pct"/>
            <w:gridSpan w:val="6"/>
          </w:tcPr>
          <w:p w14:paraId="0E1311B4" w14:textId="77777777" w:rsidR="003C1B8B" w:rsidRPr="003476AC" w:rsidRDefault="003C1B8B" w:rsidP="003C1B8B">
            <w:pPr>
              <w:autoSpaceDE w:val="0"/>
              <w:autoSpaceDN w:val="0"/>
              <w:spacing w:before="0" w:after="0"/>
              <w:rPr>
                <w:rFonts w:ascii="Arial" w:hAnsi="Arial" w:cs="Arial"/>
                <w:sz w:val="20"/>
                <w:szCs w:val="20"/>
                <w:lang w:val="en-GB" w:eastAsia="en-GB"/>
              </w:rPr>
            </w:pPr>
            <w:r w:rsidRPr="003476AC">
              <w:rPr>
                <w:rFonts w:ascii="Arial" w:hAnsi="Arial" w:cs="Arial"/>
                <w:sz w:val="20"/>
                <w:szCs w:val="20"/>
                <w:lang w:val="en-GB" w:eastAsia="en-GB"/>
              </w:rPr>
              <w:t>The Investment Manager in the management of the Fund considers principal adverse impacts on sustainability factors for the Fund, by assessing and monitoring the mandatory principal adverse impact indicators ("PAI") referenced in Annex 1 of the delegated regulation (EU) 2022/1288 for investee companies and sovereign debt investments.</w:t>
            </w:r>
          </w:p>
          <w:p w14:paraId="0C9AD6CC" w14:textId="77777777" w:rsidR="003C1B8B" w:rsidRPr="003476AC" w:rsidRDefault="003C1B8B" w:rsidP="003C1B8B">
            <w:pPr>
              <w:autoSpaceDE w:val="0"/>
              <w:autoSpaceDN w:val="0"/>
              <w:spacing w:before="0" w:after="0"/>
              <w:rPr>
                <w:rFonts w:ascii="Arial" w:hAnsi="Arial" w:cs="Arial"/>
                <w:sz w:val="20"/>
                <w:szCs w:val="20"/>
                <w:lang w:val="en-GB" w:eastAsia="en-GB"/>
              </w:rPr>
            </w:pPr>
          </w:p>
          <w:p w14:paraId="2B2F10A0" w14:textId="77777777" w:rsidR="003C1B8B" w:rsidRPr="003476AC" w:rsidRDefault="003C1B8B" w:rsidP="003C1B8B">
            <w:pPr>
              <w:autoSpaceDE w:val="0"/>
              <w:autoSpaceDN w:val="0"/>
              <w:spacing w:before="0" w:after="0"/>
              <w:rPr>
                <w:rFonts w:ascii="Arial" w:hAnsi="Arial" w:cs="Arial"/>
                <w:sz w:val="20"/>
                <w:szCs w:val="20"/>
                <w:lang w:val="en-GB" w:eastAsia="en-GB"/>
              </w:rPr>
            </w:pPr>
            <w:r w:rsidRPr="003476AC">
              <w:rPr>
                <w:rFonts w:ascii="Arial" w:hAnsi="Arial" w:cs="Arial"/>
                <w:sz w:val="20"/>
                <w:szCs w:val="20"/>
                <w:lang w:val="en-GB" w:eastAsia="en-GB"/>
              </w:rPr>
              <w:t xml:space="preserve">Investee companies or government issuers identified as outliers on specific indicators, or which exhibit high adverse impact across several indicators, are identified based on data acquired from third-party providers and / or internal analysis. They are subject to further analysis and if sufficient understanding and resolution on the issue is not achieved, the ESG risk profile the company or government is raised, which may ultimately lead to a decision to liquidate the position. </w:t>
            </w:r>
          </w:p>
          <w:p w14:paraId="479D8CA9" w14:textId="77777777" w:rsidR="003C1B8B" w:rsidRPr="003476AC" w:rsidRDefault="003C1B8B" w:rsidP="003C1B8B">
            <w:pPr>
              <w:autoSpaceDE w:val="0"/>
              <w:autoSpaceDN w:val="0"/>
              <w:spacing w:before="0" w:after="0"/>
              <w:rPr>
                <w:rFonts w:ascii="Arial" w:hAnsi="Arial" w:cs="Arial"/>
                <w:sz w:val="20"/>
                <w:szCs w:val="20"/>
                <w:lang w:val="en-GB" w:eastAsia="en-GB"/>
              </w:rPr>
            </w:pPr>
          </w:p>
          <w:p w14:paraId="022A14A0" w14:textId="77777777" w:rsidR="003C1B8B" w:rsidRPr="003476AC" w:rsidRDefault="003C1B8B" w:rsidP="003C1B8B">
            <w:pPr>
              <w:autoSpaceDE w:val="0"/>
              <w:autoSpaceDN w:val="0"/>
              <w:spacing w:before="0" w:after="0"/>
              <w:rPr>
                <w:rFonts w:ascii="Arial" w:hAnsi="Arial" w:cs="Arial"/>
                <w:sz w:val="20"/>
                <w:szCs w:val="20"/>
                <w:lang w:val="en-GB" w:eastAsia="en-GB"/>
              </w:rPr>
            </w:pPr>
            <w:r w:rsidRPr="003476AC">
              <w:rPr>
                <w:rFonts w:ascii="Arial" w:hAnsi="Arial" w:cs="Arial"/>
                <w:sz w:val="20"/>
                <w:szCs w:val="20"/>
                <w:lang w:val="en-GB" w:eastAsia="en-GB"/>
              </w:rPr>
              <w:t xml:space="preserve">The PAIs identified are subject to a formal monthly review. </w:t>
            </w:r>
          </w:p>
          <w:p w14:paraId="236600D0" w14:textId="77777777" w:rsidR="003C1B8B" w:rsidRPr="003476AC" w:rsidRDefault="003C1B8B" w:rsidP="003C1B8B">
            <w:pPr>
              <w:autoSpaceDE w:val="0"/>
              <w:autoSpaceDN w:val="0"/>
              <w:spacing w:before="0" w:after="0"/>
              <w:rPr>
                <w:rFonts w:ascii="Arial" w:hAnsi="Arial" w:cs="Arial"/>
                <w:sz w:val="20"/>
                <w:szCs w:val="20"/>
                <w:lang w:val="en-GB" w:eastAsia="en-GB"/>
              </w:rPr>
            </w:pPr>
          </w:p>
          <w:p w14:paraId="1B39F85E" w14:textId="77777777" w:rsidR="003C1B8B" w:rsidRPr="003476AC" w:rsidRDefault="003C1B8B" w:rsidP="003C1B8B">
            <w:pPr>
              <w:widowControl w:val="0"/>
              <w:tabs>
                <w:tab w:val="left" w:pos="1210"/>
              </w:tabs>
              <w:spacing w:before="0" w:after="0"/>
              <w:rPr>
                <w:rFonts w:ascii="Arial" w:hAnsi="Arial" w:cs="Arial"/>
                <w:sz w:val="20"/>
                <w:szCs w:val="20"/>
                <w:lang w:val="en-GB"/>
              </w:rPr>
            </w:pPr>
            <w:r w:rsidRPr="003476AC">
              <w:rPr>
                <w:rFonts w:ascii="Arial" w:hAnsi="Arial" w:cs="Arial"/>
                <w:sz w:val="20"/>
                <w:szCs w:val="20"/>
                <w:lang w:val="en-GB"/>
              </w:rPr>
              <w:t>Further detail on principal adverse impacts on sustainability factors will be available in the financial statements.</w:t>
            </w:r>
          </w:p>
        </w:tc>
      </w:tr>
      <w:tr w:rsidR="003C1B8B" w:rsidRPr="003C1B8B" w14:paraId="3E6D65EC" w14:textId="77777777" w:rsidTr="00303F74">
        <w:trPr>
          <w:trHeight w:val="882"/>
        </w:trPr>
        <w:tc>
          <w:tcPr>
            <w:tcW w:w="1116" w:type="pct"/>
            <w:shd w:val="clear" w:color="auto" w:fill="auto"/>
          </w:tcPr>
          <w:p w14:paraId="26CF5511" w14:textId="77777777" w:rsidR="003C1B8B" w:rsidRPr="003C1B8B" w:rsidRDefault="003C1B8B" w:rsidP="003C1B8B">
            <w:pPr>
              <w:widowControl w:val="0"/>
              <w:spacing w:before="0" w:after="0"/>
              <w:jc w:val="left"/>
              <w:rPr>
                <w:rFonts w:ascii="Arial" w:hAnsi="Arial" w:cs="Arial"/>
                <w:sz w:val="20"/>
                <w:szCs w:val="20"/>
                <w:lang w:val="en-GB"/>
              </w:rPr>
            </w:pPr>
          </w:p>
        </w:tc>
        <w:tc>
          <w:tcPr>
            <w:tcW w:w="124" w:type="pct"/>
            <w:shd w:val="clear" w:color="auto" w:fill="FFFFFF" w:themeFill="background1"/>
          </w:tcPr>
          <w:p w14:paraId="7AFF47C3" w14:textId="77777777" w:rsidR="003C1B8B" w:rsidRPr="003C1B8B" w:rsidRDefault="003C1B8B" w:rsidP="003C1B8B">
            <w:pPr>
              <w:widowControl w:val="0"/>
              <w:spacing w:before="0" w:after="0"/>
              <w:jc w:val="left"/>
              <w:rPr>
                <w:rFonts w:ascii="Arial" w:hAnsi="Arial" w:cs="Arial"/>
                <w:sz w:val="20"/>
                <w:szCs w:val="20"/>
                <w:lang w:val="en-GB"/>
              </w:rPr>
            </w:pPr>
          </w:p>
        </w:tc>
        <w:tc>
          <w:tcPr>
            <w:tcW w:w="3760" w:type="pct"/>
            <w:gridSpan w:val="6"/>
          </w:tcPr>
          <w:p w14:paraId="2E70F4D5" w14:textId="77777777" w:rsidR="003C1B8B" w:rsidRPr="003476AC" w:rsidRDefault="00F12B41" w:rsidP="003C1B8B">
            <w:pPr>
              <w:widowControl w:val="0"/>
              <w:spacing w:before="0" w:after="0"/>
              <w:jc w:val="left"/>
              <w:rPr>
                <w:rFonts w:ascii="Arial" w:hAnsi="Arial" w:cs="Arial"/>
                <w:sz w:val="20"/>
                <w:szCs w:val="20"/>
                <w:lang w:val="en-GB"/>
              </w:rPr>
            </w:pPr>
            <w:sdt>
              <w:sdtPr>
                <w:rPr>
                  <w:rFonts w:cs="Arial"/>
                  <w:sz w:val="20"/>
                  <w:szCs w:val="20"/>
                  <w:lang w:val="en-GB"/>
                </w:rPr>
                <w:id w:val="1683248538"/>
                <w14:checkbox>
                  <w14:checked w14:val="0"/>
                  <w14:checkedState w14:val="2612" w14:font="MS Gothic"/>
                  <w14:uncheckedState w14:val="2610" w14:font="MS Gothic"/>
                </w14:checkbox>
              </w:sdtPr>
              <w:sdtEndPr/>
              <w:sdtContent>
                <w:r w:rsidR="003C1B8B" w:rsidRPr="003476AC">
                  <w:rPr>
                    <w:rFonts w:ascii="Segoe UI Symbol" w:hAnsi="Segoe UI Symbol" w:cs="Segoe UI Symbol"/>
                    <w:sz w:val="20"/>
                    <w:szCs w:val="20"/>
                    <w:lang w:val="en-GB"/>
                  </w:rPr>
                  <w:t>☐</w:t>
                </w:r>
              </w:sdtContent>
            </w:sdt>
            <w:r w:rsidR="003C1B8B" w:rsidRPr="003476AC">
              <w:rPr>
                <w:rFonts w:ascii="Arial" w:hAnsi="Arial" w:cs="Arial"/>
                <w:sz w:val="20"/>
                <w:szCs w:val="20"/>
                <w:lang w:val="en-GB"/>
              </w:rPr>
              <w:t>No</w:t>
            </w:r>
          </w:p>
        </w:tc>
      </w:tr>
      <w:tr w:rsidR="003C1B8B" w:rsidRPr="003C1B8B" w14:paraId="4C67FDF7" w14:textId="77777777" w:rsidTr="00303F74">
        <w:trPr>
          <w:trHeight w:val="568"/>
        </w:trPr>
        <w:tc>
          <w:tcPr>
            <w:tcW w:w="1116" w:type="pct"/>
            <w:shd w:val="clear" w:color="auto" w:fill="auto"/>
          </w:tcPr>
          <w:p w14:paraId="05EBE0B6" w14:textId="77777777" w:rsidR="003C1B8B" w:rsidRPr="003C1B8B" w:rsidRDefault="003C1B8B" w:rsidP="003C1B8B">
            <w:pPr>
              <w:widowControl w:val="0"/>
              <w:spacing w:before="0" w:after="0"/>
              <w:jc w:val="left"/>
              <w:rPr>
                <w:rFonts w:ascii="Arial" w:hAnsi="Arial" w:cs="Arial"/>
                <w:sz w:val="20"/>
                <w:szCs w:val="20"/>
                <w:lang w:val="en-GB"/>
              </w:rPr>
            </w:pPr>
            <w:r w:rsidRPr="003C1B8B">
              <w:rPr>
                <w:rFonts w:ascii="Calibri" w:hAnsi="Calibri"/>
                <w:noProof/>
                <w:sz w:val="22"/>
                <w:szCs w:val="24"/>
                <w:lang w:val="en-GB"/>
              </w:rPr>
              <w:drawing>
                <wp:anchor distT="0" distB="0" distL="114300" distR="114300" simplePos="0" relativeHeight="251666432" behindDoc="0" locked="0" layoutInCell="1" allowOverlap="1" wp14:anchorId="35328C45" wp14:editId="6F3C0350">
                  <wp:simplePos x="0" y="0"/>
                  <wp:positionH relativeFrom="page">
                    <wp:posOffset>4445</wp:posOffset>
                  </wp:positionH>
                  <wp:positionV relativeFrom="margin">
                    <wp:posOffset>40640</wp:posOffset>
                  </wp:positionV>
                  <wp:extent cx="1389380" cy="486410"/>
                  <wp:effectExtent l="0" t="0" r="1270" b="8890"/>
                  <wp:wrapSquare wrapText="bothSides"/>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389380" cy="486410"/>
                          </a:xfrm>
                          <a:prstGeom prst="rect">
                            <a:avLst/>
                          </a:prstGeom>
                        </pic:spPr>
                      </pic:pic>
                    </a:graphicData>
                  </a:graphic>
                  <wp14:sizeRelH relativeFrom="margin">
                    <wp14:pctWidth>0</wp14:pctWidth>
                  </wp14:sizeRelH>
                  <wp14:sizeRelV relativeFrom="margin">
                    <wp14:pctHeight>0</wp14:pctHeight>
                  </wp14:sizeRelV>
                </wp:anchor>
              </w:drawing>
            </w:r>
          </w:p>
        </w:tc>
        <w:tc>
          <w:tcPr>
            <w:tcW w:w="124" w:type="pct"/>
            <w:shd w:val="clear" w:color="auto" w:fill="FFFFFF" w:themeFill="background1"/>
          </w:tcPr>
          <w:p w14:paraId="45184EA7" w14:textId="77777777" w:rsidR="003C1B8B" w:rsidRPr="003C1B8B" w:rsidRDefault="003C1B8B" w:rsidP="003C1B8B">
            <w:pPr>
              <w:widowControl w:val="0"/>
              <w:spacing w:before="0" w:after="0"/>
              <w:jc w:val="left"/>
              <w:rPr>
                <w:rFonts w:ascii="Arial" w:hAnsi="Arial" w:cs="Arial"/>
                <w:bCs/>
                <w:sz w:val="20"/>
                <w:szCs w:val="20"/>
                <w:lang w:val="en-GB"/>
              </w:rPr>
            </w:pPr>
          </w:p>
        </w:tc>
        <w:tc>
          <w:tcPr>
            <w:tcW w:w="3760" w:type="pct"/>
            <w:gridSpan w:val="6"/>
          </w:tcPr>
          <w:p w14:paraId="508E40C5" w14:textId="77777777" w:rsidR="003C1B8B" w:rsidRPr="003476AC" w:rsidRDefault="003C1B8B" w:rsidP="003C1B8B">
            <w:pPr>
              <w:widowControl w:val="0"/>
              <w:spacing w:before="0" w:after="0"/>
              <w:jc w:val="left"/>
              <w:rPr>
                <w:rFonts w:ascii="Arial" w:hAnsi="Arial" w:cs="Arial"/>
                <w:b/>
                <w:i/>
                <w:iCs/>
                <w:color w:val="C00000"/>
                <w:spacing w:val="1"/>
                <w:sz w:val="20"/>
                <w:szCs w:val="20"/>
                <w:lang w:val="en-GB"/>
              </w:rPr>
            </w:pPr>
            <w:bookmarkStart w:id="7" w:name="_Hlk117154881"/>
            <w:r w:rsidRPr="003476AC">
              <w:rPr>
                <w:rFonts w:ascii="Arial" w:hAnsi="Arial" w:cs="Arial"/>
                <w:b/>
                <w:sz w:val="20"/>
                <w:szCs w:val="20"/>
                <w:lang w:val="en-GB"/>
              </w:rPr>
              <w:t>What investment strategy does this financial product follow?</w:t>
            </w:r>
          </w:p>
          <w:bookmarkEnd w:id="7"/>
          <w:p w14:paraId="7C57B92D" w14:textId="77777777" w:rsidR="003C1B8B" w:rsidRPr="003476AC" w:rsidRDefault="003C1B8B" w:rsidP="003C1B8B">
            <w:pPr>
              <w:widowControl w:val="0"/>
              <w:spacing w:before="0" w:after="0"/>
              <w:jc w:val="left"/>
              <w:rPr>
                <w:rFonts w:ascii="Arial" w:hAnsi="Arial" w:cs="Arial"/>
                <w:sz w:val="20"/>
                <w:szCs w:val="20"/>
                <w:lang w:val="en-GB"/>
              </w:rPr>
            </w:pPr>
          </w:p>
        </w:tc>
      </w:tr>
      <w:tr w:rsidR="003C1B8B" w:rsidRPr="003C1B8B" w14:paraId="2411FD46" w14:textId="77777777" w:rsidTr="00303F74">
        <w:trPr>
          <w:trHeight w:val="642"/>
        </w:trPr>
        <w:tc>
          <w:tcPr>
            <w:tcW w:w="1116" w:type="pct"/>
            <w:vMerge w:val="restart"/>
            <w:shd w:val="clear" w:color="auto" w:fill="D9D9D9" w:themeFill="background1" w:themeFillShade="D9"/>
          </w:tcPr>
          <w:p w14:paraId="4C86C811" w14:textId="77777777" w:rsidR="003C1B8B" w:rsidRPr="003C1B8B" w:rsidRDefault="003C1B8B" w:rsidP="003C1B8B">
            <w:pPr>
              <w:widowControl w:val="0"/>
              <w:spacing w:before="0" w:after="0"/>
              <w:jc w:val="left"/>
              <w:rPr>
                <w:rFonts w:ascii="Arial" w:hAnsi="Arial" w:cs="Arial"/>
                <w:sz w:val="18"/>
                <w:szCs w:val="18"/>
                <w:lang w:val="en-GB"/>
              </w:rPr>
            </w:pPr>
            <w:r w:rsidRPr="003C1B8B">
              <w:rPr>
                <w:rFonts w:ascii="Arial" w:hAnsi="Arial" w:cs="Arial"/>
                <w:bCs/>
                <w:sz w:val="18"/>
                <w:szCs w:val="18"/>
                <w:lang w:val="en-GB"/>
              </w:rPr>
              <w:t>The investment strategy</w:t>
            </w:r>
            <w:r w:rsidRPr="003C1B8B">
              <w:rPr>
                <w:rFonts w:ascii="Arial" w:hAnsi="Arial" w:cs="Arial"/>
                <w:sz w:val="18"/>
                <w:szCs w:val="18"/>
                <w:lang w:val="en-GB"/>
              </w:rPr>
              <w:t xml:space="preserve"> guides investment decisions based on factors </w:t>
            </w:r>
            <w:r w:rsidRPr="003C1B8B">
              <w:rPr>
                <w:rFonts w:ascii="Arial" w:hAnsi="Arial" w:cs="Arial"/>
                <w:sz w:val="18"/>
                <w:szCs w:val="18"/>
                <w:lang w:val="en-GB"/>
              </w:rPr>
              <w:lastRenderedPageBreak/>
              <w:t>such as investment objectives and risk tolerance</w:t>
            </w:r>
          </w:p>
        </w:tc>
        <w:tc>
          <w:tcPr>
            <w:tcW w:w="124" w:type="pct"/>
            <w:shd w:val="clear" w:color="auto" w:fill="FFFFFF" w:themeFill="background1"/>
          </w:tcPr>
          <w:p w14:paraId="69B61E1F" w14:textId="77777777" w:rsidR="003C1B8B" w:rsidRPr="003C1B8B" w:rsidRDefault="003C1B8B" w:rsidP="003C1B8B">
            <w:pPr>
              <w:widowControl w:val="0"/>
              <w:spacing w:before="0" w:after="0"/>
              <w:jc w:val="left"/>
              <w:rPr>
                <w:rFonts w:ascii="Arial" w:hAnsi="Arial" w:cs="Arial"/>
                <w:color w:val="0070C0"/>
                <w:sz w:val="20"/>
                <w:szCs w:val="20"/>
                <w:lang w:val="en-GB"/>
              </w:rPr>
            </w:pPr>
          </w:p>
        </w:tc>
        <w:tc>
          <w:tcPr>
            <w:tcW w:w="3760" w:type="pct"/>
            <w:gridSpan w:val="6"/>
          </w:tcPr>
          <w:p w14:paraId="0AAE8553" w14:textId="77777777" w:rsidR="003C1B8B" w:rsidRPr="003476AC" w:rsidRDefault="003C1B8B" w:rsidP="003C1B8B">
            <w:pPr>
              <w:autoSpaceDE w:val="0"/>
              <w:autoSpaceDN w:val="0"/>
              <w:adjustRightInd w:val="0"/>
              <w:spacing w:before="0" w:after="0"/>
              <w:rPr>
                <w:rFonts w:ascii="Arial" w:hAnsi="Arial" w:cs="Arial"/>
                <w:sz w:val="20"/>
                <w:szCs w:val="20"/>
                <w:lang w:val="en-GB"/>
              </w:rPr>
            </w:pPr>
            <w:r w:rsidRPr="003476AC">
              <w:rPr>
                <w:rFonts w:ascii="Arial" w:hAnsi="Arial" w:cs="Arial"/>
                <w:sz w:val="20"/>
                <w:szCs w:val="20"/>
                <w:lang w:val="en-GB"/>
              </w:rPr>
              <w:t xml:space="preserve">The Fund invests in equity securities, fixed income securities, regulated funds, unlisted securities and cash equivalents to generate absolute returns over the medium term. The Fund may hold long positions in each of these asset classes ranging between 0% and </w:t>
            </w:r>
            <w:r w:rsidRPr="003476AC">
              <w:rPr>
                <w:rFonts w:ascii="Arial" w:hAnsi="Arial" w:cs="Arial"/>
                <w:sz w:val="20"/>
                <w:szCs w:val="20"/>
                <w:lang w:val="en-GB"/>
              </w:rPr>
              <w:lastRenderedPageBreak/>
              <w:t xml:space="preserve">+125% of Net Asset Value of the Fund and short positions in equity securities ranging from 0% to 125% of Net Asset Value of the Fund. The investment approach for equities and fixed income securities utilises a combination of both quantitative and fundamental analysis and quantitative screens including consideration of sustainability indicators (as listed above). This screening process, which utilises third-party data coupled with internal research, narrows the universe to a sub-set of potential investments which comply with the exclusion criteria applied for the Fund.  </w:t>
            </w:r>
          </w:p>
          <w:p w14:paraId="643D7081" w14:textId="77777777" w:rsidR="003C1B8B" w:rsidRPr="003476AC" w:rsidRDefault="003C1B8B" w:rsidP="003C1B8B">
            <w:pPr>
              <w:autoSpaceDE w:val="0"/>
              <w:autoSpaceDN w:val="0"/>
              <w:spacing w:before="0" w:after="0"/>
              <w:rPr>
                <w:rFonts w:ascii="Arial" w:hAnsi="Arial" w:cs="Arial"/>
                <w:color w:val="0070C0"/>
                <w:sz w:val="20"/>
                <w:szCs w:val="20"/>
                <w:highlight w:val="magenta"/>
                <w:lang w:val="en-GB" w:eastAsia="en-GB"/>
              </w:rPr>
            </w:pPr>
          </w:p>
        </w:tc>
      </w:tr>
      <w:tr w:rsidR="003C1B8B" w:rsidRPr="003C1B8B" w14:paraId="645CCA33" w14:textId="77777777" w:rsidTr="00303F74">
        <w:tc>
          <w:tcPr>
            <w:tcW w:w="1116" w:type="pct"/>
            <w:vMerge/>
          </w:tcPr>
          <w:p w14:paraId="612E3C4C" w14:textId="77777777" w:rsidR="003C1B8B" w:rsidRPr="003C1B8B" w:rsidRDefault="003C1B8B" w:rsidP="003C1B8B">
            <w:pPr>
              <w:spacing w:before="0" w:after="0"/>
              <w:jc w:val="left"/>
              <w:rPr>
                <w:rFonts w:ascii="Arial" w:hAnsi="Arial" w:cs="Arial"/>
                <w:sz w:val="20"/>
                <w:szCs w:val="20"/>
                <w:lang w:val="en-GB"/>
              </w:rPr>
            </w:pPr>
            <w:bookmarkStart w:id="8" w:name="_Hlk117154886"/>
          </w:p>
        </w:tc>
        <w:tc>
          <w:tcPr>
            <w:tcW w:w="124" w:type="pct"/>
            <w:shd w:val="clear" w:color="auto" w:fill="FFFFFF" w:themeFill="background1"/>
          </w:tcPr>
          <w:p w14:paraId="45CC0F98" w14:textId="77777777" w:rsidR="003C1B8B" w:rsidRPr="003C1B8B" w:rsidRDefault="003C1B8B" w:rsidP="003C1B8B">
            <w:pPr>
              <w:spacing w:before="0" w:after="0"/>
              <w:ind w:left="340"/>
              <w:jc w:val="left"/>
              <w:rPr>
                <w:rFonts w:ascii="Calibri" w:hAnsi="Calibri"/>
                <w:bCs/>
                <w:i/>
                <w:iCs/>
                <w:noProof/>
                <w:sz w:val="22"/>
                <w:szCs w:val="22"/>
                <w:lang w:val="en-GB"/>
              </w:rPr>
            </w:pPr>
          </w:p>
        </w:tc>
        <w:tc>
          <w:tcPr>
            <w:tcW w:w="3760" w:type="pct"/>
            <w:gridSpan w:val="6"/>
          </w:tcPr>
          <w:p w14:paraId="407F07D8" w14:textId="77777777" w:rsidR="003C1B8B" w:rsidRPr="003476AC" w:rsidRDefault="003C1B8B" w:rsidP="003C1B8B">
            <w:pPr>
              <w:spacing w:before="0" w:after="0"/>
              <w:ind w:left="340"/>
              <w:jc w:val="left"/>
              <w:rPr>
                <w:rFonts w:ascii="Arial" w:hAnsi="Arial" w:cs="Arial"/>
                <w:b/>
                <w:i/>
                <w:iCs/>
                <w:sz w:val="20"/>
                <w:szCs w:val="20"/>
                <w:lang w:val="en-GB"/>
              </w:rPr>
            </w:pPr>
            <w:r w:rsidRPr="003476AC">
              <w:rPr>
                <w:rFonts w:cs="Arial"/>
                <w:b/>
                <w:i/>
                <w:iCs/>
                <w:noProof/>
                <w:sz w:val="20"/>
                <w:szCs w:val="20"/>
                <w:lang w:val="en-GB"/>
              </w:rPr>
              <mc:AlternateContent>
                <mc:Choice Requires="wps">
                  <w:drawing>
                    <wp:anchor distT="0" distB="0" distL="114300" distR="114300" simplePos="0" relativeHeight="251667456" behindDoc="0" locked="0" layoutInCell="1" allowOverlap="1" wp14:anchorId="6C580281" wp14:editId="0765052E">
                      <wp:simplePos x="0" y="0"/>
                      <wp:positionH relativeFrom="column">
                        <wp:posOffset>-864</wp:posOffset>
                      </wp:positionH>
                      <wp:positionV relativeFrom="page">
                        <wp:posOffset>7696</wp:posOffset>
                      </wp:positionV>
                      <wp:extent cx="130175" cy="130175"/>
                      <wp:effectExtent l="0" t="0" r="3175" b="3175"/>
                      <wp:wrapNone/>
                      <wp:docPr id="49" name="Oval 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C1BCF" id="Oval 49" o:spid="_x0000_s1026" style="position:absolute;margin-left:-.05pt;margin-top:.6pt;width:10.2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G7zMe11AgAA6QQAAA4AAAAA&#10;AAAAAAAAAAAALgIAAGRycy9lMm9Eb2MueG1sUEsBAi0AFAAGAAgAAAAhAEkmGf3eAAAABQEAAA8A&#10;AAAAAAAAAAAAAAAAzwQAAGRycy9kb3ducmV2LnhtbFBLBQYAAAAABAAEAPMAAADaBQAAAAA=&#10;" fillcolor="#d0cece" stroked="f" strokeweight="1pt">
                      <v:stroke joinstyle="miter"/>
                      <w10:wrap anchory="page"/>
                    </v:oval>
                  </w:pict>
                </mc:Fallback>
              </mc:AlternateContent>
            </w:r>
            <w:r w:rsidRPr="003476AC">
              <w:rPr>
                <w:rFonts w:ascii="Arial" w:hAnsi="Arial" w:cs="Arial"/>
                <w:b/>
                <w:i/>
                <w:iCs/>
                <w:sz w:val="20"/>
                <w:szCs w:val="20"/>
                <w:lang w:val="en-GB"/>
              </w:rPr>
              <w:t>What are the binding elements of the investment strategy used to select the investments to attain each of the environmental or social characteristics promoted by this financial product?</w:t>
            </w:r>
          </w:p>
        </w:tc>
      </w:tr>
      <w:bookmarkEnd w:id="8"/>
      <w:tr w:rsidR="003C1B8B" w:rsidRPr="003C1B8B" w14:paraId="0FE57347" w14:textId="77777777" w:rsidTr="00303F74">
        <w:trPr>
          <w:trHeight w:val="858"/>
        </w:trPr>
        <w:tc>
          <w:tcPr>
            <w:tcW w:w="1116" w:type="pct"/>
            <w:vMerge/>
          </w:tcPr>
          <w:p w14:paraId="56C5F379"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031A46D9" w14:textId="77777777" w:rsidR="003C1B8B" w:rsidRPr="003C1B8B" w:rsidRDefault="003C1B8B" w:rsidP="003C1B8B">
            <w:pPr>
              <w:autoSpaceDE w:val="0"/>
              <w:autoSpaceDN w:val="0"/>
              <w:adjustRightInd w:val="0"/>
              <w:spacing w:before="0" w:after="0"/>
              <w:jc w:val="left"/>
              <w:rPr>
                <w:rFonts w:ascii="Arial" w:hAnsi="Arial" w:cs="Arial"/>
                <w:color w:val="0070C0"/>
                <w:sz w:val="20"/>
                <w:szCs w:val="20"/>
                <w:highlight w:val="yellow"/>
                <w:lang w:val="en-GB"/>
              </w:rPr>
            </w:pPr>
          </w:p>
        </w:tc>
        <w:tc>
          <w:tcPr>
            <w:tcW w:w="3760" w:type="pct"/>
            <w:gridSpan w:val="6"/>
          </w:tcPr>
          <w:p w14:paraId="221C96CD" w14:textId="77777777" w:rsidR="003C1B8B" w:rsidRPr="003476AC" w:rsidRDefault="003C1B8B" w:rsidP="003C1B8B">
            <w:pPr>
              <w:autoSpaceDE w:val="0"/>
              <w:autoSpaceDN w:val="0"/>
              <w:adjustRightInd w:val="0"/>
              <w:spacing w:before="0" w:after="0"/>
              <w:rPr>
                <w:rFonts w:ascii="Arial" w:hAnsi="Arial" w:cs="Arial"/>
                <w:sz w:val="20"/>
                <w:szCs w:val="20"/>
                <w:lang w:val="en-GB"/>
              </w:rPr>
            </w:pPr>
          </w:p>
          <w:p w14:paraId="3DD1F125" w14:textId="77777777" w:rsidR="003C1B8B" w:rsidRPr="003476AC" w:rsidRDefault="003C1B8B" w:rsidP="003C1B8B">
            <w:pPr>
              <w:autoSpaceDE w:val="0"/>
              <w:autoSpaceDN w:val="0"/>
              <w:adjustRightInd w:val="0"/>
              <w:spacing w:before="0" w:after="0"/>
              <w:rPr>
                <w:rFonts w:ascii="Arial" w:hAnsi="Arial" w:cs="Arial"/>
                <w:sz w:val="20"/>
                <w:szCs w:val="20"/>
                <w:lang w:val="en-GB"/>
              </w:rPr>
            </w:pPr>
            <w:r w:rsidRPr="003476AC">
              <w:rPr>
                <w:rFonts w:ascii="Arial" w:hAnsi="Arial" w:cs="Arial"/>
                <w:sz w:val="20"/>
                <w:szCs w:val="20"/>
                <w:lang w:val="en-GB"/>
              </w:rPr>
              <w:t xml:space="preserve">The Fund will not invest in fixed income securities issued in respect of countries ranked in the bottom quartile of countries by a proprietary Sovereign Issuer Ranking (SIR) system, based on a relative review by a third-party data provider of key performance indicators across environmental (20%), social (30%) and governance (50%) factors.  </w:t>
            </w:r>
          </w:p>
          <w:p w14:paraId="3A1CEB8A" w14:textId="77777777" w:rsidR="003C1B8B" w:rsidRPr="003476AC" w:rsidRDefault="003C1B8B" w:rsidP="003C1B8B">
            <w:pPr>
              <w:autoSpaceDE w:val="0"/>
              <w:autoSpaceDN w:val="0"/>
              <w:adjustRightInd w:val="0"/>
              <w:spacing w:before="0" w:after="0"/>
              <w:rPr>
                <w:rFonts w:ascii="Arial" w:hAnsi="Arial" w:cs="Arial"/>
                <w:sz w:val="20"/>
                <w:szCs w:val="20"/>
                <w:lang w:val="en-GB"/>
              </w:rPr>
            </w:pPr>
          </w:p>
          <w:p w14:paraId="0284D179" w14:textId="77777777" w:rsidR="003C1B8B" w:rsidRPr="003476AC" w:rsidRDefault="003C1B8B" w:rsidP="003C1B8B">
            <w:pPr>
              <w:autoSpaceDE w:val="0"/>
              <w:autoSpaceDN w:val="0"/>
              <w:adjustRightInd w:val="0"/>
              <w:spacing w:before="0" w:after="0"/>
              <w:rPr>
                <w:rFonts w:ascii="Arial" w:hAnsi="Arial" w:cs="Arial"/>
                <w:sz w:val="20"/>
                <w:szCs w:val="20"/>
                <w:lang w:val="en-GB"/>
              </w:rPr>
            </w:pPr>
            <w:r w:rsidRPr="003476AC">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Additionally, the Fund excludes companies that: (i) manufacture cluster munitions or landmines; (ii) derive more than 10% of their revenue from the production of thermal coal; or (iii) derive revenues from the production of tobacco products. </w:t>
            </w:r>
          </w:p>
          <w:p w14:paraId="3C64B53F" w14:textId="77777777" w:rsidR="003C1B8B" w:rsidRPr="003476AC" w:rsidRDefault="003C1B8B" w:rsidP="003C1B8B">
            <w:pPr>
              <w:autoSpaceDE w:val="0"/>
              <w:autoSpaceDN w:val="0"/>
              <w:adjustRightInd w:val="0"/>
              <w:spacing w:before="0" w:after="0"/>
              <w:rPr>
                <w:rFonts w:ascii="Arial" w:hAnsi="Arial" w:cs="Arial"/>
                <w:sz w:val="20"/>
                <w:szCs w:val="20"/>
                <w:lang w:val="en-GB"/>
              </w:rPr>
            </w:pPr>
          </w:p>
          <w:p w14:paraId="7E8A04C2" w14:textId="77777777" w:rsidR="003C1B8B" w:rsidRPr="003476AC" w:rsidRDefault="003C1B8B" w:rsidP="003C1B8B">
            <w:pPr>
              <w:autoSpaceDE w:val="0"/>
              <w:autoSpaceDN w:val="0"/>
              <w:adjustRightInd w:val="0"/>
              <w:spacing w:before="0" w:after="0"/>
              <w:jc w:val="left"/>
              <w:rPr>
                <w:rFonts w:ascii="Arial" w:hAnsi="Arial" w:cs="Arial"/>
                <w:color w:val="0070C0"/>
                <w:sz w:val="20"/>
                <w:szCs w:val="20"/>
                <w:highlight w:val="yellow"/>
                <w:lang w:val="en-GB"/>
              </w:rPr>
            </w:pPr>
          </w:p>
        </w:tc>
      </w:tr>
      <w:tr w:rsidR="003C1B8B" w:rsidRPr="003C1B8B" w14:paraId="3BF31FED" w14:textId="77777777" w:rsidTr="00303F74">
        <w:trPr>
          <w:trHeight w:val="842"/>
        </w:trPr>
        <w:tc>
          <w:tcPr>
            <w:tcW w:w="1116" w:type="pct"/>
            <w:vMerge w:val="restart"/>
            <w:shd w:val="clear" w:color="auto" w:fill="D9D9D9" w:themeFill="background1" w:themeFillShade="D9"/>
          </w:tcPr>
          <w:p w14:paraId="70841460" w14:textId="77777777" w:rsidR="003C1B8B" w:rsidRPr="003C1B8B" w:rsidRDefault="003C1B8B" w:rsidP="003C1B8B">
            <w:pPr>
              <w:spacing w:before="0" w:after="0"/>
              <w:jc w:val="left"/>
              <w:rPr>
                <w:rFonts w:ascii="Arial" w:hAnsi="Arial" w:cs="Arial"/>
                <w:sz w:val="18"/>
                <w:szCs w:val="18"/>
                <w:lang w:val="en-GB"/>
              </w:rPr>
            </w:pPr>
            <w:r w:rsidRPr="003C1B8B">
              <w:rPr>
                <w:rFonts w:ascii="Arial" w:hAnsi="Arial" w:cs="Arial"/>
                <w:bCs/>
                <w:sz w:val="18"/>
                <w:szCs w:val="18"/>
                <w:lang w:val="en-GB"/>
              </w:rPr>
              <w:t>Good governance</w:t>
            </w:r>
            <w:r w:rsidRPr="003C1B8B">
              <w:rPr>
                <w:rFonts w:ascii="Arial" w:hAnsi="Arial" w:cs="Arial"/>
                <w:sz w:val="18"/>
                <w:szCs w:val="18"/>
                <w:lang w:val="en-GB"/>
              </w:rPr>
              <w:t xml:space="preserve"> practices include sound management structures, employee relations, remuneration of staff and tax compliance.</w:t>
            </w:r>
          </w:p>
        </w:tc>
        <w:tc>
          <w:tcPr>
            <w:tcW w:w="124" w:type="pct"/>
            <w:shd w:val="clear" w:color="auto" w:fill="FFFFFF" w:themeFill="background1"/>
          </w:tcPr>
          <w:p w14:paraId="160E9FD0" w14:textId="77777777" w:rsidR="003C1B8B" w:rsidRPr="003C1B8B" w:rsidRDefault="003C1B8B" w:rsidP="003C1B8B">
            <w:pPr>
              <w:spacing w:before="0" w:after="0" w:line="258" w:lineRule="auto"/>
              <w:ind w:left="340" w:right="65"/>
              <w:rPr>
                <w:rFonts w:ascii="Calibri" w:hAnsi="Calibri"/>
                <w:bCs/>
                <w:i/>
                <w:iCs/>
                <w:noProof/>
                <w:sz w:val="22"/>
                <w:szCs w:val="22"/>
                <w:lang w:val="en-GB"/>
              </w:rPr>
            </w:pPr>
          </w:p>
        </w:tc>
        <w:tc>
          <w:tcPr>
            <w:tcW w:w="3760" w:type="pct"/>
            <w:gridSpan w:val="6"/>
          </w:tcPr>
          <w:p w14:paraId="4A15A8A2" w14:textId="77777777" w:rsidR="003C1B8B" w:rsidRPr="003476AC" w:rsidRDefault="003C1B8B" w:rsidP="003C1B8B">
            <w:pPr>
              <w:spacing w:before="0" w:after="0" w:line="258" w:lineRule="auto"/>
              <w:ind w:left="340" w:right="65"/>
              <w:rPr>
                <w:rFonts w:ascii="Arial" w:hAnsi="Arial" w:cs="Arial"/>
                <w:b/>
                <w:sz w:val="20"/>
                <w:szCs w:val="20"/>
                <w:lang w:val="en-GB"/>
              </w:rPr>
            </w:pPr>
            <w:r w:rsidRPr="003476AC">
              <w:rPr>
                <w:rFonts w:cs="Arial"/>
                <w:b/>
                <w:i/>
                <w:iCs/>
                <w:noProof/>
                <w:sz w:val="20"/>
                <w:szCs w:val="20"/>
                <w:lang w:val="en-GB"/>
              </w:rPr>
              <mc:AlternateContent>
                <mc:Choice Requires="wps">
                  <w:drawing>
                    <wp:anchor distT="0" distB="0" distL="114300" distR="114300" simplePos="0" relativeHeight="251668480" behindDoc="0" locked="0" layoutInCell="1" allowOverlap="1" wp14:anchorId="498461FE" wp14:editId="76B03486">
                      <wp:simplePos x="0" y="0"/>
                      <wp:positionH relativeFrom="column">
                        <wp:posOffset>-864</wp:posOffset>
                      </wp:positionH>
                      <wp:positionV relativeFrom="page">
                        <wp:posOffset>6883</wp:posOffset>
                      </wp:positionV>
                      <wp:extent cx="130175" cy="130175"/>
                      <wp:effectExtent l="0" t="0" r="3175" b="3175"/>
                      <wp:wrapNone/>
                      <wp:docPr id="4" name="Oval 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EF905" id="Oval 4" o:spid="_x0000_s1026" style="position:absolute;margin-left:-.05pt;margin-top:.55pt;width:10.2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RsdAIAAOc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PxldGx0AgAA5wQAAA4AAAAAAAAA&#10;AAAAAAAALgIAAGRycy9lMm9Eb2MueG1sUEsBAi0AFAAGAAgAAAAhAAiYKKHcAAAABQEAAA8AAAAA&#10;AAAAAAAAAAAAzgQAAGRycy9kb3ducmV2LnhtbFBLBQYAAAAABAAEAPMAAADXBQAAAAA=&#10;" fillcolor="#d0cece" stroked="f" strokeweight="1pt">
                      <v:stroke joinstyle="miter"/>
                      <w10:wrap anchory="page"/>
                    </v:oval>
                  </w:pict>
                </mc:Fallback>
              </mc:AlternateContent>
            </w:r>
            <w:r w:rsidRPr="003476AC">
              <w:rPr>
                <w:rFonts w:ascii="Arial" w:hAnsi="Arial" w:cs="Arial"/>
                <w:b/>
                <w:i/>
                <w:iCs/>
                <w:spacing w:val="-1"/>
                <w:sz w:val="20"/>
                <w:szCs w:val="20"/>
                <w:lang w:val="en-GB"/>
              </w:rPr>
              <w:t>W</w:t>
            </w:r>
            <w:r w:rsidRPr="003476AC">
              <w:rPr>
                <w:rFonts w:ascii="Arial" w:hAnsi="Arial" w:cs="Arial"/>
                <w:b/>
                <w:i/>
                <w:iCs/>
                <w:spacing w:val="1"/>
                <w:sz w:val="20"/>
                <w:szCs w:val="20"/>
                <w:lang w:val="en-GB"/>
              </w:rPr>
              <w:t>ha</w:t>
            </w:r>
            <w:r w:rsidRPr="003476AC">
              <w:rPr>
                <w:rFonts w:ascii="Arial" w:hAnsi="Arial" w:cs="Arial"/>
                <w:b/>
                <w:i/>
                <w:iCs/>
                <w:sz w:val="20"/>
                <w:szCs w:val="20"/>
                <w:lang w:val="en-GB"/>
              </w:rPr>
              <w:t>t</w:t>
            </w:r>
            <w:r w:rsidRPr="003476AC">
              <w:rPr>
                <w:rFonts w:ascii="Arial" w:hAnsi="Arial" w:cs="Arial"/>
                <w:b/>
                <w:i/>
                <w:iCs/>
                <w:spacing w:val="1"/>
                <w:sz w:val="20"/>
                <w:szCs w:val="20"/>
                <w:lang w:val="en-GB"/>
              </w:rPr>
              <w:t xml:space="preserve"> i</w:t>
            </w:r>
            <w:r w:rsidRPr="003476AC">
              <w:rPr>
                <w:rFonts w:ascii="Arial" w:hAnsi="Arial" w:cs="Arial"/>
                <w:b/>
                <w:i/>
                <w:iCs/>
                <w:sz w:val="20"/>
                <w:szCs w:val="20"/>
                <w:lang w:val="en-GB"/>
              </w:rPr>
              <w:t>s t</w:t>
            </w:r>
            <w:r w:rsidRPr="003476AC">
              <w:rPr>
                <w:rFonts w:ascii="Arial" w:hAnsi="Arial" w:cs="Arial"/>
                <w:b/>
                <w:i/>
                <w:iCs/>
                <w:spacing w:val="1"/>
                <w:sz w:val="20"/>
                <w:szCs w:val="20"/>
                <w:lang w:val="en-GB"/>
              </w:rPr>
              <w:t>h</w:t>
            </w:r>
            <w:r w:rsidRPr="003476AC">
              <w:rPr>
                <w:rFonts w:ascii="Arial" w:hAnsi="Arial" w:cs="Arial"/>
                <w:b/>
                <w:i/>
                <w:iCs/>
                <w:sz w:val="20"/>
                <w:szCs w:val="20"/>
                <w:lang w:val="en-GB"/>
              </w:rPr>
              <w:t xml:space="preserve">e </w:t>
            </w:r>
            <w:r w:rsidRPr="003476AC">
              <w:rPr>
                <w:rFonts w:ascii="Arial" w:hAnsi="Arial" w:cs="Arial"/>
                <w:b/>
                <w:i/>
                <w:iCs/>
                <w:spacing w:val="-2"/>
                <w:sz w:val="20"/>
                <w:szCs w:val="20"/>
                <w:lang w:val="en-GB"/>
              </w:rPr>
              <w:t>c</w:t>
            </w:r>
            <w:r w:rsidRPr="003476AC">
              <w:rPr>
                <w:rFonts w:ascii="Arial" w:hAnsi="Arial" w:cs="Arial"/>
                <w:b/>
                <w:i/>
                <w:iCs/>
                <w:spacing w:val="1"/>
                <w:sz w:val="20"/>
                <w:szCs w:val="20"/>
                <w:lang w:val="en-GB"/>
              </w:rPr>
              <w:t>o</w:t>
            </w:r>
            <w:r w:rsidRPr="003476AC">
              <w:rPr>
                <w:rFonts w:ascii="Arial" w:hAnsi="Arial" w:cs="Arial"/>
                <w:b/>
                <w:i/>
                <w:iCs/>
                <w:sz w:val="20"/>
                <w:szCs w:val="20"/>
                <w:lang w:val="en-GB"/>
              </w:rPr>
              <w:t>m</w:t>
            </w:r>
            <w:r w:rsidRPr="003476AC">
              <w:rPr>
                <w:rFonts w:ascii="Arial" w:hAnsi="Arial" w:cs="Arial"/>
                <w:b/>
                <w:i/>
                <w:iCs/>
                <w:spacing w:val="-2"/>
                <w:sz w:val="20"/>
                <w:szCs w:val="20"/>
                <w:lang w:val="en-GB"/>
              </w:rPr>
              <w:t>m</w:t>
            </w:r>
            <w:r w:rsidRPr="003476AC">
              <w:rPr>
                <w:rFonts w:ascii="Arial" w:hAnsi="Arial" w:cs="Arial"/>
                <w:b/>
                <w:i/>
                <w:iCs/>
                <w:spacing w:val="1"/>
                <w:sz w:val="20"/>
                <w:szCs w:val="20"/>
                <w:lang w:val="en-GB"/>
              </w:rPr>
              <w:t>i</w:t>
            </w:r>
            <w:r w:rsidRPr="003476AC">
              <w:rPr>
                <w:rFonts w:ascii="Arial" w:hAnsi="Arial" w:cs="Arial"/>
                <w:b/>
                <w:i/>
                <w:iCs/>
                <w:sz w:val="20"/>
                <w:szCs w:val="20"/>
                <w:lang w:val="en-GB"/>
              </w:rPr>
              <w:t>tt</w:t>
            </w:r>
            <w:r w:rsidRPr="003476AC">
              <w:rPr>
                <w:rFonts w:ascii="Arial" w:hAnsi="Arial" w:cs="Arial"/>
                <w:b/>
                <w:i/>
                <w:iCs/>
                <w:spacing w:val="-3"/>
                <w:sz w:val="20"/>
                <w:szCs w:val="20"/>
                <w:lang w:val="en-GB"/>
              </w:rPr>
              <w:t>e</w:t>
            </w:r>
            <w:r w:rsidRPr="003476AC">
              <w:rPr>
                <w:rFonts w:ascii="Arial" w:hAnsi="Arial" w:cs="Arial"/>
                <w:b/>
                <w:i/>
                <w:iCs/>
                <w:sz w:val="20"/>
                <w:szCs w:val="20"/>
                <w:lang w:val="en-GB"/>
              </w:rPr>
              <w:t>d</w:t>
            </w:r>
            <w:r w:rsidRPr="003476AC">
              <w:rPr>
                <w:rFonts w:ascii="Arial" w:hAnsi="Arial" w:cs="Arial"/>
                <w:b/>
                <w:i/>
                <w:iCs/>
                <w:spacing w:val="4"/>
                <w:sz w:val="20"/>
                <w:szCs w:val="20"/>
                <w:lang w:val="en-GB"/>
              </w:rPr>
              <w:t xml:space="preserve"> </w:t>
            </w:r>
            <w:r w:rsidRPr="003476AC">
              <w:rPr>
                <w:rFonts w:ascii="Arial" w:hAnsi="Arial" w:cs="Arial"/>
                <w:b/>
                <w:i/>
                <w:iCs/>
                <w:spacing w:val="-2"/>
                <w:sz w:val="20"/>
                <w:szCs w:val="20"/>
                <w:lang w:val="en-GB"/>
              </w:rPr>
              <w:t>m</w:t>
            </w:r>
            <w:r w:rsidRPr="003476AC">
              <w:rPr>
                <w:rFonts w:ascii="Arial" w:hAnsi="Arial" w:cs="Arial"/>
                <w:b/>
                <w:i/>
                <w:iCs/>
                <w:spacing w:val="1"/>
                <w:sz w:val="20"/>
                <w:szCs w:val="20"/>
                <w:lang w:val="en-GB"/>
              </w:rPr>
              <w:t>i</w:t>
            </w:r>
            <w:r w:rsidRPr="003476AC">
              <w:rPr>
                <w:rFonts w:ascii="Arial" w:hAnsi="Arial" w:cs="Arial"/>
                <w:b/>
                <w:i/>
                <w:iCs/>
                <w:spacing w:val="-1"/>
                <w:sz w:val="20"/>
                <w:szCs w:val="20"/>
                <w:lang w:val="en-GB"/>
              </w:rPr>
              <w:t>n</w:t>
            </w:r>
            <w:r w:rsidRPr="003476AC">
              <w:rPr>
                <w:rFonts w:ascii="Arial" w:hAnsi="Arial" w:cs="Arial"/>
                <w:b/>
                <w:i/>
                <w:iCs/>
                <w:spacing w:val="1"/>
                <w:sz w:val="20"/>
                <w:szCs w:val="20"/>
                <w:lang w:val="en-GB"/>
              </w:rPr>
              <w:t>i</w:t>
            </w:r>
            <w:r w:rsidRPr="003476AC">
              <w:rPr>
                <w:rFonts w:ascii="Arial" w:hAnsi="Arial" w:cs="Arial"/>
                <w:b/>
                <w:i/>
                <w:iCs/>
                <w:spacing w:val="-2"/>
                <w:sz w:val="20"/>
                <w:szCs w:val="20"/>
                <w:lang w:val="en-GB"/>
              </w:rPr>
              <w:t>m</w:t>
            </w:r>
            <w:r w:rsidRPr="003476AC">
              <w:rPr>
                <w:rFonts w:ascii="Arial" w:hAnsi="Arial" w:cs="Arial"/>
                <w:b/>
                <w:i/>
                <w:iCs/>
                <w:spacing w:val="1"/>
                <w:sz w:val="20"/>
                <w:szCs w:val="20"/>
                <w:lang w:val="en-GB"/>
              </w:rPr>
              <w:t>u</w:t>
            </w:r>
            <w:r w:rsidRPr="003476AC">
              <w:rPr>
                <w:rFonts w:ascii="Arial" w:hAnsi="Arial" w:cs="Arial"/>
                <w:b/>
                <w:i/>
                <w:iCs/>
                <w:sz w:val="20"/>
                <w:szCs w:val="20"/>
                <w:lang w:val="en-GB"/>
              </w:rPr>
              <w:t>m</w:t>
            </w:r>
            <w:r w:rsidRPr="003476AC">
              <w:rPr>
                <w:rFonts w:ascii="Arial" w:hAnsi="Arial" w:cs="Arial"/>
                <w:b/>
                <w:i/>
                <w:iCs/>
                <w:spacing w:val="3"/>
                <w:sz w:val="20"/>
                <w:szCs w:val="20"/>
                <w:lang w:val="en-GB"/>
              </w:rPr>
              <w:t xml:space="preserve"> </w:t>
            </w:r>
            <w:r w:rsidRPr="003476AC">
              <w:rPr>
                <w:rFonts w:ascii="Arial" w:hAnsi="Arial" w:cs="Arial"/>
                <w:b/>
                <w:i/>
                <w:iCs/>
                <w:spacing w:val="-3"/>
                <w:sz w:val="20"/>
                <w:szCs w:val="20"/>
                <w:lang w:val="en-GB"/>
              </w:rPr>
              <w:t>r</w:t>
            </w:r>
            <w:r w:rsidRPr="003476AC">
              <w:rPr>
                <w:rFonts w:ascii="Arial" w:hAnsi="Arial" w:cs="Arial"/>
                <w:b/>
                <w:i/>
                <w:iCs/>
                <w:spacing w:val="1"/>
                <w:sz w:val="20"/>
                <w:szCs w:val="20"/>
                <w:lang w:val="en-GB"/>
              </w:rPr>
              <w:t>a</w:t>
            </w:r>
            <w:r w:rsidRPr="003476AC">
              <w:rPr>
                <w:rFonts w:ascii="Arial" w:hAnsi="Arial" w:cs="Arial"/>
                <w:b/>
                <w:i/>
                <w:iCs/>
                <w:sz w:val="20"/>
                <w:szCs w:val="20"/>
                <w:lang w:val="en-GB"/>
              </w:rPr>
              <w:t>te</w:t>
            </w:r>
            <w:r w:rsidRPr="003476AC">
              <w:rPr>
                <w:rFonts w:ascii="Arial" w:hAnsi="Arial" w:cs="Arial"/>
                <w:b/>
                <w:i/>
                <w:iCs/>
                <w:spacing w:val="3"/>
                <w:sz w:val="20"/>
                <w:szCs w:val="20"/>
                <w:lang w:val="en-GB"/>
              </w:rPr>
              <w:t xml:space="preserve"> </w:t>
            </w:r>
            <w:r w:rsidRPr="003476AC">
              <w:rPr>
                <w:rFonts w:ascii="Arial" w:hAnsi="Arial" w:cs="Arial"/>
                <w:b/>
                <w:i/>
                <w:iCs/>
                <w:spacing w:val="-2"/>
                <w:sz w:val="20"/>
                <w:szCs w:val="20"/>
                <w:lang w:val="en-GB"/>
              </w:rPr>
              <w:t>t</w:t>
            </w:r>
            <w:r w:rsidRPr="003476AC">
              <w:rPr>
                <w:rFonts w:ascii="Arial" w:hAnsi="Arial" w:cs="Arial"/>
                <w:b/>
                <w:i/>
                <w:iCs/>
                <w:sz w:val="20"/>
                <w:szCs w:val="20"/>
                <w:lang w:val="en-GB"/>
              </w:rPr>
              <w:t>o</w:t>
            </w:r>
            <w:r w:rsidRPr="003476AC">
              <w:rPr>
                <w:rFonts w:ascii="Arial" w:hAnsi="Arial" w:cs="Arial"/>
                <w:b/>
                <w:i/>
                <w:iCs/>
                <w:spacing w:val="4"/>
                <w:sz w:val="20"/>
                <w:szCs w:val="20"/>
                <w:lang w:val="en-GB"/>
              </w:rPr>
              <w:t xml:space="preserve"> </w:t>
            </w:r>
            <w:r w:rsidRPr="003476AC">
              <w:rPr>
                <w:rFonts w:ascii="Arial" w:hAnsi="Arial" w:cs="Arial"/>
                <w:b/>
                <w:i/>
                <w:iCs/>
                <w:spacing w:val="-1"/>
                <w:sz w:val="20"/>
                <w:szCs w:val="20"/>
                <w:lang w:val="en-GB"/>
              </w:rPr>
              <w:t>r</w:t>
            </w:r>
            <w:r w:rsidRPr="003476AC">
              <w:rPr>
                <w:rFonts w:ascii="Arial" w:hAnsi="Arial" w:cs="Arial"/>
                <w:b/>
                <w:i/>
                <w:iCs/>
                <w:spacing w:val="-3"/>
                <w:sz w:val="20"/>
                <w:szCs w:val="20"/>
                <w:lang w:val="en-GB"/>
              </w:rPr>
              <w:t>e</w:t>
            </w:r>
            <w:r w:rsidRPr="003476AC">
              <w:rPr>
                <w:rFonts w:ascii="Arial" w:hAnsi="Arial" w:cs="Arial"/>
                <w:b/>
                <w:i/>
                <w:iCs/>
                <w:spacing w:val="1"/>
                <w:sz w:val="20"/>
                <w:szCs w:val="20"/>
                <w:lang w:val="en-GB"/>
              </w:rPr>
              <w:t>d</w:t>
            </w:r>
            <w:r w:rsidRPr="003476AC">
              <w:rPr>
                <w:rFonts w:ascii="Arial" w:hAnsi="Arial" w:cs="Arial"/>
                <w:b/>
                <w:i/>
                <w:iCs/>
                <w:spacing w:val="-1"/>
                <w:sz w:val="20"/>
                <w:szCs w:val="20"/>
                <w:lang w:val="en-GB"/>
              </w:rPr>
              <w:t>u</w:t>
            </w:r>
            <w:r w:rsidRPr="003476AC">
              <w:rPr>
                <w:rFonts w:ascii="Arial" w:hAnsi="Arial" w:cs="Arial"/>
                <w:b/>
                <w:i/>
                <w:iCs/>
                <w:sz w:val="20"/>
                <w:szCs w:val="20"/>
                <w:lang w:val="en-GB"/>
              </w:rPr>
              <w:t>ce</w:t>
            </w:r>
            <w:r w:rsidRPr="003476AC">
              <w:rPr>
                <w:rFonts w:ascii="Arial" w:hAnsi="Arial" w:cs="Arial"/>
                <w:b/>
                <w:i/>
                <w:iCs/>
                <w:spacing w:val="3"/>
                <w:sz w:val="20"/>
                <w:szCs w:val="20"/>
                <w:lang w:val="en-GB"/>
              </w:rPr>
              <w:t xml:space="preserve"> </w:t>
            </w:r>
            <w:r w:rsidRPr="003476AC">
              <w:rPr>
                <w:rFonts w:ascii="Arial" w:hAnsi="Arial" w:cs="Arial"/>
                <w:b/>
                <w:i/>
                <w:iCs/>
                <w:spacing w:val="-2"/>
                <w:sz w:val="20"/>
                <w:szCs w:val="20"/>
                <w:lang w:val="en-GB"/>
              </w:rPr>
              <w:t>t</w:t>
            </w:r>
            <w:r w:rsidRPr="003476AC">
              <w:rPr>
                <w:rFonts w:ascii="Arial" w:hAnsi="Arial" w:cs="Arial"/>
                <w:b/>
                <w:i/>
                <w:iCs/>
                <w:spacing w:val="-1"/>
                <w:sz w:val="20"/>
                <w:szCs w:val="20"/>
                <w:lang w:val="en-GB"/>
              </w:rPr>
              <w:t>h</w:t>
            </w:r>
            <w:r w:rsidRPr="003476AC">
              <w:rPr>
                <w:rFonts w:ascii="Arial" w:hAnsi="Arial" w:cs="Arial"/>
                <w:b/>
                <w:i/>
                <w:iCs/>
                <w:sz w:val="20"/>
                <w:szCs w:val="20"/>
                <w:lang w:val="en-GB"/>
              </w:rPr>
              <w:t>e</w:t>
            </w:r>
            <w:r w:rsidRPr="003476AC">
              <w:rPr>
                <w:rFonts w:ascii="Arial" w:hAnsi="Arial" w:cs="Arial"/>
                <w:b/>
                <w:i/>
                <w:iCs/>
                <w:spacing w:val="3"/>
                <w:sz w:val="20"/>
                <w:szCs w:val="20"/>
                <w:lang w:val="en-GB"/>
              </w:rPr>
              <w:t xml:space="preserve"> </w:t>
            </w:r>
            <w:r w:rsidRPr="003476AC">
              <w:rPr>
                <w:rFonts w:ascii="Arial" w:hAnsi="Arial" w:cs="Arial"/>
                <w:b/>
                <w:i/>
                <w:iCs/>
                <w:spacing w:val="-1"/>
                <w:sz w:val="20"/>
                <w:szCs w:val="20"/>
                <w:lang w:val="en-GB"/>
              </w:rPr>
              <w:t>s</w:t>
            </w:r>
            <w:r w:rsidRPr="003476AC">
              <w:rPr>
                <w:rFonts w:ascii="Arial" w:hAnsi="Arial" w:cs="Arial"/>
                <w:b/>
                <w:i/>
                <w:iCs/>
                <w:sz w:val="20"/>
                <w:szCs w:val="20"/>
                <w:lang w:val="en-GB"/>
              </w:rPr>
              <w:t>c</w:t>
            </w:r>
            <w:r w:rsidRPr="003476AC">
              <w:rPr>
                <w:rFonts w:ascii="Arial" w:hAnsi="Arial" w:cs="Arial"/>
                <w:b/>
                <w:i/>
                <w:iCs/>
                <w:spacing w:val="-1"/>
                <w:sz w:val="20"/>
                <w:szCs w:val="20"/>
                <w:lang w:val="en-GB"/>
              </w:rPr>
              <w:t>o</w:t>
            </w:r>
            <w:r w:rsidRPr="003476AC">
              <w:rPr>
                <w:rFonts w:ascii="Arial" w:hAnsi="Arial" w:cs="Arial"/>
                <w:b/>
                <w:i/>
                <w:iCs/>
                <w:spacing w:val="1"/>
                <w:sz w:val="20"/>
                <w:szCs w:val="20"/>
                <w:lang w:val="en-GB"/>
              </w:rPr>
              <w:t>p</w:t>
            </w:r>
            <w:r w:rsidRPr="003476AC">
              <w:rPr>
                <w:rFonts w:ascii="Arial" w:hAnsi="Arial" w:cs="Arial"/>
                <w:b/>
                <w:i/>
                <w:iCs/>
                <w:sz w:val="20"/>
                <w:szCs w:val="20"/>
                <w:lang w:val="en-GB"/>
              </w:rPr>
              <w:t xml:space="preserve">e </w:t>
            </w:r>
            <w:r w:rsidRPr="003476AC">
              <w:rPr>
                <w:rFonts w:ascii="Arial" w:hAnsi="Arial" w:cs="Arial"/>
                <w:b/>
                <w:i/>
                <w:iCs/>
                <w:spacing w:val="1"/>
                <w:sz w:val="20"/>
                <w:szCs w:val="20"/>
                <w:lang w:val="en-GB"/>
              </w:rPr>
              <w:t>o</w:t>
            </w:r>
            <w:r w:rsidRPr="003476AC">
              <w:rPr>
                <w:rFonts w:ascii="Arial" w:hAnsi="Arial" w:cs="Arial"/>
                <w:b/>
                <w:i/>
                <w:iCs/>
                <w:sz w:val="20"/>
                <w:szCs w:val="20"/>
                <w:lang w:val="en-GB"/>
              </w:rPr>
              <w:t>f</w:t>
            </w:r>
            <w:r w:rsidRPr="003476AC">
              <w:rPr>
                <w:rFonts w:ascii="Arial" w:hAnsi="Arial" w:cs="Arial"/>
                <w:b/>
                <w:i/>
                <w:iCs/>
                <w:spacing w:val="3"/>
                <w:sz w:val="20"/>
                <w:szCs w:val="20"/>
                <w:lang w:val="en-GB"/>
              </w:rPr>
              <w:t xml:space="preserve"> </w:t>
            </w:r>
            <w:r w:rsidRPr="003476AC">
              <w:rPr>
                <w:rFonts w:ascii="Arial" w:hAnsi="Arial" w:cs="Arial"/>
                <w:b/>
                <w:i/>
                <w:iCs/>
                <w:spacing w:val="-2"/>
                <w:sz w:val="20"/>
                <w:szCs w:val="20"/>
                <w:lang w:val="en-GB"/>
              </w:rPr>
              <w:t>t</w:t>
            </w:r>
            <w:r w:rsidRPr="003476AC">
              <w:rPr>
                <w:rFonts w:ascii="Arial" w:hAnsi="Arial" w:cs="Arial"/>
                <w:b/>
                <w:i/>
                <w:iCs/>
                <w:spacing w:val="1"/>
                <w:sz w:val="20"/>
                <w:szCs w:val="20"/>
                <w:lang w:val="en-GB"/>
              </w:rPr>
              <w:t>h</w:t>
            </w:r>
            <w:r w:rsidRPr="003476AC">
              <w:rPr>
                <w:rFonts w:ascii="Arial" w:hAnsi="Arial" w:cs="Arial"/>
                <w:b/>
                <w:i/>
                <w:iCs/>
                <w:sz w:val="20"/>
                <w:szCs w:val="20"/>
                <w:lang w:val="en-GB"/>
              </w:rPr>
              <w:t xml:space="preserve">e </w:t>
            </w:r>
            <w:r w:rsidRPr="003476AC">
              <w:rPr>
                <w:rFonts w:ascii="Arial" w:hAnsi="Arial" w:cs="Arial"/>
                <w:b/>
                <w:i/>
                <w:iCs/>
                <w:spacing w:val="1"/>
                <w:sz w:val="20"/>
                <w:szCs w:val="20"/>
                <w:lang w:val="en-GB"/>
              </w:rPr>
              <w:t>in</w:t>
            </w:r>
            <w:r w:rsidRPr="003476AC">
              <w:rPr>
                <w:rFonts w:ascii="Arial" w:hAnsi="Arial" w:cs="Arial"/>
                <w:b/>
                <w:i/>
                <w:iCs/>
                <w:sz w:val="20"/>
                <w:szCs w:val="20"/>
                <w:lang w:val="en-GB"/>
              </w:rPr>
              <w:t>ve</w:t>
            </w:r>
            <w:r w:rsidRPr="003476AC">
              <w:rPr>
                <w:rFonts w:ascii="Arial" w:hAnsi="Arial" w:cs="Arial"/>
                <w:b/>
                <w:i/>
                <w:iCs/>
                <w:spacing w:val="-1"/>
                <w:sz w:val="20"/>
                <w:szCs w:val="20"/>
                <w:lang w:val="en-GB"/>
              </w:rPr>
              <w:t>s</w:t>
            </w:r>
            <w:r w:rsidRPr="003476AC">
              <w:rPr>
                <w:rFonts w:ascii="Arial" w:hAnsi="Arial" w:cs="Arial"/>
                <w:b/>
                <w:i/>
                <w:iCs/>
                <w:spacing w:val="-2"/>
                <w:sz w:val="20"/>
                <w:szCs w:val="20"/>
                <w:lang w:val="en-GB"/>
              </w:rPr>
              <w:t>t</w:t>
            </w:r>
            <w:r w:rsidRPr="003476AC">
              <w:rPr>
                <w:rFonts w:ascii="Arial" w:hAnsi="Arial" w:cs="Arial"/>
                <w:b/>
                <w:i/>
                <w:iCs/>
                <w:sz w:val="20"/>
                <w:szCs w:val="20"/>
                <w:lang w:val="en-GB"/>
              </w:rPr>
              <w:t>me</w:t>
            </w:r>
            <w:r w:rsidRPr="003476AC">
              <w:rPr>
                <w:rFonts w:ascii="Arial" w:hAnsi="Arial" w:cs="Arial"/>
                <w:b/>
                <w:i/>
                <w:iCs/>
                <w:spacing w:val="-1"/>
                <w:sz w:val="20"/>
                <w:szCs w:val="20"/>
                <w:lang w:val="en-GB"/>
              </w:rPr>
              <w:t>n</w:t>
            </w:r>
            <w:r w:rsidRPr="003476AC">
              <w:rPr>
                <w:rFonts w:ascii="Arial" w:hAnsi="Arial" w:cs="Arial"/>
                <w:b/>
                <w:i/>
                <w:iCs/>
                <w:spacing w:val="-2"/>
                <w:sz w:val="20"/>
                <w:szCs w:val="20"/>
                <w:lang w:val="en-GB"/>
              </w:rPr>
              <w:t>t</w:t>
            </w:r>
            <w:r w:rsidRPr="003476AC">
              <w:rPr>
                <w:rFonts w:ascii="Arial" w:hAnsi="Arial" w:cs="Arial"/>
                <w:b/>
                <w:i/>
                <w:iCs/>
                <w:sz w:val="20"/>
                <w:szCs w:val="20"/>
                <w:lang w:val="en-GB"/>
              </w:rPr>
              <w:t>s c</w:t>
            </w:r>
            <w:r w:rsidRPr="003476AC">
              <w:rPr>
                <w:rFonts w:ascii="Arial" w:hAnsi="Arial" w:cs="Arial"/>
                <w:b/>
                <w:i/>
                <w:iCs/>
                <w:spacing w:val="-1"/>
                <w:sz w:val="20"/>
                <w:szCs w:val="20"/>
                <w:lang w:val="en-GB"/>
              </w:rPr>
              <w:t>o</w:t>
            </w:r>
            <w:r w:rsidRPr="003476AC">
              <w:rPr>
                <w:rFonts w:ascii="Arial" w:hAnsi="Arial" w:cs="Arial"/>
                <w:b/>
                <w:i/>
                <w:iCs/>
                <w:spacing w:val="1"/>
                <w:sz w:val="20"/>
                <w:szCs w:val="20"/>
                <w:lang w:val="en-GB"/>
              </w:rPr>
              <w:t>n</w:t>
            </w:r>
            <w:r w:rsidRPr="003476AC">
              <w:rPr>
                <w:rFonts w:ascii="Arial" w:hAnsi="Arial" w:cs="Arial"/>
                <w:b/>
                <w:i/>
                <w:iCs/>
                <w:spacing w:val="-1"/>
                <w:sz w:val="20"/>
                <w:szCs w:val="20"/>
                <w:lang w:val="en-GB"/>
              </w:rPr>
              <w:t>si</w:t>
            </w:r>
            <w:r w:rsidRPr="003476AC">
              <w:rPr>
                <w:rFonts w:ascii="Arial" w:hAnsi="Arial" w:cs="Arial"/>
                <w:b/>
                <w:i/>
                <w:iCs/>
                <w:spacing w:val="1"/>
                <w:sz w:val="20"/>
                <w:szCs w:val="20"/>
                <w:lang w:val="en-GB"/>
              </w:rPr>
              <w:t>d</w:t>
            </w:r>
            <w:r w:rsidRPr="003476AC">
              <w:rPr>
                <w:rFonts w:ascii="Arial" w:hAnsi="Arial" w:cs="Arial"/>
                <w:b/>
                <w:i/>
                <w:iCs/>
                <w:sz w:val="20"/>
                <w:szCs w:val="20"/>
                <w:lang w:val="en-GB"/>
              </w:rPr>
              <w:t>e</w:t>
            </w:r>
            <w:r w:rsidRPr="003476AC">
              <w:rPr>
                <w:rFonts w:ascii="Arial" w:hAnsi="Arial" w:cs="Arial"/>
                <w:b/>
                <w:i/>
                <w:iCs/>
                <w:spacing w:val="-1"/>
                <w:sz w:val="20"/>
                <w:szCs w:val="20"/>
                <w:lang w:val="en-GB"/>
              </w:rPr>
              <w:t>r</w:t>
            </w:r>
            <w:r w:rsidRPr="003476AC">
              <w:rPr>
                <w:rFonts w:ascii="Arial" w:hAnsi="Arial" w:cs="Arial"/>
                <w:b/>
                <w:i/>
                <w:iCs/>
                <w:sz w:val="20"/>
                <w:szCs w:val="20"/>
                <w:lang w:val="en-GB"/>
              </w:rPr>
              <w:t>ed</w:t>
            </w:r>
            <w:r w:rsidRPr="003476AC">
              <w:rPr>
                <w:rFonts w:ascii="Arial" w:hAnsi="Arial" w:cs="Arial"/>
                <w:b/>
                <w:i/>
                <w:iCs/>
                <w:spacing w:val="-3"/>
                <w:sz w:val="20"/>
                <w:szCs w:val="20"/>
                <w:lang w:val="en-GB"/>
              </w:rPr>
              <w:t xml:space="preserve"> </w:t>
            </w:r>
            <w:r w:rsidRPr="003476AC">
              <w:rPr>
                <w:rFonts w:ascii="Arial" w:hAnsi="Arial" w:cs="Arial"/>
                <w:b/>
                <w:i/>
                <w:iCs/>
                <w:spacing w:val="1"/>
                <w:sz w:val="20"/>
                <w:szCs w:val="20"/>
                <w:lang w:val="en-GB"/>
              </w:rPr>
              <w:t>p</w:t>
            </w:r>
            <w:r w:rsidRPr="003476AC">
              <w:rPr>
                <w:rFonts w:ascii="Arial" w:hAnsi="Arial" w:cs="Arial"/>
                <w:b/>
                <w:i/>
                <w:iCs/>
                <w:spacing w:val="-1"/>
                <w:sz w:val="20"/>
                <w:szCs w:val="20"/>
                <w:lang w:val="en-GB"/>
              </w:rPr>
              <w:t>ri</w:t>
            </w:r>
            <w:r w:rsidRPr="003476AC">
              <w:rPr>
                <w:rFonts w:ascii="Arial" w:hAnsi="Arial" w:cs="Arial"/>
                <w:b/>
                <w:i/>
                <w:iCs/>
                <w:spacing w:val="1"/>
                <w:sz w:val="20"/>
                <w:szCs w:val="20"/>
                <w:lang w:val="en-GB"/>
              </w:rPr>
              <w:t>o</w:t>
            </w:r>
            <w:r w:rsidRPr="003476AC">
              <w:rPr>
                <w:rFonts w:ascii="Arial" w:hAnsi="Arial" w:cs="Arial"/>
                <w:b/>
                <w:i/>
                <w:iCs/>
                <w:sz w:val="20"/>
                <w:szCs w:val="20"/>
                <w:lang w:val="en-GB"/>
              </w:rPr>
              <w:t>r</w:t>
            </w:r>
            <w:r w:rsidRPr="003476AC">
              <w:rPr>
                <w:rFonts w:ascii="Arial" w:hAnsi="Arial" w:cs="Arial"/>
                <w:b/>
                <w:i/>
                <w:iCs/>
                <w:spacing w:val="-3"/>
                <w:sz w:val="20"/>
                <w:szCs w:val="20"/>
                <w:lang w:val="en-GB"/>
              </w:rPr>
              <w:t xml:space="preserve"> </w:t>
            </w:r>
            <w:r w:rsidRPr="003476AC">
              <w:rPr>
                <w:rFonts w:ascii="Arial" w:hAnsi="Arial" w:cs="Arial"/>
                <w:b/>
                <w:i/>
                <w:iCs/>
                <w:spacing w:val="-2"/>
                <w:sz w:val="20"/>
                <w:szCs w:val="20"/>
                <w:lang w:val="en-GB"/>
              </w:rPr>
              <w:t>t</w:t>
            </w:r>
            <w:r w:rsidRPr="003476AC">
              <w:rPr>
                <w:rFonts w:ascii="Arial" w:hAnsi="Arial" w:cs="Arial"/>
                <w:b/>
                <w:i/>
                <w:iCs/>
                <w:sz w:val="20"/>
                <w:szCs w:val="20"/>
                <w:lang w:val="en-GB"/>
              </w:rPr>
              <w:t>o</w:t>
            </w:r>
            <w:r w:rsidRPr="003476AC">
              <w:rPr>
                <w:rFonts w:ascii="Arial" w:hAnsi="Arial" w:cs="Arial"/>
                <w:b/>
                <w:i/>
                <w:iCs/>
                <w:spacing w:val="-1"/>
                <w:sz w:val="20"/>
                <w:szCs w:val="20"/>
                <w:lang w:val="en-GB"/>
              </w:rPr>
              <w:t xml:space="preserve"> </w:t>
            </w:r>
            <w:r w:rsidRPr="003476AC">
              <w:rPr>
                <w:rFonts w:ascii="Arial" w:hAnsi="Arial" w:cs="Arial"/>
                <w:b/>
                <w:i/>
                <w:iCs/>
                <w:spacing w:val="-2"/>
                <w:sz w:val="20"/>
                <w:szCs w:val="20"/>
                <w:lang w:val="en-GB"/>
              </w:rPr>
              <w:t>t</w:t>
            </w:r>
            <w:r w:rsidRPr="003476AC">
              <w:rPr>
                <w:rFonts w:ascii="Arial" w:hAnsi="Arial" w:cs="Arial"/>
                <w:b/>
                <w:i/>
                <w:iCs/>
                <w:spacing w:val="1"/>
                <w:sz w:val="20"/>
                <w:szCs w:val="20"/>
                <w:lang w:val="en-GB"/>
              </w:rPr>
              <w:t>h</w:t>
            </w:r>
            <w:r w:rsidRPr="003476AC">
              <w:rPr>
                <w:rFonts w:ascii="Arial" w:hAnsi="Arial" w:cs="Arial"/>
                <w:b/>
                <w:i/>
                <w:iCs/>
                <w:sz w:val="20"/>
                <w:szCs w:val="20"/>
                <w:lang w:val="en-GB"/>
              </w:rPr>
              <w:t>e</w:t>
            </w:r>
            <w:r w:rsidRPr="003476AC">
              <w:rPr>
                <w:rFonts w:ascii="Arial" w:hAnsi="Arial" w:cs="Arial"/>
                <w:b/>
                <w:i/>
                <w:iCs/>
                <w:spacing w:val="-5"/>
                <w:sz w:val="20"/>
                <w:szCs w:val="20"/>
                <w:lang w:val="en-GB"/>
              </w:rPr>
              <w:t xml:space="preserve"> </w:t>
            </w:r>
            <w:r w:rsidRPr="003476AC">
              <w:rPr>
                <w:rFonts w:ascii="Arial" w:hAnsi="Arial" w:cs="Arial"/>
                <w:b/>
                <w:i/>
                <w:iCs/>
                <w:spacing w:val="1"/>
                <w:sz w:val="20"/>
                <w:szCs w:val="20"/>
                <w:lang w:val="en-GB"/>
              </w:rPr>
              <w:t>a</w:t>
            </w:r>
            <w:r w:rsidRPr="003476AC">
              <w:rPr>
                <w:rFonts w:ascii="Arial" w:hAnsi="Arial" w:cs="Arial"/>
                <w:b/>
                <w:i/>
                <w:iCs/>
                <w:spacing w:val="-1"/>
                <w:sz w:val="20"/>
                <w:szCs w:val="20"/>
                <w:lang w:val="en-GB"/>
              </w:rPr>
              <w:t>p</w:t>
            </w:r>
            <w:r w:rsidRPr="003476AC">
              <w:rPr>
                <w:rFonts w:ascii="Arial" w:hAnsi="Arial" w:cs="Arial"/>
                <w:b/>
                <w:i/>
                <w:iCs/>
                <w:spacing w:val="1"/>
                <w:sz w:val="20"/>
                <w:szCs w:val="20"/>
                <w:lang w:val="en-GB"/>
              </w:rPr>
              <w:t>p</w:t>
            </w:r>
            <w:r w:rsidRPr="003476AC">
              <w:rPr>
                <w:rFonts w:ascii="Arial" w:hAnsi="Arial" w:cs="Arial"/>
                <w:b/>
                <w:i/>
                <w:iCs/>
                <w:spacing w:val="-1"/>
                <w:sz w:val="20"/>
                <w:szCs w:val="20"/>
                <w:lang w:val="en-GB"/>
              </w:rPr>
              <w:t>l</w:t>
            </w:r>
            <w:r w:rsidRPr="003476AC">
              <w:rPr>
                <w:rFonts w:ascii="Arial" w:hAnsi="Arial" w:cs="Arial"/>
                <w:b/>
                <w:i/>
                <w:iCs/>
                <w:spacing w:val="1"/>
                <w:sz w:val="20"/>
                <w:szCs w:val="20"/>
                <w:lang w:val="en-GB"/>
              </w:rPr>
              <w:t>i</w:t>
            </w:r>
            <w:r w:rsidRPr="003476AC">
              <w:rPr>
                <w:rFonts w:ascii="Arial" w:hAnsi="Arial" w:cs="Arial"/>
                <w:b/>
                <w:i/>
                <w:iCs/>
                <w:sz w:val="20"/>
                <w:szCs w:val="20"/>
                <w:lang w:val="en-GB"/>
              </w:rPr>
              <w:t>c</w:t>
            </w:r>
            <w:r w:rsidRPr="003476AC">
              <w:rPr>
                <w:rFonts w:ascii="Arial" w:hAnsi="Arial" w:cs="Arial"/>
                <w:b/>
                <w:i/>
                <w:iCs/>
                <w:spacing w:val="-1"/>
                <w:sz w:val="20"/>
                <w:szCs w:val="20"/>
                <w:lang w:val="en-GB"/>
              </w:rPr>
              <w:t>a</w:t>
            </w:r>
            <w:r w:rsidRPr="003476AC">
              <w:rPr>
                <w:rFonts w:ascii="Arial" w:hAnsi="Arial" w:cs="Arial"/>
                <w:b/>
                <w:i/>
                <w:iCs/>
                <w:sz w:val="20"/>
                <w:szCs w:val="20"/>
                <w:lang w:val="en-GB"/>
              </w:rPr>
              <w:t>t</w:t>
            </w:r>
            <w:r w:rsidRPr="003476AC">
              <w:rPr>
                <w:rFonts w:ascii="Arial" w:hAnsi="Arial" w:cs="Arial"/>
                <w:b/>
                <w:i/>
                <w:iCs/>
                <w:spacing w:val="-1"/>
                <w:sz w:val="20"/>
                <w:szCs w:val="20"/>
                <w:lang w:val="en-GB"/>
              </w:rPr>
              <w:t>i</w:t>
            </w:r>
            <w:r w:rsidRPr="003476AC">
              <w:rPr>
                <w:rFonts w:ascii="Arial" w:hAnsi="Arial" w:cs="Arial"/>
                <w:b/>
                <w:i/>
                <w:iCs/>
                <w:spacing w:val="1"/>
                <w:sz w:val="20"/>
                <w:szCs w:val="20"/>
                <w:lang w:val="en-GB"/>
              </w:rPr>
              <w:t>o</w:t>
            </w:r>
            <w:r w:rsidRPr="003476AC">
              <w:rPr>
                <w:rFonts w:ascii="Arial" w:hAnsi="Arial" w:cs="Arial"/>
                <w:b/>
                <w:i/>
                <w:iCs/>
                <w:sz w:val="20"/>
                <w:szCs w:val="20"/>
                <w:lang w:val="en-GB"/>
              </w:rPr>
              <w:t>n</w:t>
            </w:r>
            <w:r w:rsidRPr="003476AC">
              <w:rPr>
                <w:rFonts w:ascii="Arial" w:hAnsi="Arial" w:cs="Arial"/>
                <w:b/>
                <w:i/>
                <w:iCs/>
                <w:spacing w:val="-5"/>
                <w:sz w:val="20"/>
                <w:szCs w:val="20"/>
                <w:lang w:val="en-GB"/>
              </w:rPr>
              <w:t xml:space="preserve"> </w:t>
            </w:r>
            <w:r w:rsidRPr="003476AC">
              <w:rPr>
                <w:rFonts w:ascii="Arial" w:hAnsi="Arial" w:cs="Arial"/>
                <w:b/>
                <w:i/>
                <w:iCs/>
                <w:spacing w:val="1"/>
                <w:sz w:val="20"/>
                <w:szCs w:val="20"/>
                <w:lang w:val="en-GB"/>
              </w:rPr>
              <w:t>o</w:t>
            </w:r>
            <w:r w:rsidRPr="003476AC">
              <w:rPr>
                <w:rFonts w:ascii="Arial" w:hAnsi="Arial" w:cs="Arial"/>
                <w:b/>
                <w:i/>
                <w:iCs/>
                <w:sz w:val="20"/>
                <w:szCs w:val="20"/>
                <w:lang w:val="en-GB"/>
              </w:rPr>
              <w:t>f</w:t>
            </w:r>
            <w:r w:rsidRPr="003476AC">
              <w:rPr>
                <w:rFonts w:ascii="Arial" w:hAnsi="Arial" w:cs="Arial"/>
                <w:b/>
                <w:i/>
                <w:iCs/>
                <w:spacing w:val="-2"/>
                <w:sz w:val="20"/>
                <w:szCs w:val="20"/>
                <w:lang w:val="en-GB"/>
              </w:rPr>
              <w:t xml:space="preserve"> t</w:t>
            </w:r>
            <w:r w:rsidRPr="003476AC">
              <w:rPr>
                <w:rFonts w:ascii="Arial" w:hAnsi="Arial" w:cs="Arial"/>
                <w:b/>
                <w:i/>
                <w:iCs/>
                <w:spacing w:val="1"/>
                <w:sz w:val="20"/>
                <w:szCs w:val="20"/>
                <w:lang w:val="en-GB"/>
              </w:rPr>
              <w:t>h</w:t>
            </w:r>
            <w:r w:rsidRPr="003476AC">
              <w:rPr>
                <w:rFonts w:ascii="Arial" w:hAnsi="Arial" w:cs="Arial"/>
                <w:b/>
                <w:i/>
                <w:iCs/>
                <w:spacing w:val="-1"/>
                <w:sz w:val="20"/>
                <w:szCs w:val="20"/>
                <w:lang w:val="en-GB"/>
              </w:rPr>
              <w:t>a</w:t>
            </w:r>
            <w:r w:rsidRPr="003476AC">
              <w:rPr>
                <w:rFonts w:ascii="Arial" w:hAnsi="Arial" w:cs="Arial"/>
                <w:b/>
                <w:i/>
                <w:iCs/>
                <w:sz w:val="20"/>
                <w:szCs w:val="20"/>
                <w:lang w:val="en-GB"/>
              </w:rPr>
              <w:t>t</w:t>
            </w:r>
            <w:r w:rsidRPr="003476AC">
              <w:rPr>
                <w:rFonts w:ascii="Arial" w:hAnsi="Arial" w:cs="Arial"/>
                <w:b/>
                <w:i/>
                <w:iCs/>
                <w:spacing w:val="-2"/>
                <w:sz w:val="20"/>
                <w:szCs w:val="20"/>
                <w:lang w:val="en-GB"/>
              </w:rPr>
              <w:t xml:space="preserve"> </w:t>
            </w:r>
            <w:r w:rsidRPr="003476AC">
              <w:rPr>
                <w:rFonts w:ascii="Arial" w:hAnsi="Arial" w:cs="Arial"/>
                <w:b/>
                <w:i/>
                <w:iCs/>
                <w:spacing w:val="-1"/>
                <w:sz w:val="20"/>
                <w:szCs w:val="20"/>
                <w:lang w:val="en-GB"/>
              </w:rPr>
              <w:t>i</w:t>
            </w:r>
            <w:r w:rsidRPr="003476AC">
              <w:rPr>
                <w:rFonts w:ascii="Arial" w:hAnsi="Arial" w:cs="Arial"/>
                <w:b/>
                <w:i/>
                <w:iCs/>
                <w:spacing w:val="1"/>
                <w:sz w:val="20"/>
                <w:szCs w:val="20"/>
                <w:lang w:val="en-GB"/>
              </w:rPr>
              <w:t>n</w:t>
            </w:r>
            <w:r w:rsidRPr="003476AC">
              <w:rPr>
                <w:rFonts w:ascii="Arial" w:hAnsi="Arial" w:cs="Arial"/>
                <w:b/>
                <w:i/>
                <w:iCs/>
                <w:sz w:val="20"/>
                <w:szCs w:val="20"/>
                <w:lang w:val="en-GB"/>
              </w:rPr>
              <w:t>ve</w:t>
            </w:r>
            <w:r w:rsidRPr="003476AC">
              <w:rPr>
                <w:rFonts w:ascii="Arial" w:hAnsi="Arial" w:cs="Arial"/>
                <w:b/>
                <w:i/>
                <w:iCs/>
                <w:spacing w:val="-1"/>
                <w:sz w:val="20"/>
                <w:szCs w:val="20"/>
                <w:lang w:val="en-GB"/>
              </w:rPr>
              <w:t>s</w:t>
            </w:r>
            <w:r w:rsidRPr="003476AC">
              <w:rPr>
                <w:rFonts w:ascii="Arial" w:hAnsi="Arial" w:cs="Arial"/>
                <w:b/>
                <w:i/>
                <w:iCs/>
                <w:sz w:val="20"/>
                <w:szCs w:val="20"/>
                <w:lang w:val="en-GB"/>
              </w:rPr>
              <w:t>tm</w:t>
            </w:r>
            <w:r w:rsidRPr="003476AC">
              <w:rPr>
                <w:rFonts w:ascii="Arial" w:hAnsi="Arial" w:cs="Arial"/>
                <w:b/>
                <w:i/>
                <w:iCs/>
                <w:spacing w:val="-3"/>
                <w:sz w:val="20"/>
                <w:szCs w:val="20"/>
                <w:lang w:val="en-GB"/>
              </w:rPr>
              <w:t>e</w:t>
            </w:r>
            <w:r w:rsidRPr="003476AC">
              <w:rPr>
                <w:rFonts w:ascii="Arial" w:hAnsi="Arial" w:cs="Arial"/>
                <w:b/>
                <w:i/>
                <w:iCs/>
                <w:spacing w:val="-1"/>
                <w:sz w:val="20"/>
                <w:szCs w:val="20"/>
                <w:lang w:val="en-GB"/>
              </w:rPr>
              <w:t>n</w:t>
            </w:r>
            <w:r w:rsidRPr="003476AC">
              <w:rPr>
                <w:rFonts w:ascii="Arial" w:hAnsi="Arial" w:cs="Arial"/>
                <w:b/>
                <w:i/>
                <w:iCs/>
                <w:sz w:val="20"/>
                <w:szCs w:val="20"/>
                <w:lang w:val="en-GB"/>
              </w:rPr>
              <w:t>t</w:t>
            </w:r>
            <w:r w:rsidRPr="003476AC">
              <w:rPr>
                <w:rFonts w:ascii="Arial" w:hAnsi="Arial" w:cs="Arial"/>
                <w:b/>
                <w:i/>
                <w:iCs/>
                <w:spacing w:val="-2"/>
                <w:sz w:val="20"/>
                <w:szCs w:val="20"/>
                <w:lang w:val="en-GB"/>
              </w:rPr>
              <w:t xml:space="preserve"> </w:t>
            </w:r>
            <w:r w:rsidRPr="003476AC">
              <w:rPr>
                <w:rFonts w:ascii="Arial" w:hAnsi="Arial" w:cs="Arial"/>
                <w:b/>
                <w:i/>
                <w:iCs/>
                <w:spacing w:val="-1"/>
                <w:sz w:val="20"/>
                <w:szCs w:val="20"/>
                <w:lang w:val="en-GB"/>
              </w:rPr>
              <w:t>s</w:t>
            </w:r>
            <w:r w:rsidRPr="003476AC">
              <w:rPr>
                <w:rFonts w:ascii="Arial" w:hAnsi="Arial" w:cs="Arial"/>
                <w:b/>
                <w:i/>
                <w:iCs/>
                <w:sz w:val="20"/>
                <w:szCs w:val="20"/>
                <w:lang w:val="en-GB"/>
              </w:rPr>
              <w:t>t</w:t>
            </w:r>
            <w:r w:rsidRPr="003476AC">
              <w:rPr>
                <w:rFonts w:ascii="Arial" w:hAnsi="Arial" w:cs="Arial"/>
                <w:b/>
                <w:i/>
                <w:iCs/>
                <w:spacing w:val="-1"/>
                <w:sz w:val="20"/>
                <w:szCs w:val="20"/>
                <w:lang w:val="en-GB"/>
              </w:rPr>
              <w:t>r</w:t>
            </w:r>
            <w:r w:rsidRPr="003476AC">
              <w:rPr>
                <w:rFonts w:ascii="Arial" w:hAnsi="Arial" w:cs="Arial"/>
                <w:b/>
                <w:i/>
                <w:iCs/>
                <w:spacing w:val="1"/>
                <w:sz w:val="20"/>
                <w:szCs w:val="20"/>
                <w:lang w:val="en-GB"/>
              </w:rPr>
              <w:t>a</w:t>
            </w:r>
            <w:r w:rsidRPr="003476AC">
              <w:rPr>
                <w:rFonts w:ascii="Arial" w:hAnsi="Arial" w:cs="Arial"/>
                <w:b/>
                <w:i/>
                <w:iCs/>
                <w:sz w:val="20"/>
                <w:szCs w:val="20"/>
                <w:lang w:val="en-GB"/>
              </w:rPr>
              <w:t>t</w:t>
            </w:r>
            <w:r w:rsidRPr="003476AC">
              <w:rPr>
                <w:rFonts w:ascii="Arial" w:hAnsi="Arial" w:cs="Arial"/>
                <w:b/>
                <w:i/>
                <w:iCs/>
                <w:spacing w:val="-3"/>
                <w:sz w:val="20"/>
                <w:szCs w:val="20"/>
                <w:lang w:val="en-GB"/>
              </w:rPr>
              <w:t>e</w:t>
            </w:r>
            <w:r w:rsidRPr="003476AC">
              <w:rPr>
                <w:rFonts w:ascii="Arial" w:hAnsi="Arial" w:cs="Arial"/>
                <w:b/>
                <w:i/>
                <w:iCs/>
                <w:spacing w:val="1"/>
                <w:sz w:val="20"/>
                <w:szCs w:val="20"/>
                <w:lang w:val="en-GB"/>
              </w:rPr>
              <w:t>g</w:t>
            </w:r>
            <w:r w:rsidRPr="003476AC">
              <w:rPr>
                <w:rFonts w:ascii="Arial" w:hAnsi="Arial" w:cs="Arial"/>
                <w:b/>
                <w:i/>
                <w:iCs/>
                <w:spacing w:val="-1"/>
                <w:sz w:val="20"/>
                <w:szCs w:val="20"/>
                <w:lang w:val="en-GB"/>
              </w:rPr>
              <w:t>y</w:t>
            </w:r>
            <w:r w:rsidRPr="003476AC">
              <w:rPr>
                <w:rFonts w:ascii="Arial" w:hAnsi="Arial" w:cs="Arial"/>
                <w:b/>
                <w:i/>
                <w:iCs/>
                <w:sz w:val="20"/>
                <w:szCs w:val="20"/>
                <w:lang w:val="en-GB"/>
              </w:rPr>
              <w:t>?</w:t>
            </w:r>
            <w:r w:rsidRPr="003476AC">
              <w:rPr>
                <w:rFonts w:ascii="Arial" w:hAnsi="Arial" w:cs="Arial"/>
                <w:b/>
                <w:i/>
                <w:iCs/>
                <w:spacing w:val="-11"/>
                <w:sz w:val="20"/>
                <w:szCs w:val="20"/>
                <w:lang w:val="en-GB"/>
              </w:rPr>
              <w:t xml:space="preserve"> </w:t>
            </w:r>
          </w:p>
        </w:tc>
      </w:tr>
      <w:tr w:rsidR="003C1B8B" w:rsidRPr="003C1B8B" w14:paraId="71EC08D0" w14:textId="77777777" w:rsidTr="00303F74">
        <w:trPr>
          <w:trHeight w:val="699"/>
        </w:trPr>
        <w:tc>
          <w:tcPr>
            <w:tcW w:w="1116" w:type="pct"/>
            <w:vMerge/>
          </w:tcPr>
          <w:p w14:paraId="791C8F1A"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57AAC7A3" w14:textId="77777777" w:rsidR="003C1B8B" w:rsidRPr="003C1B8B" w:rsidRDefault="003C1B8B" w:rsidP="003C1B8B">
            <w:pPr>
              <w:spacing w:before="0" w:after="0" w:line="258" w:lineRule="auto"/>
              <w:ind w:right="65"/>
              <w:rPr>
                <w:rFonts w:ascii="Arial" w:hAnsi="Arial" w:cs="Arial"/>
                <w:bCs/>
                <w:i/>
                <w:spacing w:val="-1"/>
                <w:sz w:val="20"/>
                <w:szCs w:val="20"/>
                <w:lang w:val="en-GB"/>
              </w:rPr>
            </w:pPr>
          </w:p>
        </w:tc>
        <w:tc>
          <w:tcPr>
            <w:tcW w:w="3760" w:type="pct"/>
            <w:gridSpan w:val="6"/>
          </w:tcPr>
          <w:p w14:paraId="4DB9A755" w14:textId="77777777" w:rsidR="003C1B8B" w:rsidRPr="003476AC" w:rsidRDefault="003C1B8B" w:rsidP="003C1B8B">
            <w:pPr>
              <w:autoSpaceDE w:val="0"/>
              <w:autoSpaceDN w:val="0"/>
              <w:spacing w:before="0" w:after="0"/>
              <w:jc w:val="left"/>
              <w:rPr>
                <w:rFonts w:ascii="Arial" w:hAnsi="Arial" w:cs="Arial"/>
                <w:bCs/>
                <w:sz w:val="20"/>
                <w:szCs w:val="20"/>
                <w:lang w:val="en-GB" w:eastAsia="en-GB"/>
              </w:rPr>
            </w:pPr>
            <w:r w:rsidRPr="003476AC">
              <w:rPr>
                <w:rFonts w:ascii="Arial" w:hAnsi="Arial" w:cs="Arial"/>
                <w:sz w:val="20"/>
                <w:szCs w:val="20"/>
                <w:lang w:val="en-GB" w:eastAsia="en-GB"/>
              </w:rPr>
              <w:t>None.</w:t>
            </w:r>
          </w:p>
          <w:p w14:paraId="66555007" w14:textId="77777777" w:rsidR="003C1B8B" w:rsidRPr="003476AC" w:rsidRDefault="003C1B8B" w:rsidP="003C1B8B">
            <w:pPr>
              <w:spacing w:before="0" w:after="0" w:line="258" w:lineRule="auto"/>
              <w:ind w:right="65"/>
              <w:rPr>
                <w:rFonts w:ascii="Arial" w:hAnsi="Arial" w:cs="Arial"/>
                <w:bCs/>
                <w:i/>
                <w:spacing w:val="-1"/>
                <w:sz w:val="20"/>
                <w:szCs w:val="20"/>
                <w:lang w:val="en-GB"/>
              </w:rPr>
            </w:pPr>
          </w:p>
        </w:tc>
      </w:tr>
      <w:tr w:rsidR="003C1B8B" w:rsidRPr="003C1B8B" w14:paraId="1DE8D77B" w14:textId="77777777" w:rsidTr="00303F74">
        <w:trPr>
          <w:trHeight w:val="553"/>
        </w:trPr>
        <w:tc>
          <w:tcPr>
            <w:tcW w:w="1116" w:type="pct"/>
            <w:vMerge/>
          </w:tcPr>
          <w:p w14:paraId="071AFF77"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31C71AEC" w14:textId="77777777" w:rsidR="003C1B8B" w:rsidRPr="003C1B8B" w:rsidRDefault="003C1B8B" w:rsidP="003C1B8B">
            <w:pPr>
              <w:spacing w:before="0" w:after="0"/>
              <w:ind w:left="340" w:right="71"/>
              <w:rPr>
                <w:rFonts w:ascii="Calibri" w:hAnsi="Calibri"/>
                <w:bCs/>
                <w:i/>
                <w:iCs/>
                <w:noProof/>
                <w:sz w:val="22"/>
                <w:szCs w:val="22"/>
                <w:lang w:val="en-GB"/>
              </w:rPr>
            </w:pPr>
          </w:p>
        </w:tc>
        <w:tc>
          <w:tcPr>
            <w:tcW w:w="3760" w:type="pct"/>
            <w:gridSpan w:val="6"/>
          </w:tcPr>
          <w:p w14:paraId="3E60AD65" w14:textId="77777777" w:rsidR="003C1B8B" w:rsidRPr="003476AC" w:rsidRDefault="003C1B8B" w:rsidP="003C1B8B">
            <w:pPr>
              <w:spacing w:before="0" w:after="0" w:line="259" w:lineRule="auto"/>
              <w:ind w:left="340" w:right="71"/>
              <w:rPr>
                <w:rFonts w:ascii="Arial" w:hAnsi="Arial" w:cs="Arial"/>
                <w:b/>
                <w:sz w:val="20"/>
                <w:szCs w:val="20"/>
                <w:lang w:val="en-GB"/>
              </w:rPr>
            </w:pPr>
            <w:r w:rsidRPr="003476AC">
              <w:rPr>
                <w:rFonts w:cs="Arial"/>
                <w:b/>
                <w:i/>
                <w:iCs/>
                <w:noProof/>
                <w:sz w:val="20"/>
                <w:szCs w:val="20"/>
                <w:lang w:val="en-GB"/>
              </w:rPr>
              <mc:AlternateContent>
                <mc:Choice Requires="wps">
                  <w:drawing>
                    <wp:anchor distT="0" distB="0" distL="114300" distR="114300" simplePos="0" relativeHeight="251672576" behindDoc="0" locked="0" layoutInCell="1" allowOverlap="1" wp14:anchorId="60DBDE0E" wp14:editId="6DE2B625">
                      <wp:simplePos x="0" y="0"/>
                      <wp:positionH relativeFrom="column">
                        <wp:posOffset>-864</wp:posOffset>
                      </wp:positionH>
                      <wp:positionV relativeFrom="page">
                        <wp:posOffset>4953</wp:posOffset>
                      </wp:positionV>
                      <wp:extent cx="130175" cy="130175"/>
                      <wp:effectExtent l="0" t="0" r="3175" b="3175"/>
                      <wp:wrapNone/>
                      <wp:docPr id="33" name="Oval 3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71987" id="Oval 33" o:spid="_x0000_s1026" style="position:absolute;margin-left:-.05pt;margin-top:.4pt;width:10.25pt;height: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" fillcolor="#d0cece" stroked="f" strokeweight="1pt">
                      <v:stroke joinstyle="miter"/>
                      <w10:wrap anchory="page"/>
                    </v:oval>
                  </w:pict>
                </mc:Fallback>
              </mc:AlternateContent>
            </w:r>
            <w:r w:rsidRPr="003476AC">
              <w:rPr>
                <w:rFonts w:ascii="Arial" w:hAnsi="Arial" w:cs="Arial"/>
                <w:b/>
                <w:i/>
                <w:iCs/>
                <w:spacing w:val="-1"/>
                <w:sz w:val="20"/>
                <w:szCs w:val="20"/>
                <w:lang w:val="en-GB"/>
              </w:rPr>
              <w:t>W</w:t>
            </w:r>
            <w:r w:rsidRPr="003476AC">
              <w:rPr>
                <w:rFonts w:ascii="Arial" w:hAnsi="Arial" w:cs="Arial"/>
                <w:b/>
                <w:i/>
                <w:iCs/>
                <w:spacing w:val="1"/>
                <w:sz w:val="20"/>
                <w:szCs w:val="20"/>
                <w:lang w:val="en-GB"/>
              </w:rPr>
              <w:t>ha</w:t>
            </w:r>
            <w:r w:rsidRPr="003476AC">
              <w:rPr>
                <w:rFonts w:ascii="Arial" w:hAnsi="Arial" w:cs="Arial"/>
                <w:b/>
                <w:i/>
                <w:iCs/>
                <w:sz w:val="20"/>
                <w:szCs w:val="20"/>
                <w:lang w:val="en-GB"/>
              </w:rPr>
              <w:t>t</w:t>
            </w:r>
            <w:r w:rsidRPr="003476AC">
              <w:rPr>
                <w:rFonts w:ascii="Arial" w:hAnsi="Arial" w:cs="Arial"/>
                <w:b/>
                <w:i/>
                <w:iCs/>
                <w:spacing w:val="-13"/>
                <w:sz w:val="20"/>
                <w:szCs w:val="20"/>
                <w:lang w:val="en-GB"/>
              </w:rPr>
              <w:t xml:space="preserve"> </w:t>
            </w:r>
            <w:r w:rsidRPr="003476AC">
              <w:rPr>
                <w:rFonts w:ascii="Arial" w:hAnsi="Arial" w:cs="Arial"/>
                <w:b/>
                <w:i/>
                <w:iCs/>
                <w:spacing w:val="1"/>
                <w:sz w:val="20"/>
                <w:szCs w:val="20"/>
                <w:lang w:val="en-GB"/>
              </w:rPr>
              <w:t>i</w:t>
            </w:r>
            <w:r w:rsidRPr="003476AC">
              <w:rPr>
                <w:rFonts w:ascii="Arial" w:hAnsi="Arial" w:cs="Arial"/>
                <w:b/>
                <w:i/>
                <w:iCs/>
                <w:sz w:val="20"/>
                <w:szCs w:val="20"/>
                <w:lang w:val="en-GB"/>
              </w:rPr>
              <w:t>s</w:t>
            </w:r>
            <w:r w:rsidRPr="003476AC">
              <w:rPr>
                <w:rFonts w:ascii="Arial" w:hAnsi="Arial" w:cs="Arial"/>
                <w:b/>
                <w:i/>
                <w:iCs/>
                <w:spacing w:val="-12"/>
                <w:sz w:val="20"/>
                <w:szCs w:val="20"/>
                <w:lang w:val="en-GB"/>
              </w:rPr>
              <w:t xml:space="preserve"> </w:t>
            </w:r>
            <w:r w:rsidRPr="003476AC">
              <w:rPr>
                <w:rFonts w:ascii="Arial" w:hAnsi="Arial" w:cs="Arial"/>
                <w:b/>
                <w:i/>
                <w:iCs/>
                <w:spacing w:val="-2"/>
                <w:sz w:val="20"/>
                <w:szCs w:val="20"/>
                <w:lang w:val="en-GB"/>
              </w:rPr>
              <w:t>t</w:t>
            </w:r>
            <w:r w:rsidRPr="003476AC">
              <w:rPr>
                <w:rFonts w:ascii="Arial" w:hAnsi="Arial" w:cs="Arial"/>
                <w:b/>
                <w:i/>
                <w:iCs/>
                <w:spacing w:val="1"/>
                <w:sz w:val="20"/>
                <w:szCs w:val="20"/>
                <w:lang w:val="en-GB"/>
              </w:rPr>
              <w:t>h</w:t>
            </w:r>
            <w:r w:rsidRPr="003476AC">
              <w:rPr>
                <w:rFonts w:ascii="Arial" w:hAnsi="Arial" w:cs="Arial"/>
                <w:b/>
                <w:i/>
                <w:iCs/>
                <w:sz w:val="20"/>
                <w:szCs w:val="20"/>
                <w:lang w:val="en-GB"/>
              </w:rPr>
              <w:t>e</w:t>
            </w:r>
            <w:r w:rsidRPr="003476AC">
              <w:rPr>
                <w:rFonts w:ascii="Arial" w:hAnsi="Arial" w:cs="Arial"/>
                <w:b/>
                <w:i/>
                <w:iCs/>
                <w:spacing w:val="-14"/>
                <w:sz w:val="20"/>
                <w:szCs w:val="20"/>
                <w:lang w:val="en-GB"/>
              </w:rPr>
              <w:t xml:space="preserve"> </w:t>
            </w:r>
            <w:r w:rsidRPr="003476AC">
              <w:rPr>
                <w:rFonts w:ascii="Arial" w:hAnsi="Arial" w:cs="Arial"/>
                <w:b/>
                <w:i/>
                <w:iCs/>
                <w:spacing w:val="1"/>
                <w:sz w:val="20"/>
                <w:szCs w:val="20"/>
                <w:lang w:val="en-GB"/>
              </w:rPr>
              <w:t>p</w:t>
            </w:r>
            <w:r w:rsidRPr="003476AC">
              <w:rPr>
                <w:rFonts w:ascii="Arial" w:hAnsi="Arial" w:cs="Arial"/>
                <w:b/>
                <w:i/>
                <w:iCs/>
                <w:spacing w:val="-1"/>
                <w:sz w:val="20"/>
                <w:szCs w:val="20"/>
                <w:lang w:val="en-GB"/>
              </w:rPr>
              <w:t>o</w:t>
            </w:r>
            <w:r w:rsidRPr="003476AC">
              <w:rPr>
                <w:rFonts w:ascii="Arial" w:hAnsi="Arial" w:cs="Arial"/>
                <w:b/>
                <w:i/>
                <w:iCs/>
                <w:spacing w:val="1"/>
                <w:sz w:val="20"/>
                <w:szCs w:val="20"/>
                <w:lang w:val="en-GB"/>
              </w:rPr>
              <w:t>l</w:t>
            </w:r>
            <w:r w:rsidRPr="003476AC">
              <w:rPr>
                <w:rFonts w:ascii="Arial" w:hAnsi="Arial" w:cs="Arial"/>
                <w:b/>
                <w:i/>
                <w:iCs/>
                <w:spacing w:val="-1"/>
                <w:sz w:val="20"/>
                <w:szCs w:val="20"/>
                <w:lang w:val="en-GB"/>
              </w:rPr>
              <w:t>i</w:t>
            </w:r>
            <w:r w:rsidRPr="003476AC">
              <w:rPr>
                <w:rFonts w:ascii="Arial" w:hAnsi="Arial" w:cs="Arial"/>
                <w:b/>
                <w:i/>
                <w:iCs/>
                <w:sz w:val="20"/>
                <w:szCs w:val="20"/>
                <w:lang w:val="en-GB"/>
              </w:rPr>
              <w:t>cy</w:t>
            </w:r>
            <w:r w:rsidRPr="003476AC">
              <w:rPr>
                <w:rFonts w:ascii="Arial" w:hAnsi="Arial" w:cs="Arial"/>
                <w:b/>
                <w:i/>
                <w:iCs/>
                <w:spacing w:val="-12"/>
                <w:sz w:val="20"/>
                <w:szCs w:val="20"/>
                <w:lang w:val="en-GB"/>
              </w:rPr>
              <w:t xml:space="preserve"> </w:t>
            </w:r>
            <w:r w:rsidRPr="003476AC">
              <w:rPr>
                <w:rFonts w:ascii="Arial" w:hAnsi="Arial" w:cs="Arial"/>
                <w:b/>
                <w:i/>
                <w:iCs/>
                <w:spacing w:val="-2"/>
                <w:sz w:val="20"/>
                <w:szCs w:val="20"/>
                <w:lang w:val="en-GB"/>
              </w:rPr>
              <w:t>t</w:t>
            </w:r>
            <w:r w:rsidRPr="003476AC">
              <w:rPr>
                <w:rFonts w:ascii="Arial" w:hAnsi="Arial" w:cs="Arial"/>
                <w:b/>
                <w:i/>
                <w:iCs/>
                <w:sz w:val="20"/>
                <w:szCs w:val="20"/>
                <w:lang w:val="en-GB"/>
              </w:rPr>
              <w:t>o</w:t>
            </w:r>
            <w:r w:rsidRPr="003476AC">
              <w:rPr>
                <w:rFonts w:ascii="Arial" w:hAnsi="Arial" w:cs="Arial"/>
                <w:b/>
                <w:i/>
                <w:iCs/>
                <w:spacing w:val="-10"/>
                <w:sz w:val="20"/>
                <w:szCs w:val="20"/>
                <w:lang w:val="en-GB"/>
              </w:rPr>
              <w:t xml:space="preserve"> </w:t>
            </w:r>
            <w:r w:rsidRPr="003476AC">
              <w:rPr>
                <w:rFonts w:ascii="Arial" w:hAnsi="Arial" w:cs="Arial"/>
                <w:b/>
                <w:i/>
                <w:iCs/>
                <w:spacing w:val="1"/>
                <w:sz w:val="20"/>
                <w:szCs w:val="20"/>
                <w:lang w:val="en-GB"/>
              </w:rPr>
              <w:t>a</w:t>
            </w:r>
            <w:r w:rsidRPr="003476AC">
              <w:rPr>
                <w:rFonts w:ascii="Arial" w:hAnsi="Arial" w:cs="Arial"/>
                <w:b/>
                <w:i/>
                <w:iCs/>
                <w:spacing w:val="-1"/>
                <w:sz w:val="20"/>
                <w:szCs w:val="20"/>
                <w:lang w:val="en-GB"/>
              </w:rPr>
              <w:t>ss</w:t>
            </w:r>
            <w:r w:rsidRPr="003476AC">
              <w:rPr>
                <w:rFonts w:ascii="Arial" w:hAnsi="Arial" w:cs="Arial"/>
                <w:b/>
                <w:i/>
                <w:iCs/>
                <w:sz w:val="20"/>
                <w:szCs w:val="20"/>
                <w:lang w:val="en-GB"/>
              </w:rPr>
              <w:t>e</w:t>
            </w:r>
            <w:r w:rsidRPr="003476AC">
              <w:rPr>
                <w:rFonts w:ascii="Arial" w:hAnsi="Arial" w:cs="Arial"/>
                <w:b/>
                <w:i/>
                <w:iCs/>
                <w:spacing w:val="-1"/>
                <w:sz w:val="20"/>
                <w:szCs w:val="20"/>
                <w:lang w:val="en-GB"/>
              </w:rPr>
              <w:t>s</w:t>
            </w:r>
            <w:r w:rsidRPr="003476AC">
              <w:rPr>
                <w:rFonts w:ascii="Arial" w:hAnsi="Arial" w:cs="Arial"/>
                <w:b/>
                <w:i/>
                <w:iCs/>
                <w:sz w:val="20"/>
                <w:szCs w:val="20"/>
                <w:lang w:val="en-GB"/>
              </w:rPr>
              <w:t>s</w:t>
            </w:r>
            <w:r w:rsidRPr="003476AC">
              <w:rPr>
                <w:rFonts w:ascii="Arial" w:hAnsi="Arial" w:cs="Arial"/>
                <w:b/>
                <w:i/>
                <w:iCs/>
                <w:spacing w:val="-14"/>
                <w:sz w:val="20"/>
                <w:szCs w:val="20"/>
                <w:lang w:val="en-GB"/>
              </w:rPr>
              <w:t xml:space="preserve"> </w:t>
            </w:r>
            <w:r w:rsidRPr="003476AC">
              <w:rPr>
                <w:rFonts w:ascii="Arial" w:hAnsi="Arial" w:cs="Arial"/>
                <w:b/>
                <w:i/>
                <w:iCs/>
                <w:spacing w:val="1"/>
                <w:sz w:val="20"/>
                <w:szCs w:val="20"/>
                <w:lang w:val="en-GB"/>
              </w:rPr>
              <w:t>g</w:t>
            </w:r>
            <w:r w:rsidRPr="003476AC">
              <w:rPr>
                <w:rFonts w:ascii="Arial" w:hAnsi="Arial" w:cs="Arial"/>
                <w:b/>
                <w:i/>
                <w:iCs/>
                <w:spacing w:val="-1"/>
                <w:sz w:val="20"/>
                <w:szCs w:val="20"/>
                <w:lang w:val="en-GB"/>
              </w:rPr>
              <w:t>oo</w:t>
            </w:r>
            <w:r w:rsidRPr="003476AC">
              <w:rPr>
                <w:rFonts w:ascii="Arial" w:hAnsi="Arial" w:cs="Arial"/>
                <w:b/>
                <w:i/>
                <w:iCs/>
                <w:sz w:val="20"/>
                <w:szCs w:val="20"/>
                <w:lang w:val="en-GB"/>
              </w:rPr>
              <w:t>d</w:t>
            </w:r>
            <w:r w:rsidRPr="003476AC">
              <w:rPr>
                <w:rFonts w:ascii="Arial" w:hAnsi="Arial" w:cs="Arial"/>
                <w:b/>
                <w:i/>
                <w:iCs/>
                <w:spacing w:val="-13"/>
                <w:sz w:val="20"/>
                <w:szCs w:val="20"/>
                <w:lang w:val="en-GB"/>
              </w:rPr>
              <w:t xml:space="preserve"> </w:t>
            </w:r>
            <w:r w:rsidRPr="003476AC">
              <w:rPr>
                <w:rFonts w:ascii="Arial" w:hAnsi="Arial" w:cs="Arial"/>
                <w:b/>
                <w:i/>
                <w:iCs/>
                <w:spacing w:val="1"/>
                <w:sz w:val="20"/>
                <w:szCs w:val="20"/>
                <w:lang w:val="en-GB"/>
              </w:rPr>
              <w:t>go</w:t>
            </w:r>
            <w:r w:rsidRPr="003476AC">
              <w:rPr>
                <w:rFonts w:ascii="Arial" w:hAnsi="Arial" w:cs="Arial"/>
                <w:b/>
                <w:i/>
                <w:iCs/>
                <w:sz w:val="20"/>
                <w:szCs w:val="20"/>
                <w:lang w:val="en-GB"/>
              </w:rPr>
              <w:t>ve</w:t>
            </w:r>
            <w:r w:rsidRPr="003476AC">
              <w:rPr>
                <w:rFonts w:ascii="Arial" w:hAnsi="Arial" w:cs="Arial"/>
                <w:b/>
                <w:i/>
                <w:iCs/>
                <w:spacing w:val="-3"/>
                <w:sz w:val="20"/>
                <w:szCs w:val="20"/>
                <w:lang w:val="en-GB"/>
              </w:rPr>
              <w:t>r</w:t>
            </w:r>
            <w:r w:rsidRPr="003476AC">
              <w:rPr>
                <w:rFonts w:ascii="Arial" w:hAnsi="Arial" w:cs="Arial"/>
                <w:b/>
                <w:i/>
                <w:iCs/>
                <w:spacing w:val="1"/>
                <w:sz w:val="20"/>
                <w:szCs w:val="20"/>
                <w:lang w:val="en-GB"/>
              </w:rPr>
              <w:t>n</w:t>
            </w:r>
            <w:r w:rsidRPr="003476AC">
              <w:rPr>
                <w:rFonts w:ascii="Arial" w:hAnsi="Arial" w:cs="Arial"/>
                <w:b/>
                <w:i/>
                <w:iCs/>
                <w:spacing w:val="-1"/>
                <w:sz w:val="20"/>
                <w:szCs w:val="20"/>
                <w:lang w:val="en-GB"/>
              </w:rPr>
              <w:t>a</w:t>
            </w:r>
            <w:r w:rsidRPr="003476AC">
              <w:rPr>
                <w:rFonts w:ascii="Arial" w:hAnsi="Arial" w:cs="Arial"/>
                <w:b/>
                <w:i/>
                <w:iCs/>
                <w:spacing w:val="1"/>
                <w:sz w:val="20"/>
                <w:szCs w:val="20"/>
                <w:lang w:val="en-GB"/>
              </w:rPr>
              <w:t>n</w:t>
            </w:r>
            <w:r w:rsidRPr="003476AC">
              <w:rPr>
                <w:rFonts w:ascii="Arial" w:hAnsi="Arial" w:cs="Arial"/>
                <w:b/>
                <w:i/>
                <w:iCs/>
                <w:sz w:val="20"/>
                <w:szCs w:val="20"/>
                <w:lang w:val="en-GB"/>
              </w:rPr>
              <w:t>ce</w:t>
            </w:r>
            <w:r w:rsidRPr="003476AC">
              <w:rPr>
                <w:rFonts w:ascii="Arial" w:hAnsi="Arial" w:cs="Arial"/>
                <w:b/>
                <w:i/>
                <w:iCs/>
                <w:spacing w:val="-14"/>
                <w:sz w:val="20"/>
                <w:szCs w:val="20"/>
                <w:lang w:val="en-GB"/>
              </w:rPr>
              <w:t xml:space="preserve"> </w:t>
            </w:r>
            <w:r w:rsidRPr="003476AC">
              <w:rPr>
                <w:rFonts w:ascii="Arial" w:hAnsi="Arial" w:cs="Arial"/>
                <w:b/>
                <w:i/>
                <w:iCs/>
                <w:spacing w:val="1"/>
                <w:sz w:val="20"/>
                <w:szCs w:val="20"/>
                <w:lang w:val="en-GB"/>
              </w:rPr>
              <w:t>p</w:t>
            </w:r>
            <w:r w:rsidRPr="003476AC">
              <w:rPr>
                <w:rFonts w:ascii="Arial" w:hAnsi="Arial" w:cs="Arial"/>
                <w:b/>
                <w:i/>
                <w:iCs/>
                <w:spacing w:val="-1"/>
                <w:sz w:val="20"/>
                <w:szCs w:val="20"/>
                <w:lang w:val="en-GB"/>
              </w:rPr>
              <w:t>r</w:t>
            </w:r>
            <w:r w:rsidRPr="003476AC">
              <w:rPr>
                <w:rFonts w:ascii="Arial" w:hAnsi="Arial" w:cs="Arial"/>
                <w:b/>
                <w:i/>
                <w:iCs/>
                <w:spacing w:val="1"/>
                <w:sz w:val="20"/>
                <w:szCs w:val="20"/>
                <w:lang w:val="en-GB"/>
              </w:rPr>
              <w:t>a</w:t>
            </w:r>
            <w:r w:rsidRPr="003476AC">
              <w:rPr>
                <w:rFonts w:ascii="Arial" w:hAnsi="Arial" w:cs="Arial"/>
                <w:b/>
                <w:i/>
                <w:iCs/>
                <w:spacing w:val="-2"/>
                <w:sz w:val="20"/>
                <w:szCs w:val="20"/>
                <w:lang w:val="en-GB"/>
              </w:rPr>
              <w:t>c</w:t>
            </w:r>
            <w:r w:rsidRPr="003476AC">
              <w:rPr>
                <w:rFonts w:ascii="Arial" w:hAnsi="Arial" w:cs="Arial"/>
                <w:b/>
                <w:i/>
                <w:iCs/>
                <w:sz w:val="20"/>
                <w:szCs w:val="20"/>
                <w:lang w:val="en-GB"/>
              </w:rPr>
              <w:t>t</w:t>
            </w:r>
            <w:r w:rsidRPr="003476AC">
              <w:rPr>
                <w:rFonts w:ascii="Arial" w:hAnsi="Arial" w:cs="Arial"/>
                <w:b/>
                <w:i/>
                <w:iCs/>
                <w:spacing w:val="1"/>
                <w:sz w:val="20"/>
                <w:szCs w:val="20"/>
                <w:lang w:val="en-GB"/>
              </w:rPr>
              <w:t>i</w:t>
            </w:r>
            <w:r w:rsidRPr="003476AC">
              <w:rPr>
                <w:rFonts w:ascii="Arial" w:hAnsi="Arial" w:cs="Arial"/>
                <w:b/>
                <w:i/>
                <w:iCs/>
                <w:sz w:val="20"/>
                <w:szCs w:val="20"/>
                <w:lang w:val="en-GB"/>
              </w:rPr>
              <w:t>c</w:t>
            </w:r>
            <w:r w:rsidRPr="003476AC">
              <w:rPr>
                <w:rFonts w:ascii="Arial" w:hAnsi="Arial" w:cs="Arial"/>
                <w:b/>
                <w:i/>
                <w:iCs/>
                <w:spacing w:val="-3"/>
                <w:sz w:val="20"/>
                <w:szCs w:val="20"/>
                <w:lang w:val="en-GB"/>
              </w:rPr>
              <w:t>e</w:t>
            </w:r>
            <w:r w:rsidRPr="003476AC">
              <w:rPr>
                <w:rFonts w:ascii="Arial" w:hAnsi="Arial" w:cs="Arial"/>
                <w:b/>
                <w:i/>
                <w:iCs/>
                <w:sz w:val="20"/>
                <w:szCs w:val="20"/>
                <w:lang w:val="en-GB"/>
              </w:rPr>
              <w:t>s</w:t>
            </w:r>
            <w:r w:rsidRPr="003476AC">
              <w:rPr>
                <w:rFonts w:ascii="Arial" w:hAnsi="Arial" w:cs="Arial"/>
                <w:b/>
                <w:i/>
                <w:iCs/>
                <w:spacing w:val="-12"/>
                <w:sz w:val="20"/>
                <w:szCs w:val="20"/>
                <w:lang w:val="en-GB"/>
              </w:rPr>
              <w:t xml:space="preserve"> </w:t>
            </w:r>
            <w:r w:rsidRPr="003476AC">
              <w:rPr>
                <w:rFonts w:ascii="Arial" w:hAnsi="Arial" w:cs="Arial"/>
                <w:b/>
                <w:i/>
                <w:iCs/>
                <w:spacing w:val="1"/>
                <w:sz w:val="20"/>
                <w:szCs w:val="20"/>
                <w:lang w:val="en-GB"/>
              </w:rPr>
              <w:t>o</w:t>
            </w:r>
            <w:r w:rsidRPr="003476AC">
              <w:rPr>
                <w:rFonts w:ascii="Arial" w:hAnsi="Arial" w:cs="Arial"/>
                <w:b/>
                <w:i/>
                <w:iCs/>
                <w:sz w:val="20"/>
                <w:szCs w:val="20"/>
                <w:lang w:val="en-GB"/>
              </w:rPr>
              <w:t>f</w:t>
            </w:r>
            <w:r w:rsidRPr="003476AC">
              <w:rPr>
                <w:rFonts w:ascii="Arial" w:hAnsi="Arial" w:cs="Arial"/>
                <w:b/>
                <w:i/>
                <w:iCs/>
                <w:spacing w:val="-12"/>
                <w:sz w:val="20"/>
                <w:szCs w:val="20"/>
                <w:lang w:val="en-GB"/>
              </w:rPr>
              <w:t xml:space="preserve"> </w:t>
            </w:r>
            <w:r w:rsidRPr="003476AC">
              <w:rPr>
                <w:rFonts w:ascii="Arial" w:hAnsi="Arial" w:cs="Arial"/>
                <w:b/>
                <w:i/>
                <w:iCs/>
                <w:spacing w:val="-2"/>
                <w:sz w:val="20"/>
                <w:szCs w:val="20"/>
                <w:lang w:val="en-GB"/>
              </w:rPr>
              <w:t>t</w:t>
            </w:r>
            <w:r w:rsidRPr="003476AC">
              <w:rPr>
                <w:rFonts w:ascii="Arial" w:hAnsi="Arial" w:cs="Arial"/>
                <w:b/>
                <w:i/>
                <w:iCs/>
                <w:spacing w:val="1"/>
                <w:sz w:val="20"/>
                <w:szCs w:val="20"/>
                <w:lang w:val="en-GB"/>
              </w:rPr>
              <w:t>h</w:t>
            </w:r>
            <w:r w:rsidRPr="003476AC">
              <w:rPr>
                <w:rFonts w:ascii="Arial" w:hAnsi="Arial" w:cs="Arial"/>
                <w:b/>
                <w:i/>
                <w:iCs/>
                <w:sz w:val="20"/>
                <w:szCs w:val="20"/>
                <w:lang w:val="en-GB"/>
              </w:rPr>
              <w:t>e</w:t>
            </w:r>
            <w:r w:rsidRPr="003476AC">
              <w:rPr>
                <w:rFonts w:ascii="Arial" w:hAnsi="Arial" w:cs="Arial"/>
                <w:b/>
                <w:i/>
                <w:iCs/>
                <w:spacing w:val="-12"/>
                <w:sz w:val="20"/>
                <w:szCs w:val="20"/>
                <w:lang w:val="en-GB"/>
              </w:rPr>
              <w:t xml:space="preserve"> </w:t>
            </w:r>
            <w:r w:rsidRPr="003476AC">
              <w:rPr>
                <w:rFonts w:ascii="Arial" w:hAnsi="Arial" w:cs="Arial"/>
                <w:b/>
                <w:i/>
                <w:iCs/>
                <w:spacing w:val="-1"/>
                <w:sz w:val="20"/>
                <w:szCs w:val="20"/>
                <w:lang w:val="en-GB"/>
              </w:rPr>
              <w:t>i</w:t>
            </w:r>
            <w:r w:rsidRPr="003476AC">
              <w:rPr>
                <w:rFonts w:ascii="Arial" w:hAnsi="Arial" w:cs="Arial"/>
                <w:b/>
                <w:i/>
                <w:iCs/>
                <w:spacing w:val="1"/>
                <w:sz w:val="20"/>
                <w:szCs w:val="20"/>
                <w:lang w:val="en-GB"/>
              </w:rPr>
              <w:t>n</w:t>
            </w:r>
            <w:r w:rsidRPr="003476AC">
              <w:rPr>
                <w:rFonts w:ascii="Arial" w:hAnsi="Arial" w:cs="Arial"/>
                <w:b/>
                <w:i/>
                <w:iCs/>
                <w:sz w:val="20"/>
                <w:szCs w:val="20"/>
                <w:lang w:val="en-GB"/>
              </w:rPr>
              <w:t>ve</w:t>
            </w:r>
            <w:r w:rsidRPr="003476AC">
              <w:rPr>
                <w:rFonts w:ascii="Arial" w:hAnsi="Arial" w:cs="Arial"/>
                <w:b/>
                <w:i/>
                <w:iCs/>
                <w:spacing w:val="-1"/>
                <w:sz w:val="20"/>
                <w:szCs w:val="20"/>
                <w:lang w:val="en-GB"/>
              </w:rPr>
              <w:t>s</w:t>
            </w:r>
            <w:r w:rsidRPr="003476AC">
              <w:rPr>
                <w:rFonts w:ascii="Arial" w:hAnsi="Arial" w:cs="Arial"/>
                <w:b/>
                <w:i/>
                <w:iCs/>
                <w:sz w:val="20"/>
                <w:szCs w:val="20"/>
                <w:lang w:val="en-GB"/>
              </w:rPr>
              <w:t>tee</w:t>
            </w:r>
            <w:r w:rsidRPr="003476AC">
              <w:rPr>
                <w:rFonts w:ascii="Arial" w:hAnsi="Arial" w:cs="Arial"/>
                <w:b/>
                <w:i/>
                <w:iCs/>
                <w:spacing w:val="-14"/>
                <w:sz w:val="20"/>
                <w:szCs w:val="20"/>
                <w:lang w:val="en-GB"/>
              </w:rPr>
              <w:t xml:space="preserve"> </w:t>
            </w:r>
            <w:r w:rsidRPr="003476AC">
              <w:rPr>
                <w:rFonts w:ascii="Arial" w:hAnsi="Arial" w:cs="Arial"/>
                <w:b/>
                <w:i/>
                <w:iCs/>
                <w:sz w:val="20"/>
                <w:szCs w:val="20"/>
                <w:lang w:val="en-GB"/>
              </w:rPr>
              <w:t>c</w:t>
            </w:r>
            <w:r w:rsidRPr="003476AC">
              <w:rPr>
                <w:rFonts w:ascii="Arial" w:hAnsi="Arial" w:cs="Arial"/>
                <w:b/>
                <w:i/>
                <w:iCs/>
                <w:spacing w:val="-1"/>
                <w:sz w:val="20"/>
                <w:szCs w:val="20"/>
                <w:lang w:val="en-GB"/>
              </w:rPr>
              <w:t>o</w:t>
            </w:r>
            <w:r w:rsidRPr="003476AC">
              <w:rPr>
                <w:rFonts w:ascii="Arial" w:hAnsi="Arial" w:cs="Arial"/>
                <w:b/>
                <w:i/>
                <w:iCs/>
                <w:sz w:val="20"/>
                <w:szCs w:val="20"/>
                <w:lang w:val="en-GB"/>
              </w:rPr>
              <w:t>m</w:t>
            </w:r>
            <w:r w:rsidRPr="003476AC">
              <w:rPr>
                <w:rFonts w:ascii="Arial" w:hAnsi="Arial" w:cs="Arial"/>
                <w:b/>
                <w:i/>
                <w:iCs/>
                <w:spacing w:val="-1"/>
                <w:sz w:val="20"/>
                <w:szCs w:val="20"/>
                <w:lang w:val="en-GB"/>
              </w:rPr>
              <w:t>p</w:t>
            </w:r>
            <w:r w:rsidRPr="003476AC">
              <w:rPr>
                <w:rFonts w:ascii="Arial" w:hAnsi="Arial" w:cs="Arial"/>
                <w:b/>
                <w:i/>
                <w:iCs/>
                <w:spacing w:val="1"/>
                <w:sz w:val="20"/>
                <w:szCs w:val="20"/>
                <w:lang w:val="en-GB"/>
              </w:rPr>
              <w:t>a</w:t>
            </w:r>
            <w:r w:rsidRPr="003476AC">
              <w:rPr>
                <w:rFonts w:ascii="Arial" w:hAnsi="Arial" w:cs="Arial"/>
                <w:b/>
                <w:i/>
                <w:iCs/>
                <w:spacing w:val="-1"/>
                <w:sz w:val="20"/>
                <w:szCs w:val="20"/>
                <w:lang w:val="en-GB"/>
              </w:rPr>
              <w:t>n</w:t>
            </w:r>
            <w:r w:rsidRPr="003476AC">
              <w:rPr>
                <w:rFonts w:ascii="Arial" w:hAnsi="Arial" w:cs="Arial"/>
                <w:b/>
                <w:i/>
                <w:iCs/>
                <w:spacing w:val="1"/>
                <w:sz w:val="20"/>
                <w:szCs w:val="20"/>
                <w:lang w:val="en-GB"/>
              </w:rPr>
              <w:t>i</w:t>
            </w:r>
            <w:r w:rsidRPr="003476AC">
              <w:rPr>
                <w:rFonts w:ascii="Arial" w:hAnsi="Arial" w:cs="Arial"/>
                <w:b/>
                <w:i/>
                <w:iCs/>
                <w:spacing w:val="-3"/>
                <w:sz w:val="20"/>
                <w:szCs w:val="20"/>
                <w:lang w:val="en-GB"/>
              </w:rPr>
              <w:t>e</w:t>
            </w:r>
            <w:r w:rsidRPr="003476AC">
              <w:rPr>
                <w:rFonts w:ascii="Arial" w:hAnsi="Arial" w:cs="Arial"/>
                <w:b/>
                <w:i/>
                <w:iCs/>
                <w:spacing w:val="-1"/>
                <w:sz w:val="20"/>
                <w:szCs w:val="20"/>
                <w:lang w:val="en-GB"/>
              </w:rPr>
              <w:t>s</w:t>
            </w:r>
            <w:r w:rsidRPr="003476AC">
              <w:rPr>
                <w:rFonts w:ascii="Arial" w:hAnsi="Arial" w:cs="Arial"/>
                <w:b/>
                <w:i/>
                <w:iCs/>
                <w:sz w:val="20"/>
                <w:szCs w:val="20"/>
                <w:lang w:val="en-GB"/>
              </w:rPr>
              <w:t xml:space="preserve">? </w:t>
            </w:r>
          </w:p>
        </w:tc>
      </w:tr>
      <w:tr w:rsidR="003C1B8B" w:rsidRPr="003C1B8B" w14:paraId="14D1E68C" w14:textId="77777777" w:rsidTr="00303F74">
        <w:trPr>
          <w:trHeight w:val="905"/>
        </w:trPr>
        <w:tc>
          <w:tcPr>
            <w:tcW w:w="1116" w:type="pct"/>
          </w:tcPr>
          <w:p w14:paraId="089F50B8"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62E85DCF" w14:textId="77777777" w:rsidR="003C1B8B" w:rsidRPr="003C1B8B" w:rsidRDefault="003C1B8B" w:rsidP="003C1B8B">
            <w:pPr>
              <w:spacing w:before="0" w:after="0" w:line="258" w:lineRule="auto"/>
              <w:ind w:right="65"/>
              <w:rPr>
                <w:rFonts w:ascii="Arial" w:hAnsi="Arial" w:cs="Arial"/>
                <w:bCs/>
                <w:i/>
                <w:spacing w:val="-1"/>
                <w:sz w:val="20"/>
                <w:szCs w:val="20"/>
                <w:lang w:val="en-GB"/>
              </w:rPr>
            </w:pPr>
          </w:p>
        </w:tc>
        <w:tc>
          <w:tcPr>
            <w:tcW w:w="3760" w:type="pct"/>
            <w:gridSpan w:val="6"/>
          </w:tcPr>
          <w:p w14:paraId="0763CC88" w14:textId="77777777" w:rsidR="003C1B8B" w:rsidRPr="003476AC" w:rsidRDefault="003C1B8B" w:rsidP="003C1B8B">
            <w:pPr>
              <w:spacing w:before="0" w:after="0"/>
              <w:jc w:val="left"/>
              <w:rPr>
                <w:rFonts w:ascii="Arial" w:hAnsi="Arial" w:cs="Arial"/>
                <w:sz w:val="20"/>
                <w:szCs w:val="20"/>
                <w:lang w:val="en-GB"/>
              </w:rPr>
            </w:pPr>
          </w:p>
          <w:p w14:paraId="1AAA3A53" w14:textId="77777777" w:rsidR="003C1B8B" w:rsidRPr="003476AC" w:rsidRDefault="003C1B8B" w:rsidP="003C1B8B">
            <w:pPr>
              <w:spacing w:before="0" w:after="0"/>
              <w:rPr>
                <w:rFonts w:ascii="Arial" w:hAnsi="Arial" w:cs="Arial"/>
                <w:sz w:val="20"/>
                <w:szCs w:val="20"/>
                <w:lang w:val="en-GB"/>
              </w:rPr>
            </w:pPr>
            <w:r w:rsidRPr="003476AC">
              <w:rPr>
                <w:rFonts w:ascii="Arial" w:hAnsi="Arial" w:cs="Arial"/>
                <w:sz w:val="20"/>
                <w:szCs w:val="20"/>
                <w:lang w:val="en-GB"/>
              </w:rPr>
              <w:t>The investee companies are rated for good governance practices using a third-party ratings provider. This ESG data that is provided to the Investment Manager in this manner includes, but it not limited to, information in relation to a company’s corporate governance, including board diversity and carbon emissions disclosures and targets.  If an issue is identified which raises the ESG risk profile of a company, this may ultimately lead to a decision to liquidate the position.</w:t>
            </w:r>
          </w:p>
          <w:p w14:paraId="0F8C4F7B" w14:textId="77777777" w:rsidR="003C1B8B" w:rsidRPr="003476AC" w:rsidRDefault="003C1B8B" w:rsidP="003C1B8B">
            <w:pPr>
              <w:spacing w:before="0" w:after="0" w:line="258" w:lineRule="auto"/>
              <w:ind w:right="65"/>
              <w:rPr>
                <w:rFonts w:ascii="Arial" w:hAnsi="Arial" w:cs="Arial"/>
                <w:bCs/>
                <w:i/>
                <w:spacing w:val="-1"/>
                <w:sz w:val="20"/>
                <w:szCs w:val="20"/>
                <w:lang w:val="en-GB"/>
              </w:rPr>
            </w:pPr>
          </w:p>
        </w:tc>
      </w:tr>
      <w:tr w:rsidR="003C1B8B" w:rsidRPr="003C1B8B" w14:paraId="7BA306ED" w14:textId="77777777" w:rsidTr="00303F74">
        <w:trPr>
          <w:trHeight w:val="848"/>
        </w:trPr>
        <w:tc>
          <w:tcPr>
            <w:tcW w:w="1116" w:type="pct"/>
            <w:shd w:val="clear" w:color="auto" w:fill="auto"/>
          </w:tcPr>
          <w:p w14:paraId="53863990" w14:textId="77777777" w:rsidR="003C1B8B" w:rsidRPr="003C1B8B" w:rsidRDefault="003C1B8B" w:rsidP="003C1B8B">
            <w:pPr>
              <w:spacing w:before="0" w:after="0"/>
              <w:jc w:val="left"/>
              <w:rPr>
                <w:rFonts w:ascii="Arial" w:hAnsi="Arial" w:cs="Arial"/>
                <w:sz w:val="20"/>
                <w:szCs w:val="20"/>
                <w:lang w:val="en-GB"/>
              </w:rPr>
            </w:pPr>
            <w:r w:rsidRPr="003C1B8B">
              <w:rPr>
                <w:rFonts w:ascii="Calibri" w:hAnsi="Calibri"/>
                <w:noProof/>
                <w:sz w:val="22"/>
                <w:szCs w:val="24"/>
                <w:lang w:val="en-GB"/>
              </w:rPr>
              <w:drawing>
                <wp:anchor distT="0" distB="0" distL="114300" distR="114300" simplePos="0" relativeHeight="251669504" behindDoc="0" locked="0" layoutInCell="1" allowOverlap="1" wp14:anchorId="2D729B55" wp14:editId="20BDE951">
                  <wp:simplePos x="0" y="0"/>
                  <wp:positionH relativeFrom="page">
                    <wp:posOffset>4801</wp:posOffset>
                  </wp:positionH>
                  <wp:positionV relativeFrom="page">
                    <wp:posOffset>19837</wp:posOffset>
                  </wp:positionV>
                  <wp:extent cx="1389380" cy="499745"/>
                  <wp:effectExtent l="0" t="0" r="1270" b="0"/>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389380" cy="499745"/>
                          </a:xfrm>
                          <a:prstGeom prst="rect">
                            <a:avLst/>
                          </a:prstGeom>
                        </pic:spPr>
                      </pic:pic>
                    </a:graphicData>
                  </a:graphic>
                  <wp14:sizeRelH relativeFrom="margin">
                    <wp14:pctWidth>0</wp14:pctWidth>
                  </wp14:sizeRelH>
                  <wp14:sizeRelV relativeFrom="margin">
                    <wp14:pctHeight>0</wp14:pctHeight>
                  </wp14:sizeRelV>
                </wp:anchor>
              </w:drawing>
            </w:r>
          </w:p>
        </w:tc>
        <w:tc>
          <w:tcPr>
            <w:tcW w:w="124" w:type="pct"/>
            <w:shd w:val="clear" w:color="auto" w:fill="FFFFFF" w:themeFill="background1"/>
          </w:tcPr>
          <w:p w14:paraId="5F5B25B3" w14:textId="77777777" w:rsidR="003C1B8B" w:rsidRPr="003C1B8B" w:rsidRDefault="003C1B8B" w:rsidP="003C1B8B">
            <w:pPr>
              <w:spacing w:before="0" w:after="0"/>
              <w:ind w:right="210"/>
              <w:jc w:val="left"/>
              <w:rPr>
                <w:rFonts w:ascii="Arial" w:eastAsia="Times New Roman" w:hAnsi="Arial" w:cs="Arial"/>
                <w:noProof/>
                <w:color w:val="2B579A"/>
                <w:sz w:val="20"/>
                <w:szCs w:val="20"/>
                <w:shd w:val="clear" w:color="auto" w:fill="E6E6E6"/>
                <w:lang w:val="en-GB"/>
              </w:rPr>
            </w:pPr>
          </w:p>
        </w:tc>
        <w:tc>
          <w:tcPr>
            <w:tcW w:w="3760" w:type="pct"/>
            <w:gridSpan w:val="6"/>
            <w:vMerge w:val="restart"/>
          </w:tcPr>
          <w:p w14:paraId="46C21C71" w14:textId="77777777" w:rsidR="003C1B8B" w:rsidRPr="003476AC" w:rsidRDefault="003C1B8B" w:rsidP="003C1B8B">
            <w:pPr>
              <w:spacing w:before="0" w:after="0" w:line="259" w:lineRule="auto"/>
              <w:ind w:right="210"/>
              <w:jc w:val="left"/>
              <w:rPr>
                <w:rFonts w:ascii="Arial" w:hAnsi="Arial" w:cs="Arial"/>
                <w:b/>
                <w:i/>
                <w:iCs/>
                <w:color w:val="C00000"/>
                <w:sz w:val="20"/>
                <w:szCs w:val="20"/>
                <w:lang w:val="en-GB"/>
              </w:rPr>
            </w:pPr>
            <w:r w:rsidRPr="003476AC">
              <w:rPr>
                <w:rFonts w:ascii="Arial" w:hAnsi="Arial" w:cs="Arial"/>
                <w:b/>
                <w:spacing w:val="1"/>
                <w:sz w:val="20"/>
                <w:szCs w:val="20"/>
                <w:lang w:val="en-GB"/>
              </w:rPr>
              <w:t>Wh</w:t>
            </w:r>
            <w:r w:rsidRPr="003476AC">
              <w:rPr>
                <w:rFonts w:ascii="Arial" w:hAnsi="Arial" w:cs="Arial"/>
                <w:b/>
                <w:spacing w:val="-1"/>
                <w:sz w:val="20"/>
                <w:szCs w:val="20"/>
                <w:lang w:val="en-GB"/>
              </w:rPr>
              <w:t>a</w:t>
            </w:r>
            <w:r w:rsidRPr="003476AC">
              <w:rPr>
                <w:rFonts w:ascii="Arial" w:hAnsi="Arial" w:cs="Arial"/>
                <w:b/>
                <w:sz w:val="20"/>
                <w:szCs w:val="20"/>
                <w:lang w:val="en-GB"/>
              </w:rPr>
              <w:t>t</w:t>
            </w:r>
            <w:r w:rsidRPr="003476AC">
              <w:rPr>
                <w:rFonts w:ascii="Arial" w:hAnsi="Arial" w:cs="Arial"/>
                <w:b/>
                <w:spacing w:val="2"/>
                <w:sz w:val="20"/>
                <w:szCs w:val="20"/>
                <w:lang w:val="en-GB"/>
              </w:rPr>
              <w:t xml:space="preserve"> </w:t>
            </w:r>
            <w:r w:rsidRPr="003476AC">
              <w:rPr>
                <w:rFonts w:ascii="Arial" w:hAnsi="Arial" w:cs="Arial"/>
                <w:b/>
                <w:spacing w:val="-1"/>
                <w:sz w:val="20"/>
                <w:szCs w:val="20"/>
                <w:lang w:val="en-GB"/>
              </w:rPr>
              <w:t>i</w:t>
            </w:r>
            <w:r w:rsidRPr="003476AC">
              <w:rPr>
                <w:rFonts w:ascii="Arial" w:hAnsi="Arial" w:cs="Arial"/>
                <w:b/>
                <w:sz w:val="20"/>
                <w:szCs w:val="20"/>
                <w:lang w:val="en-GB"/>
              </w:rPr>
              <w:t>s</w:t>
            </w:r>
            <w:r w:rsidRPr="003476AC">
              <w:rPr>
                <w:rFonts w:ascii="Arial" w:hAnsi="Arial" w:cs="Arial"/>
                <w:b/>
                <w:spacing w:val="1"/>
                <w:sz w:val="20"/>
                <w:szCs w:val="20"/>
                <w:lang w:val="en-GB"/>
              </w:rPr>
              <w:t xml:space="preserve"> </w:t>
            </w:r>
            <w:r w:rsidRPr="003476AC">
              <w:rPr>
                <w:rFonts w:ascii="Arial" w:hAnsi="Arial" w:cs="Arial"/>
                <w:b/>
                <w:spacing w:val="-2"/>
                <w:sz w:val="20"/>
                <w:szCs w:val="20"/>
                <w:lang w:val="en-GB"/>
              </w:rPr>
              <w:t>t</w:t>
            </w:r>
            <w:r w:rsidRPr="003476AC">
              <w:rPr>
                <w:rFonts w:ascii="Arial" w:hAnsi="Arial" w:cs="Arial"/>
                <w:b/>
                <w:spacing w:val="1"/>
                <w:sz w:val="20"/>
                <w:szCs w:val="20"/>
                <w:lang w:val="en-GB"/>
              </w:rPr>
              <w:t>h</w:t>
            </w:r>
            <w:r w:rsidRPr="003476AC">
              <w:rPr>
                <w:rFonts w:ascii="Arial" w:hAnsi="Arial" w:cs="Arial"/>
                <w:b/>
                <w:sz w:val="20"/>
                <w:szCs w:val="20"/>
                <w:lang w:val="en-GB"/>
              </w:rPr>
              <w:t xml:space="preserve">e </w:t>
            </w:r>
            <w:r w:rsidRPr="003476AC">
              <w:rPr>
                <w:rFonts w:ascii="Arial" w:hAnsi="Arial" w:cs="Arial"/>
                <w:b/>
                <w:spacing w:val="-1"/>
                <w:sz w:val="20"/>
                <w:szCs w:val="20"/>
                <w:lang w:val="en-GB"/>
              </w:rPr>
              <w:t>a</w:t>
            </w:r>
            <w:r w:rsidRPr="003476AC">
              <w:rPr>
                <w:rFonts w:ascii="Arial" w:hAnsi="Arial" w:cs="Arial"/>
                <w:b/>
                <w:sz w:val="20"/>
                <w:szCs w:val="20"/>
                <w:lang w:val="en-GB"/>
              </w:rPr>
              <w:t>ss</w:t>
            </w:r>
            <w:r w:rsidRPr="003476AC">
              <w:rPr>
                <w:rFonts w:ascii="Arial" w:hAnsi="Arial" w:cs="Arial"/>
                <w:b/>
                <w:spacing w:val="-1"/>
                <w:sz w:val="20"/>
                <w:szCs w:val="20"/>
                <w:lang w:val="en-GB"/>
              </w:rPr>
              <w:t>e</w:t>
            </w:r>
            <w:r w:rsidRPr="003476AC">
              <w:rPr>
                <w:rFonts w:ascii="Arial" w:hAnsi="Arial" w:cs="Arial"/>
                <w:b/>
                <w:sz w:val="20"/>
                <w:szCs w:val="20"/>
                <w:lang w:val="en-GB"/>
              </w:rPr>
              <w:t>t</w:t>
            </w:r>
            <w:r w:rsidRPr="003476AC">
              <w:rPr>
                <w:rFonts w:ascii="Arial" w:hAnsi="Arial" w:cs="Arial"/>
                <w:b/>
                <w:spacing w:val="2"/>
                <w:sz w:val="20"/>
                <w:szCs w:val="20"/>
                <w:lang w:val="en-GB"/>
              </w:rPr>
              <w:t xml:space="preserve"> </w:t>
            </w:r>
            <w:r w:rsidRPr="003476AC">
              <w:rPr>
                <w:rFonts w:ascii="Arial" w:hAnsi="Arial" w:cs="Arial"/>
                <w:b/>
                <w:spacing w:val="-1"/>
                <w:sz w:val="20"/>
                <w:szCs w:val="20"/>
                <w:lang w:val="en-GB"/>
              </w:rPr>
              <w:t>a</w:t>
            </w:r>
            <w:r w:rsidRPr="003476AC">
              <w:rPr>
                <w:rFonts w:ascii="Arial" w:hAnsi="Arial" w:cs="Arial"/>
                <w:b/>
                <w:spacing w:val="1"/>
                <w:sz w:val="20"/>
                <w:szCs w:val="20"/>
                <w:lang w:val="en-GB"/>
              </w:rPr>
              <w:t>l</w:t>
            </w:r>
            <w:r w:rsidRPr="003476AC">
              <w:rPr>
                <w:rFonts w:ascii="Arial" w:hAnsi="Arial" w:cs="Arial"/>
                <w:b/>
                <w:spacing w:val="-1"/>
                <w:sz w:val="20"/>
                <w:szCs w:val="20"/>
                <w:lang w:val="en-GB"/>
              </w:rPr>
              <w:t>l</w:t>
            </w:r>
            <w:r w:rsidRPr="003476AC">
              <w:rPr>
                <w:rFonts w:ascii="Arial" w:hAnsi="Arial" w:cs="Arial"/>
                <w:b/>
                <w:spacing w:val="1"/>
                <w:sz w:val="20"/>
                <w:szCs w:val="20"/>
                <w:lang w:val="en-GB"/>
              </w:rPr>
              <w:t>o</w:t>
            </w:r>
            <w:r w:rsidRPr="003476AC">
              <w:rPr>
                <w:rFonts w:ascii="Arial" w:hAnsi="Arial" w:cs="Arial"/>
                <w:b/>
                <w:sz w:val="20"/>
                <w:szCs w:val="20"/>
                <w:lang w:val="en-GB"/>
              </w:rPr>
              <w:t>c</w:t>
            </w:r>
            <w:r w:rsidRPr="003476AC">
              <w:rPr>
                <w:rFonts w:ascii="Arial" w:hAnsi="Arial" w:cs="Arial"/>
                <w:b/>
                <w:spacing w:val="-1"/>
                <w:sz w:val="20"/>
                <w:szCs w:val="20"/>
                <w:lang w:val="en-GB"/>
              </w:rPr>
              <w:t>a</w:t>
            </w:r>
            <w:r w:rsidRPr="003476AC">
              <w:rPr>
                <w:rFonts w:ascii="Arial" w:hAnsi="Arial" w:cs="Arial"/>
                <w:b/>
                <w:spacing w:val="-2"/>
                <w:sz w:val="20"/>
                <w:szCs w:val="20"/>
                <w:lang w:val="en-GB"/>
              </w:rPr>
              <w:t>t</w:t>
            </w:r>
            <w:r w:rsidRPr="003476AC">
              <w:rPr>
                <w:rFonts w:ascii="Arial" w:hAnsi="Arial" w:cs="Arial"/>
                <w:b/>
                <w:spacing w:val="1"/>
                <w:sz w:val="20"/>
                <w:szCs w:val="20"/>
                <w:lang w:val="en-GB"/>
              </w:rPr>
              <w:t>io</w:t>
            </w:r>
            <w:r w:rsidRPr="003476AC">
              <w:rPr>
                <w:rFonts w:ascii="Arial" w:hAnsi="Arial" w:cs="Arial"/>
                <w:b/>
                <w:sz w:val="20"/>
                <w:szCs w:val="20"/>
                <w:lang w:val="en-GB"/>
              </w:rPr>
              <w:t>n</w:t>
            </w:r>
            <w:r w:rsidRPr="003476AC">
              <w:rPr>
                <w:rFonts w:ascii="Arial" w:hAnsi="Arial" w:cs="Arial"/>
                <w:b/>
                <w:spacing w:val="-1"/>
                <w:sz w:val="20"/>
                <w:szCs w:val="20"/>
                <w:lang w:val="en-GB"/>
              </w:rPr>
              <w:t xml:space="preserve"> </w:t>
            </w:r>
            <w:r w:rsidRPr="003476AC">
              <w:rPr>
                <w:rFonts w:ascii="Arial" w:hAnsi="Arial" w:cs="Arial"/>
                <w:b/>
                <w:spacing w:val="1"/>
                <w:sz w:val="20"/>
                <w:szCs w:val="20"/>
                <w:lang w:val="en-GB"/>
              </w:rPr>
              <w:t>pl</w:t>
            </w:r>
            <w:r w:rsidRPr="003476AC">
              <w:rPr>
                <w:rFonts w:ascii="Arial" w:hAnsi="Arial" w:cs="Arial"/>
                <w:b/>
                <w:spacing w:val="-1"/>
                <w:sz w:val="20"/>
                <w:szCs w:val="20"/>
                <w:lang w:val="en-GB"/>
              </w:rPr>
              <w:t>a</w:t>
            </w:r>
            <w:r w:rsidRPr="003476AC">
              <w:rPr>
                <w:rFonts w:ascii="Arial" w:hAnsi="Arial" w:cs="Arial"/>
                <w:b/>
                <w:spacing w:val="1"/>
                <w:sz w:val="20"/>
                <w:szCs w:val="20"/>
                <w:lang w:val="en-GB"/>
              </w:rPr>
              <w:t>nn</w:t>
            </w:r>
            <w:r w:rsidRPr="003476AC">
              <w:rPr>
                <w:rFonts w:ascii="Arial" w:hAnsi="Arial" w:cs="Arial"/>
                <w:b/>
                <w:spacing w:val="-1"/>
                <w:sz w:val="20"/>
                <w:szCs w:val="20"/>
                <w:lang w:val="en-GB"/>
              </w:rPr>
              <w:t>e</w:t>
            </w:r>
            <w:r w:rsidRPr="003476AC">
              <w:rPr>
                <w:rFonts w:ascii="Arial" w:hAnsi="Arial" w:cs="Arial"/>
                <w:b/>
                <w:sz w:val="20"/>
                <w:szCs w:val="20"/>
                <w:lang w:val="en-GB"/>
              </w:rPr>
              <w:t>d</w:t>
            </w:r>
            <w:r w:rsidRPr="003476AC">
              <w:rPr>
                <w:rFonts w:ascii="Arial" w:hAnsi="Arial" w:cs="Arial"/>
                <w:b/>
                <w:spacing w:val="-1"/>
                <w:sz w:val="20"/>
                <w:szCs w:val="20"/>
                <w:lang w:val="en-GB"/>
              </w:rPr>
              <w:t xml:space="preserve"> </w:t>
            </w:r>
            <w:r w:rsidRPr="003476AC">
              <w:rPr>
                <w:rFonts w:ascii="Arial" w:hAnsi="Arial" w:cs="Arial"/>
                <w:b/>
                <w:spacing w:val="1"/>
                <w:sz w:val="20"/>
                <w:szCs w:val="20"/>
                <w:lang w:val="en-GB"/>
              </w:rPr>
              <w:t>f</w:t>
            </w:r>
            <w:r w:rsidRPr="003476AC">
              <w:rPr>
                <w:rFonts w:ascii="Arial" w:hAnsi="Arial" w:cs="Arial"/>
                <w:b/>
                <w:spacing w:val="-2"/>
                <w:sz w:val="20"/>
                <w:szCs w:val="20"/>
                <w:lang w:val="en-GB"/>
              </w:rPr>
              <w:t>o</w:t>
            </w:r>
            <w:r w:rsidRPr="003476AC">
              <w:rPr>
                <w:rFonts w:ascii="Arial" w:hAnsi="Arial" w:cs="Arial"/>
                <w:b/>
                <w:sz w:val="20"/>
                <w:szCs w:val="20"/>
                <w:lang w:val="en-GB"/>
              </w:rPr>
              <w:t xml:space="preserve">r </w:t>
            </w:r>
            <w:r w:rsidRPr="003476AC">
              <w:rPr>
                <w:rFonts w:ascii="Arial" w:hAnsi="Arial" w:cs="Arial"/>
                <w:b/>
                <w:spacing w:val="1"/>
                <w:sz w:val="20"/>
                <w:szCs w:val="20"/>
                <w:lang w:val="en-GB"/>
              </w:rPr>
              <w:t>thi</w:t>
            </w:r>
            <w:r w:rsidRPr="003476AC">
              <w:rPr>
                <w:rFonts w:ascii="Arial" w:hAnsi="Arial" w:cs="Arial"/>
                <w:b/>
                <w:sz w:val="20"/>
                <w:szCs w:val="20"/>
                <w:lang w:val="en-GB"/>
              </w:rPr>
              <w:t>s</w:t>
            </w:r>
            <w:r w:rsidRPr="003476AC">
              <w:rPr>
                <w:rFonts w:ascii="Arial" w:hAnsi="Arial" w:cs="Arial"/>
                <w:b/>
                <w:spacing w:val="-1"/>
                <w:sz w:val="20"/>
                <w:szCs w:val="20"/>
                <w:lang w:val="en-GB"/>
              </w:rPr>
              <w:t xml:space="preserve"> </w:t>
            </w:r>
            <w:r w:rsidRPr="003476AC">
              <w:rPr>
                <w:rFonts w:ascii="Arial" w:hAnsi="Arial" w:cs="Arial"/>
                <w:b/>
                <w:spacing w:val="-2"/>
                <w:sz w:val="20"/>
                <w:szCs w:val="20"/>
                <w:lang w:val="en-GB"/>
              </w:rPr>
              <w:t>f</w:t>
            </w:r>
            <w:r w:rsidRPr="003476AC">
              <w:rPr>
                <w:rFonts w:ascii="Arial" w:hAnsi="Arial" w:cs="Arial"/>
                <w:b/>
                <w:spacing w:val="1"/>
                <w:sz w:val="20"/>
                <w:szCs w:val="20"/>
                <w:lang w:val="en-GB"/>
              </w:rPr>
              <w:t>in</w:t>
            </w:r>
            <w:r w:rsidRPr="003476AC">
              <w:rPr>
                <w:rFonts w:ascii="Arial" w:hAnsi="Arial" w:cs="Arial"/>
                <w:b/>
                <w:spacing w:val="-3"/>
                <w:sz w:val="20"/>
                <w:szCs w:val="20"/>
                <w:lang w:val="en-GB"/>
              </w:rPr>
              <w:t>a</w:t>
            </w:r>
            <w:r w:rsidRPr="003476AC">
              <w:rPr>
                <w:rFonts w:ascii="Arial" w:hAnsi="Arial" w:cs="Arial"/>
                <w:b/>
                <w:spacing w:val="1"/>
                <w:sz w:val="20"/>
                <w:szCs w:val="20"/>
                <w:lang w:val="en-GB"/>
              </w:rPr>
              <w:t>n</w:t>
            </w:r>
            <w:r w:rsidRPr="003476AC">
              <w:rPr>
                <w:rFonts w:ascii="Arial" w:hAnsi="Arial" w:cs="Arial"/>
                <w:b/>
                <w:sz w:val="20"/>
                <w:szCs w:val="20"/>
                <w:lang w:val="en-GB"/>
              </w:rPr>
              <w:t>c</w:t>
            </w:r>
            <w:r w:rsidRPr="003476AC">
              <w:rPr>
                <w:rFonts w:ascii="Arial" w:hAnsi="Arial" w:cs="Arial"/>
                <w:b/>
                <w:spacing w:val="1"/>
                <w:sz w:val="20"/>
                <w:szCs w:val="20"/>
                <w:lang w:val="en-GB"/>
              </w:rPr>
              <w:t>i</w:t>
            </w:r>
            <w:r w:rsidRPr="003476AC">
              <w:rPr>
                <w:rFonts w:ascii="Arial" w:hAnsi="Arial" w:cs="Arial"/>
                <w:b/>
                <w:spacing w:val="-1"/>
                <w:sz w:val="20"/>
                <w:szCs w:val="20"/>
                <w:lang w:val="en-GB"/>
              </w:rPr>
              <w:t>a</w:t>
            </w:r>
            <w:r w:rsidRPr="003476AC">
              <w:rPr>
                <w:rFonts w:ascii="Arial" w:hAnsi="Arial" w:cs="Arial"/>
                <w:b/>
                <w:sz w:val="20"/>
                <w:szCs w:val="20"/>
                <w:lang w:val="en-GB"/>
              </w:rPr>
              <w:t xml:space="preserve">l </w:t>
            </w:r>
            <w:r w:rsidRPr="003476AC">
              <w:rPr>
                <w:rFonts w:ascii="Arial" w:hAnsi="Arial" w:cs="Arial"/>
                <w:b/>
                <w:spacing w:val="1"/>
                <w:sz w:val="20"/>
                <w:szCs w:val="20"/>
                <w:lang w:val="en-GB"/>
              </w:rPr>
              <w:t>pr</w:t>
            </w:r>
            <w:r w:rsidRPr="003476AC">
              <w:rPr>
                <w:rFonts w:ascii="Arial" w:hAnsi="Arial" w:cs="Arial"/>
                <w:b/>
                <w:spacing w:val="-2"/>
                <w:sz w:val="20"/>
                <w:szCs w:val="20"/>
                <w:lang w:val="en-GB"/>
              </w:rPr>
              <w:t>o</w:t>
            </w:r>
            <w:r w:rsidRPr="003476AC">
              <w:rPr>
                <w:rFonts w:ascii="Arial" w:hAnsi="Arial" w:cs="Arial"/>
                <w:b/>
                <w:spacing w:val="1"/>
                <w:sz w:val="20"/>
                <w:szCs w:val="20"/>
                <w:lang w:val="en-GB"/>
              </w:rPr>
              <w:t>du</w:t>
            </w:r>
            <w:r w:rsidRPr="003476AC">
              <w:rPr>
                <w:rFonts w:ascii="Arial" w:hAnsi="Arial" w:cs="Arial"/>
                <w:b/>
                <w:spacing w:val="-2"/>
                <w:sz w:val="20"/>
                <w:szCs w:val="20"/>
                <w:lang w:val="en-GB"/>
              </w:rPr>
              <w:t>c</w:t>
            </w:r>
            <w:r w:rsidRPr="003476AC">
              <w:rPr>
                <w:rFonts w:ascii="Arial" w:hAnsi="Arial" w:cs="Arial"/>
                <w:b/>
                <w:spacing w:val="1"/>
                <w:sz w:val="20"/>
                <w:szCs w:val="20"/>
                <w:lang w:val="en-GB"/>
              </w:rPr>
              <w:t>t</w:t>
            </w:r>
            <w:r w:rsidRPr="003476AC">
              <w:rPr>
                <w:rFonts w:ascii="Arial" w:hAnsi="Arial" w:cs="Arial"/>
                <w:b/>
                <w:sz w:val="20"/>
                <w:szCs w:val="20"/>
                <w:lang w:val="en-GB"/>
              </w:rPr>
              <w:t xml:space="preserve">? </w:t>
            </w:r>
          </w:p>
          <w:p w14:paraId="1FCA01C8" w14:textId="77777777" w:rsidR="003C1B8B" w:rsidRPr="003476AC" w:rsidRDefault="003C1B8B" w:rsidP="003C1B8B">
            <w:pPr>
              <w:autoSpaceDE w:val="0"/>
              <w:autoSpaceDN w:val="0"/>
              <w:adjustRightInd w:val="0"/>
              <w:spacing w:before="0" w:after="0"/>
              <w:jc w:val="left"/>
              <w:rPr>
                <w:rFonts w:ascii="Arial" w:hAnsi="Arial" w:cs="Arial"/>
                <w:strike/>
                <w:color w:val="000000"/>
                <w:sz w:val="20"/>
                <w:szCs w:val="20"/>
                <w:highlight w:val="magenta"/>
                <w:lang w:val="en-GB"/>
              </w:rPr>
            </w:pPr>
          </w:p>
          <w:p w14:paraId="23B30A42" w14:textId="77777777" w:rsidR="003C1B8B" w:rsidRPr="003476AC" w:rsidRDefault="003C1B8B" w:rsidP="003C1B8B">
            <w:pPr>
              <w:autoSpaceDE w:val="0"/>
              <w:autoSpaceDN w:val="0"/>
              <w:adjustRightInd w:val="0"/>
              <w:spacing w:before="0" w:after="0"/>
              <w:jc w:val="left"/>
              <w:rPr>
                <w:rFonts w:ascii="Arial" w:hAnsi="Arial" w:cs="Arial"/>
                <w:color w:val="000000"/>
                <w:sz w:val="20"/>
                <w:szCs w:val="20"/>
                <w:lang w:val="en-GB"/>
              </w:rPr>
            </w:pPr>
            <w:r w:rsidRPr="003476AC">
              <w:rPr>
                <w:rFonts w:ascii="Arial" w:hAnsi="Arial" w:cs="Arial"/>
                <w:color w:val="000000"/>
                <w:sz w:val="20"/>
                <w:szCs w:val="20"/>
                <w:lang w:val="en-GB"/>
              </w:rPr>
              <w:t xml:space="preserve">The Fund will invest a minimum of 60% of its Net Asset Value </w:t>
            </w:r>
            <w:r w:rsidRPr="003476AC">
              <w:rPr>
                <w:rFonts w:ascii="Arial" w:hAnsi="Arial" w:cs="Arial"/>
                <w:sz w:val="20"/>
                <w:szCs w:val="20"/>
                <w:lang w:val="en-GB"/>
              </w:rPr>
              <w:t xml:space="preserve">directly </w:t>
            </w:r>
            <w:r w:rsidRPr="003476AC">
              <w:rPr>
                <w:rFonts w:ascii="Arial" w:hAnsi="Arial" w:cs="Arial"/>
                <w:color w:val="000000"/>
                <w:sz w:val="20"/>
                <w:szCs w:val="20"/>
                <w:lang w:val="en-GB"/>
              </w:rPr>
              <w:t>in securities (fixed income and equities) which align with the environmental and/or social characteristics of the Fund as described above.</w:t>
            </w:r>
          </w:p>
          <w:p w14:paraId="269D4D16" w14:textId="77777777" w:rsidR="003C1B8B" w:rsidRPr="003476AC" w:rsidRDefault="003C1B8B" w:rsidP="003C1B8B">
            <w:pPr>
              <w:spacing w:before="0" w:after="0"/>
              <w:rPr>
                <w:rFonts w:ascii="Arial" w:hAnsi="Arial" w:cs="Arial"/>
                <w:sz w:val="20"/>
                <w:szCs w:val="20"/>
                <w:lang w:val="en-GB"/>
              </w:rPr>
            </w:pPr>
          </w:p>
        </w:tc>
      </w:tr>
      <w:tr w:rsidR="003C1B8B" w:rsidRPr="003C1B8B" w14:paraId="1AE238C7" w14:textId="77777777" w:rsidTr="00303F74">
        <w:trPr>
          <w:trHeight w:val="847"/>
        </w:trPr>
        <w:tc>
          <w:tcPr>
            <w:tcW w:w="1116" w:type="pct"/>
            <w:vMerge w:val="restart"/>
            <w:shd w:val="clear" w:color="auto" w:fill="D9D9D9" w:themeFill="background1" w:themeFillShade="D9"/>
          </w:tcPr>
          <w:p w14:paraId="384DAC4E" w14:textId="77777777" w:rsidR="003C1B8B" w:rsidRPr="003C1B8B" w:rsidRDefault="003C1B8B" w:rsidP="003C1B8B">
            <w:pPr>
              <w:spacing w:before="0" w:after="0"/>
              <w:jc w:val="left"/>
              <w:rPr>
                <w:rFonts w:ascii="Arial" w:hAnsi="Arial" w:cs="Arial"/>
                <w:sz w:val="18"/>
                <w:szCs w:val="18"/>
                <w:lang w:val="en-GB"/>
              </w:rPr>
            </w:pPr>
            <w:r w:rsidRPr="003C1B8B">
              <w:rPr>
                <w:rFonts w:ascii="Arial" w:hAnsi="Arial" w:cs="Arial"/>
                <w:bCs/>
                <w:sz w:val="18"/>
                <w:szCs w:val="18"/>
                <w:lang w:val="en-GB"/>
              </w:rPr>
              <w:t>Asset allocation</w:t>
            </w:r>
            <w:r w:rsidRPr="003C1B8B">
              <w:rPr>
                <w:rFonts w:ascii="Arial" w:hAnsi="Arial" w:cs="Arial"/>
                <w:sz w:val="18"/>
                <w:szCs w:val="18"/>
                <w:lang w:val="en-GB"/>
              </w:rPr>
              <w:t xml:space="preserve"> describes the share of investments in specific assets.</w:t>
            </w:r>
          </w:p>
        </w:tc>
        <w:tc>
          <w:tcPr>
            <w:tcW w:w="124" w:type="pct"/>
            <w:shd w:val="clear" w:color="auto" w:fill="FFFFFF" w:themeFill="background1"/>
          </w:tcPr>
          <w:p w14:paraId="16D81011" w14:textId="77777777" w:rsidR="003C1B8B" w:rsidRPr="003C1B8B" w:rsidRDefault="003C1B8B" w:rsidP="003C1B8B">
            <w:pPr>
              <w:spacing w:before="0" w:after="0"/>
              <w:ind w:right="210"/>
              <w:jc w:val="left"/>
              <w:rPr>
                <w:rFonts w:ascii="Arial" w:eastAsia="Times New Roman" w:hAnsi="Arial" w:cs="Arial"/>
                <w:noProof/>
                <w:sz w:val="20"/>
                <w:szCs w:val="20"/>
                <w:lang w:val="en-GB"/>
              </w:rPr>
            </w:pPr>
          </w:p>
        </w:tc>
        <w:tc>
          <w:tcPr>
            <w:tcW w:w="3760" w:type="pct"/>
            <w:gridSpan w:val="6"/>
            <w:vMerge/>
          </w:tcPr>
          <w:p w14:paraId="79ED2CF2" w14:textId="77777777" w:rsidR="003C1B8B" w:rsidRPr="003476AC" w:rsidRDefault="003C1B8B" w:rsidP="003C1B8B">
            <w:pPr>
              <w:spacing w:before="0" w:after="0"/>
              <w:ind w:right="210"/>
              <w:jc w:val="left"/>
              <w:rPr>
                <w:rFonts w:ascii="Arial" w:eastAsia="Times New Roman" w:hAnsi="Arial" w:cs="Arial"/>
                <w:noProof/>
                <w:sz w:val="20"/>
                <w:szCs w:val="20"/>
                <w:lang w:val="en-GB"/>
              </w:rPr>
            </w:pPr>
          </w:p>
        </w:tc>
      </w:tr>
      <w:tr w:rsidR="003C1B8B" w:rsidRPr="003C1B8B" w14:paraId="7750973A" w14:textId="77777777" w:rsidTr="00303F74">
        <w:trPr>
          <w:trHeight w:val="573"/>
        </w:trPr>
        <w:tc>
          <w:tcPr>
            <w:tcW w:w="1116" w:type="pct"/>
            <w:vMerge/>
          </w:tcPr>
          <w:p w14:paraId="73A8DD51"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303F6104" w14:textId="77777777" w:rsidR="003C1B8B" w:rsidRPr="003C1B8B" w:rsidRDefault="003C1B8B" w:rsidP="003C1B8B">
            <w:pPr>
              <w:spacing w:before="0" w:after="0"/>
              <w:ind w:left="340"/>
              <w:jc w:val="left"/>
              <w:rPr>
                <w:rFonts w:ascii="Arial" w:hAnsi="Arial" w:cs="Arial"/>
                <w:i/>
                <w:iCs/>
                <w:sz w:val="20"/>
                <w:szCs w:val="20"/>
                <w:lang w:val="en-GB"/>
              </w:rPr>
            </w:pPr>
          </w:p>
        </w:tc>
        <w:tc>
          <w:tcPr>
            <w:tcW w:w="3760" w:type="pct"/>
            <w:gridSpan w:val="6"/>
            <w:shd w:val="clear" w:color="auto" w:fill="FFFFFF" w:themeFill="background1"/>
          </w:tcPr>
          <w:p w14:paraId="0A79A236" w14:textId="77777777" w:rsidR="003C1B8B" w:rsidRPr="003476AC" w:rsidRDefault="003C1B8B" w:rsidP="003C1B8B">
            <w:pPr>
              <w:spacing w:before="0" w:after="0"/>
              <w:ind w:left="340"/>
              <w:jc w:val="left"/>
              <w:rPr>
                <w:rFonts w:ascii="Arial" w:hAnsi="Arial" w:cs="Arial"/>
                <w:b/>
                <w:i/>
                <w:color w:val="C00000"/>
                <w:sz w:val="20"/>
                <w:szCs w:val="20"/>
                <w:lang w:val="en-GB"/>
              </w:rPr>
            </w:pPr>
            <w:r w:rsidRPr="003476AC">
              <w:rPr>
                <w:rFonts w:ascii="Arial" w:hAnsi="Arial" w:cs="Arial"/>
                <w:b/>
                <w:i/>
                <w:iCs/>
                <w:sz w:val="20"/>
                <w:szCs w:val="20"/>
                <w:lang w:val="en-GB"/>
              </w:rPr>
              <w:t>How does the use of derivatives attain the environmental or social characteristics promoted by the financial product?</w:t>
            </w:r>
            <w:r w:rsidRPr="003476AC">
              <w:rPr>
                <w:rFonts w:ascii="Arial" w:hAnsi="Arial" w:cs="Arial"/>
                <w:b/>
                <w:sz w:val="20"/>
                <w:szCs w:val="20"/>
                <w:lang w:val="en-GB"/>
              </w:rPr>
              <w:t xml:space="preserve"> </w:t>
            </w:r>
            <w:r w:rsidRPr="003476AC">
              <w:rPr>
                <w:rFonts w:cs="Arial"/>
                <w:b/>
                <w:i/>
                <w:iCs/>
                <w:noProof/>
                <w:sz w:val="20"/>
                <w:szCs w:val="20"/>
                <w:lang w:val="en-GB"/>
              </w:rPr>
              <mc:AlternateContent>
                <mc:Choice Requires="wps">
                  <w:drawing>
                    <wp:anchor distT="0" distB="0" distL="114300" distR="114300" simplePos="0" relativeHeight="251670528" behindDoc="0" locked="0" layoutInCell="1" allowOverlap="1" wp14:anchorId="30AC8F4F" wp14:editId="67029D18">
                      <wp:simplePos x="0" y="0"/>
                      <wp:positionH relativeFrom="column">
                        <wp:posOffset>-864</wp:posOffset>
                      </wp:positionH>
                      <wp:positionV relativeFrom="page">
                        <wp:posOffset>34011</wp:posOffset>
                      </wp:positionV>
                      <wp:extent cx="130175" cy="130175"/>
                      <wp:effectExtent l="0" t="0" r="3175" b="3175"/>
                      <wp:wrapNone/>
                      <wp:docPr id="10" name="Oval 1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1AAE2" id="Oval 10" o:spid="_x0000_s1026" style="position:absolute;margin-left:-.05pt;margin-top:2.7pt;width:10.25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" fillcolor="#d0cece" stroked="f" strokeweight="1pt">
                      <v:stroke joinstyle="miter"/>
                      <w10:wrap anchory="page"/>
                    </v:oval>
                  </w:pict>
                </mc:Fallback>
              </mc:AlternateContent>
            </w:r>
          </w:p>
        </w:tc>
      </w:tr>
      <w:tr w:rsidR="003C1B8B" w:rsidRPr="003C1B8B" w14:paraId="330368F1" w14:textId="77777777" w:rsidTr="00303F74">
        <w:trPr>
          <w:trHeight w:val="573"/>
        </w:trPr>
        <w:tc>
          <w:tcPr>
            <w:tcW w:w="1116" w:type="pct"/>
            <w:vMerge/>
          </w:tcPr>
          <w:p w14:paraId="69C69350"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020E5F06" w14:textId="77777777" w:rsidR="003C1B8B" w:rsidRPr="003C1B8B" w:rsidRDefault="003C1B8B" w:rsidP="003C1B8B">
            <w:pPr>
              <w:spacing w:before="0" w:after="0"/>
              <w:jc w:val="left"/>
              <w:rPr>
                <w:rFonts w:ascii="Arial" w:hAnsi="Arial" w:cs="Arial"/>
                <w:i/>
                <w:color w:val="C00000"/>
                <w:sz w:val="20"/>
                <w:szCs w:val="20"/>
                <w:lang w:val="en-GB"/>
              </w:rPr>
            </w:pPr>
          </w:p>
        </w:tc>
        <w:tc>
          <w:tcPr>
            <w:tcW w:w="3760" w:type="pct"/>
            <w:gridSpan w:val="6"/>
            <w:shd w:val="clear" w:color="auto" w:fill="FFFFFF" w:themeFill="background1"/>
          </w:tcPr>
          <w:p w14:paraId="7C601F6D" w14:textId="77777777" w:rsidR="003C1B8B" w:rsidRPr="003476AC" w:rsidRDefault="003C1B8B" w:rsidP="003C1B8B">
            <w:pPr>
              <w:spacing w:before="0" w:after="0"/>
              <w:jc w:val="left"/>
              <w:rPr>
                <w:rFonts w:ascii="Arial" w:hAnsi="Arial" w:cs="Arial"/>
                <w:i/>
                <w:color w:val="C00000"/>
                <w:sz w:val="20"/>
                <w:szCs w:val="20"/>
                <w:lang w:val="en-GB"/>
              </w:rPr>
            </w:pPr>
          </w:p>
          <w:p w14:paraId="0EA285EC" w14:textId="77777777" w:rsidR="003C1B8B" w:rsidRPr="003476AC" w:rsidRDefault="003C1B8B" w:rsidP="003C1B8B">
            <w:pPr>
              <w:spacing w:before="0" w:after="0"/>
              <w:rPr>
                <w:rFonts w:ascii="Arial" w:hAnsi="Arial" w:cs="Arial"/>
                <w:sz w:val="20"/>
                <w:szCs w:val="20"/>
                <w:lang w:val="en-GB"/>
              </w:rPr>
            </w:pPr>
            <w:r w:rsidRPr="003476AC">
              <w:rPr>
                <w:rFonts w:ascii="Arial" w:hAnsi="Arial" w:cs="Arial"/>
                <w:sz w:val="20"/>
                <w:szCs w:val="20"/>
                <w:lang w:val="en-GB"/>
              </w:rPr>
              <w:t>Derivative use, if any, does not contribute to attaining the environmental or social characteristics promoted by the Fund.</w:t>
            </w:r>
          </w:p>
          <w:p w14:paraId="0BF879BE" w14:textId="77777777" w:rsidR="003C1B8B" w:rsidRPr="003476AC" w:rsidRDefault="003C1B8B" w:rsidP="003C1B8B">
            <w:pPr>
              <w:spacing w:before="0" w:after="0"/>
              <w:jc w:val="left"/>
              <w:rPr>
                <w:rFonts w:ascii="Arial" w:hAnsi="Arial" w:cs="Arial"/>
                <w:i/>
                <w:color w:val="C00000"/>
                <w:sz w:val="20"/>
                <w:szCs w:val="20"/>
                <w:lang w:val="en-GB"/>
              </w:rPr>
            </w:pPr>
          </w:p>
          <w:p w14:paraId="56631AAE" w14:textId="77777777" w:rsidR="003C1B8B" w:rsidRPr="003476AC" w:rsidRDefault="003C1B8B" w:rsidP="003C1B8B">
            <w:pPr>
              <w:spacing w:before="0" w:after="0"/>
              <w:jc w:val="left"/>
              <w:rPr>
                <w:rFonts w:ascii="Arial" w:hAnsi="Arial" w:cs="Arial"/>
                <w:i/>
                <w:color w:val="C00000"/>
                <w:sz w:val="20"/>
                <w:szCs w:val="20"/>
                <w:lang w:val="en-GB"/>
              </w:rPr>
            </w:pPr>
          </w:p>
        </w:tc>
      </w:tr>
      <w:tr w:rsidR="003C1B8B" w:rsidRPr="003C1B8B" w14:paraId="2C623005" w14:textId="77777777" w:rsidTr="00303F74">
        <w:trPr>
          <w:trHeight w:val="573"/>
        </w:trPr>
        <w:tc>
          <w:tcPr>
            <w:tcW w:w="1116" w:type="pct"/>
            <w:vMerge/>
          </w:tcPr>
          <w:p w14:paraId="24DDB653"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68A860A5" w14:textId="77777777" w:rsidR="003C1B8B" w:rsidRPr="003C1B8B" w:rsidRDefault="003C1B8B" w:rsidP="003C1B8B">
            <w:pPr>
              <w:spacing w:before="0" w:after="0"/>
              <w:jc w:val="left"/>
              <w:rPr>
                <w:rFonts w:ascii="Arial" w:hAnsi="Arial" w:cs="Arial"/>
                <w:i/>
                <w:color w:val="C00000"/>
                <w:sz w:val="20"/>
                <w:szCs w:val="20"/>
                <w:lang w:val="en-GB"/>
              </w:rPr>
            </w:pPr>
          </w:p>
        </w:tc>
        <w:tc>
          <w:tcPr>
            <w:tcW w:w="3760" w:type="pct"/>
            <w:gridSpan w:val="6"/>
            <w:shd w:val="clear" w:color="auto" w:fill="FBE4D5" w:themeFill="accent2" w:themeFillTint="33"/>
          </w:tcPr>
          <w:p w14:paraId="1E90999F" w14:textId="77777777" w:rsidR="003C1B8B" w:rsidRPr="003C1B8B" w:rsidRDefault="003C1B8B" w:rsidP="003C1B8B">
            <w:pPr>
              <w:spacing w:before="0" w:after="0"/>
              <w:jc w:val="left"/>
              <w:rPr>
                <w:rFonts w:ascii="Arial" w:hAnsi="Arial" w:cs="Arial"/>
                <w:sz w:val="20"/>
                <w:szCs w:val="20"/>
                <w:lang w:val="en-GB"/>
              </w:rPr>
            </w:pPr>
          </w:p>
        </w:tc>
      </w:tr>
      <w:tr w:rsidR="003C1B8B" w:rsidRPr="003C1B8B" w14:paraId="7DDA90A0" w14:textId="77777777" w:rsidTr="00303F74">
        <w:trPr>
          <w:trHeight w:val="2046"/>
        </w:trPr>
        <w:tc>
          <w:tcPr>
            <w:tcW w:w="1116" w:type="pct"/>
            <w:vMerge w:val="restart"/>
            <w:shd w:val="clear" w:color="auto" w:fill="D9D9D9" w:themeFill="background1" w:themeFillShade="D9"/>
          </w:tcPr>
          <w:p w14:paraId="4DD8FFB0" w14:textId="77777777" w:rsidR="003C1B8B" w:rsidRPr="003C1B8B" w:rsidRDefault="003C1B8B" w:rsidP="003C1B8B">
            <w:pPr>
              <w:spacing w:before="1" w:after="0"/>
              <w:ind w:right="-37"/>
              <w:jc w:val="left"/>
              <w:rPr>
                <w:rFonts w:ascii="Arial" w:hAnsi="Arial" w:cs="Arial"/>
                <w:sz w:val="18"/>
                <w:szCs w:val="18"/>
                <w:lang w:val="en-GB"/>
              </w:rPr>
            </w:pPr>
            <w:r w:rsidRPr="003C1B8B">
              <w:rPr>
                <w:rFonts w:ascii="Arial" w:hAnsi="Arial" w:cs="Arial"/>
                <w:sz w:val="18"/>
                <w:szCs w:val="18"/>
                <w:lang w:val="en-GB"/>
              </w:rPr>
              <w:t>Taxonomy</w:t>
            </w:r>
            <w:r w:rsidRPr="003C1B8B">
              <w:rPr>
                <w:rFonts w:ascii="Cambria Math" w:hAnsi="Cambria Math" w:cs="Cambria Math"/>
                <w:sz w:val="18"/>
                <w:szCs w:val="18"/>
                <w:lang w:val="en-GB"/>
              </w:rPr>
              <w:t>‐</w:t>
            </w:r>
            <w:r w:rsidRPr="003C1B8B">
              <w:rPr>
                <w:rFonts w:ascii="Arial" w:hAnsi="Arial" w:cs="Arial"/>
                <w:sz w:val="18"/>
                <w:szCs w:val="18"/>
                <w:lang w:val="en-GB"/>
              </w:rPr>
              <w:t>aligned activities are expressed as a share of:</w:t>
            </w:r>
          </w:p>
          <w:p w14:paraId="18D5F4E8" w14:textId="77777777" w:rsidR="003C1B8B" w:rsidRPr="003C1B8B" w:rsidRDefault="003C1B8B" w:rsidP="006D294D">
            <w:pPr>
              <w:numPr>
                <w:ilvl w:val="0"/>
                <w:numId w:val="16"/>
              </w:numPr>
              <w:spacing w:before="0" w:after="0" w:line="240" w:lineRule="exact"/>
              <w:contextualSpacing/>
              <w:jc w:val="left"/>
              <w:rPr>
                <w:rFonts w:ascii="Arial" w:hAnsi="Arial" w:cs="Arial"/>
                <w:sz w:val="18"/>
                <w:szCs w:val="18"/>
                <w:lang w:val="en-GB"/>
              </w:rPr>
            </w:pPr>
            <w:r w:rsidRPr="003C1B8B">
              <w:rPr>
                <w:rFonts w:ascii="Arial" w:hAnsi="Arial" w:cs="Arial"/>
                <w:bCs/>
                <w:sz w:val="18"/>
                <w:szCs w:val="18"/>
                <w:lang w:val="en-GB"/>
              </w:rPr>
              <w:t xml:space="preserve">turnover </w:t>
            </w:r>
            <w:r w:rsidRPr="003C1B8B">
              <w:rPr>
                <w:rFonts w:ascii="Arial" w:hAnsi="Arial" w:cs="Arial"/>
                <w:sz w:val="18"/>
                <w:szCs w:val="18"/>
                <w:lang w:val="en-GB"/>
              </w:rPr>
              <w:t>reflecting the share of revenue from green activities of investee companies</w:t>
            </w:r>
          </w:p>
          <w:p w14:paraId="63212652" w14:textId="77777777" w:rsidR="003C1B8B" w:rsidRPr="003C1B8B" w:rsidRDefault="003C1B8B" w:rsidP="006D294D">
            <w:pPr>
              <w:numPr>
                <w:ilvl w:val="0"/>
                <w:numId w:val="16"/>
              </w:numPr>
              <w:spacing w:before="0" w:after="0"/>
              <w:contextualSpacing/>
              <w:jc w:val="left"/>
              <w:rPr>
                <w:rFonts w:ascii="Arial" w:hAnsi="Arial" w:cs="Arial"/>
                <w:sz w:val="18"/>
                <w:szCs w:val="18"/>
                <w:lang w:val="en-GB"/>
              </w:rPr>
            </w:pPr>
            <w:r w:rsidRPr="003C1B8B">
              <w:rPr>
                <w:rFonts w:ascii="Arial" w:hAnsi="Arial" w:cs="Arial"/>
                <w:bCs/>
                <w:sz w:val="18"/>
                <w:szCs w:val="18"/>
                <w:lang w:val="en-GB"/>
              </w:rPr>
              <w:t xml:space="preserve">capital expenditure </w:t>
            </w:r>
            <w:r w:rsidRPr="003C1B8B">
              <w:rPr>
                <w:rFonts w:ascii="Arial" w:hAnsi="Arial" w:cs="Arial"/>
                <w:sz w:val="18"/>
                <w:szCs w:val="18"/>
                <w:lang w:val="en-GB"/>
              </w:rPr>
              <w:t>(</w:t>
            </w:r>
            <w:proofErr w:type="spellStart"/>
            <w:r w:rsidRPr="003C1B8B">
              <w:rPr>
                <w:rFonts w:ascii="Arial" w:hAnsi="Arial" w:cs="Arial"/>
                <w:sz w:val="18"/>
                <w:szCs w:val="18"/>
                <w:lang w:val="en-GB"/>
              </w:rPr>
              <w:t>CapEx</w:t>
            </w:r>
            <w:proofErr w:type="spellEnd"/>
            <w:r w:rsidRPr="003C1B8B">
              <w:rPr>
                <w:rFonts w:ascii="Arial" w:hAnsi="Arial" w:cs="Arial"/>
                <w:sz w:val="18"/>
                <w:szCs w:val="18"/>
                <w:lang w:val="en-GB"/>
              </w:rPr>
              <w:t>) showing the green investments made by investee companies, e.g. for a transition to a green economy.</w:t>
            </w:r>
          </w:p>
          <w:p w14:paraId="09C800EB" w14:textId="77777777" w:rsidR="003C1B8B" w:rsidRPr="003C1B8B" w:rsidRDefault="003C1B8B" w:rsidP="006D294D">
            <w:pPr>
              <w:numPr>
                <w:ilvl w:val="0"/>
                <w:numId w:val="16"/>
              </w:numPr>
              <w:spacing w:before="0" w:after="0" w:line="240" w:lineRule="exact"/>
              <w:contextualSpacing/>
              <w:jc w:val="left"/>
              <w:rPr>
                <w:rFonts w:ascii="Arial" w:hAnsi="Arial" w:cs="Arial"/>
                <w:sz w:val="18"/>
                <w:szCs w:val="18"/>
                <w:lang w:val="en-GB"/>
              </w:rPr>
            </w:pPr>
            <w:r w:rsidRPr="003C1B8B">
              <w:rPr>
                <w:rFonts w:ascii="Arial" w:hAnsi="Arial" w:cs="Arial"/>
                <w:bCs/>
                <w:sz w:val="18"/>
                <w:szCs w:val="18"/>
                <w:lang w:val="en-GB"/>
              </w:rPr>
              <w:t xml:space="preserve">operational expenditure </w:t>
            </w:r>
            <w:r w:rsidRPr="003C1B8B">
              <w:rPr>
                <w:rFonts w:ascii="Arial" w:hAnsi="Arial" w:cs="Arial"/>
                <w:sz w:val="18"/>
                <w:szCs w:val="18"/>
                <w:lang w:val="en-GB"/>
              </w:rPr>
              <w:t>(</w:t>
            </w:r>
            <w:proofErr w:type="spellStart"/>
            <w:r w:rsidRPr="003C1B8B">
              <w:rPr>
                <w:rFonts w:ascii="Arial" w:hAnsi="Arial" w:cs="Arial"/>
                <w:sz w:val="18"/>
                <w:szCs w:val="18"/>
                <w:lang w:val="en-GB"/>
              </w:rPr>
              <w:t>OpEx</w:t>
            </w:r>
            <w:proofErr w:type="spellEnd"/>
            <w:r w:rsidRPr="003C1B8B">
              <w:rPr>
                <w:rFonts w:ascii="Arial" w:hAnsi="Arial" w:cs="Arial"/>
                <w:sz w:val="18"/>
                <w:szCs w:val="18"/>
                <w:lang w:val="en-GB"/>
              </w:rPr>
              <w:t>) reflecting green operational activities of investee companies.</w:t>
            </w:r>
          </w:p>
        </w:tc>
        <w:tc>
          <w:tcPr>
            <w:tcW w:w="124" w:type="pct"/>
            <w:shd w:val="clear" w:color="auto" w:fill="FFFFFF" w:themeFill="background1"/>
          </w:tcPr>
          <w:p w14:paraId="58D7E4C7" w14:textId="77777777" w:rsidR="003C1B8B" w:rsidRPr="003C1B8B" w:rsidRDefault="003C1B8B" w:rsidP="003C1B8B">
            <w:pPr>
              <w:spacing w:before="0" w:after="0"/>
              <w:jc w:val="center"/>
              <w:rPr>
                <w:noProof/>
                <w:sz w:val="22"/>
                <w:szCs w:val="22"/>
                <w:lang w:val="en-GB"/>
              </w:rPr>
            </w:pPr>
          </w:p>
        </w:tc>
        <w:tc>
          <w:tcPr>
            <w:tcW w:w="3760" w:type="pct"/>
            <w:gridSpan w:val="6"/>
            <w:shd w:val="clear" w:color="auto" w:fill="FBE4D5" w:themeFill="accent2" w:themeFillTint="33"/>
          </w:tcPr>
          <w:p w14:paraId="6D7082FA" w14:textId="77777777" w:rsidR="003C1B8B" w:rsidRPr="003C1B8B" w:rsidRDefault="003C1B8B" w:rsidP="003C1B8B">
            <w:pPr>
              <w:spacing w:before="0" w:after="0"/>
              <w:jc w:val="center"/>
              <w:rPr>
                <w:rFonts w:ascii="Arial" w:hAnsi="Arial" w:cs="Arial"/>
                <w:sz w:val="20"/>
                <w:szCs w:val="20"/>
                <w:lang w:val="en-GB"/>
              </w:rPr>
            </w:pPr>
            <w:r w:rsidRPr="003C1B8B">
              <w:rPr>
                <w:noProof/>
                <w:sz w:val="22"/>
                <w:szCs w:val="22"/>
                <w:lang w:val="en-GB"/>
              </w:rPr>
              <w:drawing>
                <wp:inline distT="0" distB="0" distL="0" distR="0" wp14:anchorId="6A5181ED" wp14:editId="60E20732">
                  <wp:extent cx="4908499" cy="192679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05DA51D" w14:textId="77777777" w:rsidR="003C1B8B" w:rsidRPr="003C1B8B" w:rsidRDefault="003C1B8B" w:rsidP="003C1B8B">
            <w:pPr>
              <w:spacing w:before="0" w:after="0"/>
              <w:jc w:val="center"/>
              <w:rPr>
                <w:rFonts w:ascii="Arial" w:hAnsi="Arial" w:cs="Arial"/>
                <w:sz w:val="20"/>
                <w:szCs w:val="20"/>
                <w:lang w:val="en-GB"/>
              </w:rPr>
            </w:pPr>
          </w:p>
          <w:p w14:paraId="7393F969" w14:textId="77777777" w:rsidR="003C1B8B" w:rsidRPr="003C1B8B" w:rsidRDefault="003C1B8B" w:rsidP="003C1B8B">
            <w:pPr>
              <w:spacing w:before="0" w:after="0"/>
              <w:jc w:val="center"/>
              <w:rPr>
                <w:rFonts w:ascii="Arial" w:hAnsi="Arial" w:cs="Arial"/>
                <w:sz w:val="20"/>
                <w:szCs w:val="20"/>
                <w:lang w:val="en-GB"/>
              </w:rPr>
            </w:pPr>
          </w:p>
          <w:p w14:paraId="0ED433F9" w14:textId="77777777" w:rsidR="003C1B8B" w:rsidRPr="003C1B8B" w:rsidRDefault="003C1B8B" w:rsidP="003C1B8B">
            <w:pPr>
              <w:spacing w:before="0" w:after="0"/>
              <w:jc w:val="left"/>
              <w:rPr>
                <w:rFonts w:ascii="Arial" w:hAnsi="Arial" w:cs="Arial"/>
                <w:sz w:val="20"/>
                <w:szCs w:val="20"/>
                <w:lang w:val="en-GB"/>
              </w:rPr>
            </w:pPr>
          </w:p>
        </w:tc>
      </w:tr>
      <w:tr w:rsidR="003C1B8B" w:rsidRPr="003C1B8B" w14:paraId="40A28410" w14:textId="77777777" w:rsidTr="00303F74">
        <w:tc>
          <w:tcPr>
            <w:tcW w:w="1116" w:type="pct"/>
            <w:vMerge/>
          </w:tcPr>
          <w:p w14:paraId="44EB3AAB" w14:textId="77777777" w:rsidR="003C1B8B" w:rsidRPr="003C1B8B" w:rsidRDefault="003C1B8B" w:rsidP="006D294D">
            <w:pPr>
              <w:numPr>
                <w:ilvl w:val="0"/>
                <w:numId w:val="15"/>
              </w:numPr>
              <w:spacing w:before="0" w:after="0"/>
              <w:ind w:left="312" w:hanging="312"/>
              <w:contextualSpacing/>
              <w:jc w:val="left"/>
              <w:rPr>
                <w:rFonts w:ascii="Arial" w:hAnsi="Arial" w:cs="Arial"/>
                <w:bCs/>
                <w:sz w:val="20"/>
                <w:szCs w:val="20"/>
                <w:lang w:val="en-GB"/>
              </w:rPr>
            </w:pPr>
          </w:p>
        </w:tc>
        <w:tc>
          <w:tcPr>
            <w:tcW w:w="124" w:type="pct"/>
            <w:shd w:val="clear" w:color="auto" w:fill="FFFFFF" w:themeFill="background1"/>
          </w:tcPr>
          <w:p w14:paraId="0F36855F" w14:textId="77777777" w:rsidR="003C1B8B" w:rsidRPr="003C1B8B" w:rsidRDefault="003C1B8B" w:rsidP="003C1B8B">
            <w:pPr>
              <w:spacing w:before="63" w:after="0"/>
              <w:ind w:right="450"/>
              <w:jc w:val="left"/>
              <w:rPr>
                <w:rFonts w:ascii="Arial" w:hAnsi="Arial" w:cs="Arial"/>
                <w:spacing w:val="-1"/>
                <w:sz w:val="20"/>
                <w:szCs w:val="20"/>
                <w:lang w:val="en-GB"/>
              </w:rPr>
            </w:pPr>
          </w:p>
        </w:tc>
        <w:tc>
          <w:tcPr>
            <w:tcW w:w="3760" w:type="pct"/>
            <w:gridSpan w:val="6"/>
            <w:shd w:val="clear" w:color="auto" w:fill="FBE4D5" w:themeFill="accent2" w:themeFillTint="33"/>
          </w:tcPr>
          <w:p w14:paraId="39A7396C" w14:textId="77777777" w:rsidR="003C1B8B" w:rsidRPr="003476AC" w:rsidRDefault="003C1B8B" w:rsidP="003C1B8B">
            <w:pPr>
              <w:spacing w:before="63" w:after="0"/>
              <w:ind w:right="450"/>
              <w:jc w:val="left"/>
              <w:rPr>
                <w:rFonts w:ascii="Arial" w:hAnsi="Arial" w:cs="Arial"/>
                <w:sz w:val="20"/>
                <w:szCs w:val="20"/>
                <w:lang w:val="en-GB"/>
              </w:rPr>
            </w:pPr>
            <w:r w:rsidRPr="003476AC">
              <w:rPr>
                <w:rFonts w:ascii="Arial" w:hAnsi="Arial" w:cs="Arial"/>
                <w:spacing w:val="-1"/>
                <w:sz w:val="20"/>
                <w:szCs w:val="20"/>
                <w:lang w:val="en-GB"/>
              </w:rPr>
              <w:t>#</w:t>
            </w:r>
            <w:r w:rsidRPr="003476AC">
              <w:rPr>
                <w:rFonts w:ascii="Arial" w:hAnsi="Arial" w:cs="Arial"/>
                <w:sz w:val="20"/>
                <w:szCs w:val="20"/>
                <w:lang w:val="en-GB"/>
              </w:rPr>
              <w:t>1</w:t>
            </w:r>
            <w:r w:rsidRPr="003476AC">
              <w:rPr>
                <w:rFonts w:ascii="Arial" w:hAnsi="Arial" w:cs="Arial"/>
                <w:spacing w:val="-1"/>
                <w:sz w:val="20"/>
                <w:szCs w:val="20"/>
                <w:lang w:val="en-GB"/>
              </w:rPr>
              <w:t xml:space="preserve"> A</w:t>
            </w:r>
            <w:r w:rsidRPr="003476AC">
              <w:rPr>
                <w:rFonts w:ascii="Arial" w:hAnsi="Arial" w:cs="Arial"/>
                <w:spacing w:val="1"/>
                <w:sz w:val="20"/>
                <w:szCs w:val="20"/>
                <w:lang w:val="en-GB"/>
              </w:rPr>
              <w:t>l</w:t>
            </w:r>
            <w:r w:rsidRPr="003476AC">
              <w:rPr>
                <w:rFonts w:ascii="Arial" w:hAnsi="Arial" w:cs="Arial"/>
                <w:spacing w:val="-1"/>
                <w:sz w:val="20"/>
                <w:szCs w:val="20"/>
                <w:lang w:val="en-GB"/>
              </w:rPr>
              <w:t>i</w:t>
            </w:r>
            <w:r w:rsidRPr="003476AC">
              <w:rPr>
                <w:rFonts w:ascii="Arial" w:hAnsi="Arial" w:cs="Arial"/>
                <w:spacing w:val="1"/>
                <w:sz w:val="20"/>
                <w:szCs w:val="20"/>
                <w:lang w:val="en-GB"/>
              </w:rPr>
              <w:t>g</w:t>
            </w:r>
            <w:r w:rsidRPr="003476AC">
              <w:rPr>
                <w:rFonts w:ascii="Arial" w:hAnsi="Arial" w:cs="Arial"/>
                <w:spacing w:val="-1"/>
                <w:sz w:val="20"/>
                <w:szCs w:val="20"/>
                <w:lang w:val="en-GB"/>
              </w:rPr>
              <w:t>n</w:t>
            </w:r>
            <w:r w:rsidRPr="003476AC">
              <w:rPr>
                <w:rFonts w:ascii="Arial" w:hAnsi="Arial" w:cs="Arial"/>
                <w:spacing w:val="1"/>
                <w:sz w:val="20"/>
                <w:szCs w:val="20"/>
                <w:lang w:val="en-GB"/>
              </w:rPr>
              <w:t>e</w:t>
            </w:r>
            <w:r w:rsidRPr="003476AC">
              <w:rPr>
                <w:rFonts w:ascii="Arial" w:hAnsi="Arial" w:cs="Arial"/>
                <w:sz w:val="20"/>
                <w:szCs w:val="20"/>
                <w:lang w:val="en-GB"/>
              </w:rPr>
              <w:t>d w</w:t>
            </w:r>
            <w:r w:rsidRPr="003476AC">
              <w:rPr>
                <w:rFonts w:ascii="Arial" w:hAnsi="Arial" w:cs="Arial"/>
                <w:spacing w:val="-1"/>
                <w:sz w:val="20"/>
                <w:szCs w:val="20"/>
                <w:lang w:val="en-GB"/>
              </w:rPr>
              <w:t>i</w:t>
            </w:r>
            <w:r w:rsidRPr="003476AC">
              <w:rPr>
                <w:rFonts w:ascii="Arial" w:hAnsi="Arial" w:cs="Arial"/>
                <w:sz w:val="20"/>
                <w:szCs w:val="20"/>
                <w:lang w:val="en-GB"/>
              </w:rPr>
              <w:t xml:space="preserve">th </w:t>
            </w:r>
            <w:r w:rsidRPr="003476AC">
              <w:rPr>
                <w:rFonts w:ascii="Arial" w:hAnsi="Arial" w:cs="Arial"/>
                <w:spacing w:val="1"/>
                <w:sz w:val="20"/>
                <w:szCs w:val="20"/>
                <w:lang w:val="en-GB"/>
              </w:rPr>
              <w:t>E</w:t>
            </w:r>
            <w:r w:rsidRPr="003476AC">
              <w:rPr>
                <w:rFonts w:ascii="Arial" w:hAnsi="Arial" w:cs="Arial"/>
                <w:spacing w:val="-1"/>
                <w:sz w:val="20"/>
                <w:szCs w:val="20"/>
                <w:lang w:val="en-GB"/>
              </w:rPr>
              <w:t>/</w:t>
            </w:r>
            <w:r w:rsidRPr="003476AC">
              <w:rPr>
                <w:rFonts w:ascii="Arial" w:hAnsi="Arial" w:cs="Arial"/>
                <w:sz w:val="20"/>
                <w:szCs w:val="20"/>
                <w:lang w:val="en-GB"/>
              </w:rPr>
              <w:t>S</w:t>
            </w:r>
            <w:r w:rsidRPr="003476AC">
              <w:rPr>
                <w:rFonts w:ascii="Arial" w:hAnsi="Arial" w:cs="Arial"/>
                <w:spacing w:val="1"/>
                <w:sz w:val="20"/>
                <w:szCs w:val="20"/>
                <w:lang w:val="en-GB"/>
              </w:rPr>
              <w:t xml:space="preserve"> </w:t>
            </w:r>
            <w:r w:rsidRPr="003476AC">
              <w:rPr>
                <w:rFonts w:ascii="Arial" w:hAnsi="Arial" w:cs="Arial"/>
                <w:spacing w:val="-1"/>
                <w:sz w:val="20"/>
                <w:szCs w:val="20"/>
                <w:lang w:val="en-GB"/>
              </w:rPr>
              <w:t>ch</w:t>
            </w:r>
            <w:r w:rsidRPr="003476AC">
              <w:rPr>
                <w:rFonts w:ascii="Arial" w:hAnsi="Arial" w:cs="Arial"/>
                <w:sz w:val="20"/>
                <w:szCs w:val="20"/>
                <w:lang w:val="en-GB"/>
              </w:rPr>
              <w:t>a</w:t>
            </w:r>
            <w:r w:rsidRPr="003476AC">
              <w:rPr>
                <w:rFonts w:ascii="Arial" w:hAnsi="Arial" w:cs="Arial"/>
                <w:spacing w:val="1"/>
                <w:sz w:val="20"/>
                <w:szCs w:val="20"/>
                <w:lang w:val="en-GB"/>
              </w:rPr>
              <w:t>r</w:t>
            </w:r>
            <w:r w:rsidRPr="003476AC">
              <w:rPr>
                <w:rFonts w:ascii="Arial" w:hAnsi="Arial" w:cs="Arial"/>
                <w:sz w:val="20"/>
                <w:szCs w:val="20"/>
                <w:lang w:val="en-GB"/>
              </w:rPr>
              <w:t>a</w:t>
            </w:r>
            <w:r w:rsidRPr="003476AC">
              <w:rPr>
                <w:rFonts w:ascii="Arial" w:hAnsi="Arial" w:cs="Arial"/>
                <w:spacing w:val="-1"/>
                <w:sz w:val="20"/>
                <w:szCs w:val="20"/>
                <w:lang w:val="en-GB"/>
              </w:rPr>
              <w:t>c</w:t>
            </w:r>
            <w:r w:rsidRPr="003476AC">
              <w:rPr>
                <w:rFonts w:ascii="Arial" w:hAnsi="Arial" w:cs="Arial"/>
                <w:sz w:val="20"/>
                <w:szCs w:val="20"/>
                <w:lang w:val="en-GB"/>
              </w:rPr>
              <w:t>t</w:t>
            </w:r>
            <w:r w:rsidRPr="003476AC">
              <w:rPr>
                <w:rFonts w:ascii="Arial" w:hAnsi="Arial" w:cs="Arial"/>
                <w:spacing w:val="1"/>
                <w:sz w:val="20"/>
                <w:szCs w:val="20"/>
                <w:lang w:val="en-GB"/>
              </w:rPr>
              <w:t>er</w:t>
            </w:r>
            <w:r w:rsidRPr="003476AC">
              <w:rPr>
                <w:rFonts w:ascii="Arial" w:hAnsi="Arial" w:cs="Arial"/>
                <w:spacing w:val="-1"/>
                <w:sz w:val="20"/>
                <w:szCs w:val="20"/>
                <w:lang w:val="en-GB"/>
              </w:rPr>
              <w:t>i</w:t>
            </w:r>
            <w:r w:rsidRPr="003476AC">
              <w:rPr>
                <w:rFonts w:ascii="Arial" w:hAnsi="Arial" w:cs="Arial"/>
                <w:sz w:val="20"/>
                <w:szCs w:val="20"/>
                <w:lang w:val="en-GB"/>
              </w:rPr>
              <w:t>st</w:t>
            </w:r>
            <w:r w:rsidRPr="003476AC">
              <w:rPr>
                <w:rFonts w:ascii="Arial" w:hAnsi="Arial" w:cs="Arial"/>
                <w:spacing w:val="1"/>
                <w:sz w:val="20"/>
                <w:szCs w:val="20"/>
                <w:lang w:val="en-GB"/>
              </w:rPr>
              <w:t>i</w:t>
            </w:r>
            <w:r w:rsidRPr="003476AC">
              <w:rPr>
                <w:rFonts w:ascii="Arial" w:hAnsi="Arial" w:cs="Arial"/>
                <w:spacing w:val="-1"/>
                <w:sz w:val="20"/>
                <w:szCs w:val="20"/>
                <w:lang w:val="en-GB"/>
              </w:rPr>
              <w:t>c</w:t>
            </w:r>
            <w:r w:rsidRPr="003476AC">
              <w:rPr>
                <w:rFonts w:ascii="Arial" w:hAnsi="Arial" w:cs="Arial"/>
                <w:sz w:val="20"/>
                <w:szCs w:val="20"/>
                <w:lang w:val="en-GB"/>
              </w:rPr>
              <w:t xml:space="preserve">s </w:t>
            </w:r>
            <w:r w:rsidRPr="003476AC">
              <w:rPr>
                <w:rFonts w:ascii="Arial" w:hAnsi="Arial" w:cs="Arial"/>
                <w:spacing w:val="-1"/>
                <w:sz w:val="20"/>
                <w:szCs w:val="20"/>
                <w:lang w:val="en-GB"/>
              </w:rPr>
              <w:t>in</w:t>
            </w:r>
            <w:r w:rsidRPr="003476AC">
              <w:rPr>
                <w:rFonts w:ascii="Arial" w:hAnsi="Arial" w:cs="Arial"/>
                <w:spacing w:val="1"/>
                <w:sz w:val="20"/>
                <w:szCs w:val="20"/>
                <w:lang w:val="en-GB"/>
              </w:rPr>
              <w:t>c</w:t>
            </w:r>
            <w:r w:rsidRPr="003476AC">
              <w:rPr>
                <w:rFonts w:ascii="Arial" w:hAnsi="Arial" w:cs="Arial"/>
                <w:spacing w:val="-1"/>
                <w:sz w:val="20"/>
                <w:szCs w:val="20"/>
                <w:lang w:val="en-GB"/>
              </w:rPr>
              <w:t>l</w:t>
            </w:r>
            <w:r w:rsidRPr="003476AC">
              <w:rPr>
                <w:rFonts w:ascii="Arial" w:hAnsi="Arial" w:cs="Arial"/>
                <w:spacing w:val="1"/>
                <w:sz w:val="20"/>
                <w:szCs w:val="20"/>
                <w:lang w:val="en-GB"/>
              </w:rPr>
              <w:t>u</w:t>
            </w:r>
            <w:r w:rsidRPr="003476AC">
              <w:rPr>
                <w:rFonts w:ascii="Arial" w:hAnsi="Arial" w:cs="Arial"/>
                <w:spacing w:val="-1"/>
                <w:sz w:val="20"/>
                <w:szCs w:val="20"/>
                <w:lang w:val="en-GB"/>
              </w:rPr>
              <w:t>de</w:t>
            </w:r>
            <w:r w:rsidRPr="003476AC">
              <w:rPr>
                <w:rFonts w:ascii="Arial" w:hAnsi="Arial" w:cs="Arial"/>
                <w:sz w:val="20"/>
                <w:szCs w:val="20"/>
                <w:lang w:val="en-GB"/>
              </w:rPr>
              <w:t>s</w:t>
            </w:r>
            <w:r w:rsidRPr="003476AC">
              <w:rPr>
                <w:rFonts w:ascii="Arial" w:hAnsi="Arial" w:cs="Arial"/>
                <w:spacing w:val="-1"/>
                <w:sz w:val="20"/>
                <w:szCs w:val="20"/>
                <w:lang w:val="en-GB"/>
              </w:rPr>
              <w:t xml:space="preserve"> </w:t>
            </w:r>
            <w:r w:rsidRPr="003476AC">
              <w:rPr>
                <w:rFonts w:ascii="Arial" w:hAnsi="Arial" w:cs="Arial"/>
                <w:spacing w:val="2"/>
                <w:sz w:val="20"/>
                <w:szCs w:val="20"/>
                <w:lang w:val="en-GB"/>
              </w:rPr>
              <w:t>t</w:t>
            </w:r>
            <w:r w:rsidRPr="003476AC">
              <w:rPr>
                <w:rFonts w:ascii="Arial" w:hAnsi="Arial" w:cs="Arial"/>
                <w:spacing w:val="-1"/>
                <w:sz w:val="20"/>
                <w:szCs w:val="20"/>
                <w:lang w:val="en-GB"/>
              </w:rPr>
              <w:t>h</w:t>
            </w:r>
            <w:r w:rsidRPr="003476AC">
              <w:rPr>
                <w:rFonts w:ascii="Arial" w:hAnsi="Arial" w:cs="Arial"/>
                <w:sz w:val="20"/>
                <w:szCs w:val="20"/>
                <w:lang w:val="en-GB"/>
              </w:rPr>
              <w:t>e</w:t>
            </w:r>
            <w:r w:rsidRPr="003476AC">
              <w:rPr>
                <w:rFonts w:ascii="Arial" w:hAnsi="Arial" w:cs="Arial"/>
                <w:spacing w:val="-1"/>
                <w:sz w:val="20"/>
                <w:szCs w:val="20"/>
                <w:lang w:val="en-GB"/>
              </w:rPr>
              <w:t xml:space="preserve"> </w:t>
            </w:r>
            <w:r w:rsidRPr="003476AC">
              <w:rPr>
                <w:rFonts w:ascii="Arial" w:hAnsi="Arial" w:cs="Arial"/>
                <w:spacing w:val="2"/>
                <w:sz w:val="20"/>
                <w:szCs w:val="20"/>
                <w:lang w:val="en-GB"/>
              </w:rPr>
              <w:t>i</w:t>
            </w:r>
            <w:r w:rsidRPr="003476AC">
              <w:rPr>
                <w:rFonts w:ascii="Arial" w:hAnsi="Arial" w:cs="Arial"/>
                <w:spacing w:val="-1"/>
                <w:sz w:val="20"/>
                <w:szCs w:val="20"/>
                <w:lang w:val="en-GB"/>
              </w:rPr>
              <w:t>n</w:t>
            </w:r>
            <w:r w:rsidRPr="003476AC">
              <w:rPr>
                <w:rFonts w:ascii="Arial" w:hAnsi="Arial" w:cs="Arial"/>
                <w:sz w:val="20"/>
                <w:szCs w:val="20"/>
                <w:lang w:val="en-GB"/>
              </w:rPr>
              <w:t>v</w:t>
            </w:r>
            <w:r w:rsidRPr="003476AC">
              <w:rPr>
                <w:rFonts w:ascii="Arial" w:hAnsi="Arial" w:cs="Arial"/>
                <w:spacing w:val="-1"/>
                <w:sz w:val="20"/>
                <w:szCs w:val="20"/>
                <w:lang w:val="en-GB"/>
              </w:rPr>
              <w:t>es</w:t>
            </w:r>
            <w:r w:rsidRPr="003476AC">
              <w:rPr>
                <w:rFonts w:ascii="Arial" w:hAnsi="Arial" w:cs="Arial"/>
                <w:sz w:val="20"/>
                <w:szCs w:val="20"/>
                <w:lang w:val="en-GB"/>
              </w:rPr>
              <w:t>t</w:t>
            </w:r>
            <w:r w:rsidRPr="003476AC">
              <w:rPr>
                <w:rFonts w:ascii="Arial" w:hAnsi="Arial" w:cs="Arial"/>
                <w:spacing w:val="3"/>
                <w:sz w:val="20"/>
                <w:szCs w:val="20"/>
                <w:lang w:val="en-GB"/>
              </w:rPr>
              <w:t>m</w:t>
            </w:r>
            <w:r w:rsidRPr="003476AC">
              <w:rPr>
                <w:rFonts w:ascii="Arial" w:hAnsi="Arial" w:cs="Arial"/>
                <w:spacing w:val="-1"/>
                <w:sz w:val="20"/>
                <w:szCs w:val="20"/>
                <w:lang w:val="en-GB"/>
              </w:rPr>
              <w:t>en</w:t>
            </w:r>
            <w:r w:rsidRPr="003476AC">
              <w:rPr>
                <w:rFonts w:ascii="Arial" w:hAnsi="Arial" w:cs="Arial"/>
                <w:sz w:val="20"/>
                <w:szCs w:val="20"/>
                <w:lang w:val="en-GB"/>
              </w:rPr>
              <w:t>ts</w:t>
            </w:r>
            <w:r w:rsidRPr="003476AC">
              <w:rPr>
                <w:rFonts w:ascii="Arial" w:hAnsi="Arial" w:cs="Arial"/>
                <w:spacing w:val="-1"/>
                <w:sz w:val="20"/>
                <w:szCs w:val="20"/>
                <w:lang w:val="en-GB"/>
              </w:rPr>
              <w:t xml:space="preserve"> </w:t>
            </w:r>
            <w:r w:rsidRPr="003476AC">
              <w:rPr>
                <w:rFonts w:ascii="Arial" w:hAnsi="Arial" w:cs="Arial"/>
                <w:spacing w:val="1"/>
                <w:sz w:val="20"/>
                <w:szCs w:val="20"/>
                <w:lang w:val="en-GB"/>
              </w:rPr>
              <w:t>o</w:t>
            </w:r>
            <w:r w:rsidRPr="003476AC">
              <w:rPr>
                <w:rFonts w:ascii="Arial" w:hAnsi="Arial" w:cs="Arial"/>
                <w:sz w:val="20"/>
                <w:szCs w:val="20"/>
                <w:lang w:val="en-GB"/>
              </w:rPr>
              <w:t>f t</w:t>
            </w:r>
            <w:r w:rsidRPr="003476AC">
              <w:rPr>
                <w:rFonts w:ascii="Arial" w:hAnsi="Arial" w:cs="Arial"/>
                <w:spacing w:val="1"/>
                <w:sz w:val="20"/>
                <w:szCs w:val="20"/>
                <w:lang w:val="en-GB"/>
              </w:rPr>
              <w:t>h</w:t>
            </w:r>
            <w:r w:rsidRPr="003476AC">
              <w:rPr>
                <w:rFonts w:ascii="Arial" w:hAnsi="Arial" w:cs="Arial"/>
                <w:sz w:val="20"/>
                <w:szCs w:val="20"/>
                <w:lang w:val="en-GB"/>
              </w:rPr>
              <w:t>e</w:t>
            </w:r>
            <w:r w:rsidRPr="003476AC">
              <w:rPr>
                <w:rFonts w:ascii="Arial" w:hAnsi="Arial" w:cs="Arial"/>
                <w:spacing w:val="-1"/>
                <w:sz w:val="20"/>
                <w:szCs w:val="20"/>
                <w:lang w:val="en-GB"/>
              </w:rPr>
              <w:t xml:space="preserve"> </w:t>
            </w:r>
            <w:r w:rsidRPr="003476AC">
              <w:rPr>
                <w:rFonts w:ascii="Arial" w:hAnsi="Arial" w:cs="Arial"/>
                <w:sz w:val="20"/>
                <w:szCs w:val="20"/>
                <w:lang w:val="en-GB"/>
              </w:rPr>
              <w:t>f</w:t>
            </w:r>
            <w:r w:rsidRPr="003476AC">
              <w:rPr>
                <w:rFonts w:ascii="Arial" w:hAnsi="Arial" w:cs="Arial"/>
                <w:spacing w:val="-1"/>
                <w:sz w:val="20"/>
                <w:szCs w:val="20"/>
                <w:lang w:val="en-GB"/>
              </w:rPr>
              <w:t>in</w:t>
            </w:r>
            <w:r w:rsidRPr="003476AC">
              <w:rPr>
                <w:rFonts w:ascii="Arial" w:hAnsi="Arial" w:cs="Arial"/>
                <w:sz w:val="20"/>
                <w:szCs w:val="20"/>
                <w:lang w:val="en-GB"/>
              </w:rPr>
              <w:t>a</w:t>
            </w:r>
            <w:r w:rsidRPr="003476AC">
              <w:rPr>
                <w:rFonts w:ascii="Arial" w:hAnsi="Arial" w:cs="Arial"/>
                <w:spacing w:val="-1"/>
                <w:sz w:val="20"/>
                <w:szCs w:val="20"/>
                <w:lang w:val="en-GB"/>
              </w:rPr>
              <w:t>n</w:t>
            </w:r>
            <w:r w:rsidRPr="003476AC">
              <w:rPr>
                <w:rFonts w:ascii="Arial" w:hAnsi="Arial" w:cs="Arial"/>
                <w:spacing w:val="1"/>
                <w:sz w:val="20"/>
                <w:szCs w:val="20"/>
                <w:lang w:val="en-GB"/>
              </w:rPr>
              <w:t>c</w:t>
            </w:r>
            <w:r w:rsidRPr="003476AC">
              <w:rPr>
                <w:rFonts w:ascii="Arial" w:hAnsi="Arial" w:cs="Arial"/>
                <w:spacing w:val="-1"/>
                <w:sz w:val="20"/>
                <w:szCs w:val="20"/>
                <w:lang w:val="en-GB"/>
              </w:rPr>
              <w:t>i</w:t>
            </w:r>
            <w:r w:rsidRPr="003476AC">
              <w:rPr>
                <w:rFonts w:ascii="Arial" w:hAnsi="Arial" w:cs="Arial"/>
                <w:sz w:val="20"/>
                <w:szCs w:val="20"/>
                <w:lang w:val="en-GB"/>
              </w:rPr>
              <w:t>al</w:t>
            </w:r>
            <w:r w:rsidRPr="003476AC">
              <w:rPr>
                <w:rFonts w:ascii="Arial" w:hAnsi="Arial" w:cs="Arial"/>
                <w:spacing w:val="2"/>
                <w:sz w:val="20"/>
                <w:szCs w:val="20"/>
                <w:lang w:val="en-GB"/>
              </w:rPr>
              <w:t xml:space="preserve"> </w:t>
            </w:r>
            <w:r w:rsidRPr="003476AC">
              <w:rPr>
                <w:rFonts w:ascii="Arial" w:hAnsi="Arial" w:cs="Arial"/>
                <w:spacing w:val="-1"/>
                <w:sz w:val="20"/>
                <w:szCs w:val="20"/>
                <w:lang w:val="en-GB"/>
              </w:rPr>
              <w:t>p</w:t>
            </w:r>
            <w:r w:rsidRPr="003476AC">
              <w:rPr>
                <w:rFonts w:ascii="Arial" w:hAnsi="Arial" w:cs="Arial"/>
                <w:sz w:val="20"/>
                <w:szCs w:val="20"/>
                <w:lang w:val="en-GB"/>
              </w:rPr>
              <w:t>r</w:t>
            </w:r>
            <w:r w:rsidRPr="003476AC">
              <w:rPr>
                <w:rFonts w:ascii="Arial" w:hAnsi="Arial" w:cs="Arial"/>
                <w:spacing w:val="1"/>
                <w:sz w:val="20"/>
                <w:szCs w:val="20"/>
                <w:lang w:val="en-GB"/>
              </w:rPr>
              <w:t>o</w:t>
            </w:r>
            <w:r w:rsidRPr="003476AC">
              <w:rPr>
                <w:rFonts w:ascii="Arial" w:hAnsi="Arial" w:cs="Arial"/>
                <w:spacing w:val="-1"/>
                <w:sz w:val="20"/>
                <w:szCs w:val="20"/>
                <w:lang w:val="en-GB"/>
              </w:rPr>
              <w:t>du</w:t>
            </w:r>
            <w:r w:rsidRPr="003476AC">
              <w:rPr>
                <w:rFonts w:ascii="Arial" w:hAnsi="Arial" w:cs="Arial"/>
                <w:spacing w:val="1"/>
                <w:sz w:val="20"/>
                <w:szCs w:val="20"/>
                <w:lang w:val="en-GB"/>
              </w:rPr>
              <w:t>c</w:t>
            </w:r>
            <w:r w:rsidRPr="003476AC">
              <w:rPr>
                <w:rFonts w:ascii="Arial" w:hAnsi="Arial" w:cs="Arial"/>
                <w:sz w:val="20"/>
                <w:szCs w:val="20"/>
                <w:lang w:val="en-GB"/>
              </w:rPr>
              <w:t xml:space="preserve">t </w:t>
            </w:r>
            <w:r w:rsidRPr="003476AC">
              <w:rPr>
                <w:rFonts w:ascii="Arial" w:hAnsi="Arial" w:cs="Arial"/>
                <w:spacing w:val="1"/>
                <w:sz w:val="20"/>
                <w:szCs w:val="20"/>
                <w:lang w:val="en-GB"/>
              </w:rPr>
              <w:t>u</w:t>
            </w:r>
            <w:r w:rsidRPr="003476AC">
              <w:rPr>
                <w:rFonts w:ascii="Arial" w:hAnsi="Arial" w:cs="Arial"/>
                <w:spacing w:val="-1"/>
                <w:sz w:val="20"/>
                <w:szCs w:val="20"/>
                <w:lang w:val="en-GB"/>
              </w:rPr>
              <w:t>se</w:t>
            </w:r>
            <w:r w:rsidRPr="003476AC">
              <w:rPr>
                <w:rFonts w:ascii="Arial" w:hAnsi="Arial" w:cs="Arial"/>
                <w:sz w:val="20"/>
                <w:szCs w:val="20"/>
                <w:lang w:val="en-GB"/>
              </w:rPr>
              <w:t>d</w:t>
            </w:r>
            <w:r w:rsidRPr="003476AC">
              <w:rPr>
                <w:rFonts w:ascii="Arial" w:hAnsi="Arial" w:cs="Arial"/>
                <w:spacing w:val="-1"/>
                <w:sz w:val="20"/>
                <w:szCs w:val="20"/>
                <w:lang w:val="en-GB"/>
              </w:rPr>
              <w:t xml:space="preserve"> </w:t>
            </w:r>
            <w:r w:rsidRPr="003476AC">
              <w:rPr>
                <w:rFonts w:ascii="Arial" w:hAnsi="Arial" w:cs="Arial"/>
                <w:sz w:val="20"/>
                <w:szCs w:val="20"/>
                <w:lang w:val="en-GB"/>
              </w:rPr>
              <w:t>to</w:t>
            </w:r>
            <w:r w:rsidRPr="003476AC">
              <w:rPr>
                <w:rFonts w:ascii="Arial" w:hAnsi="Arial" w:cs="Arial"/>
                <w:spacing w:val="1"/>
                <w:sz w:val="20"/>
                <w:szCs w:val="20"/>
                <w:lang w:val="en-GB"/>
              </w:rPr>
              <w:t xml:space="preserve"> </w:t>
            </w:r>
            <w:r w:rsidRPr="003476AC">
              <w:rPr>
                <w:rFonts w:ascii="Arial" w:hAnsi="Arial" w:cs="Arial"/>
                <w:sz w:val="20"/>
                <w:szCs w:val="20"/>
                <w:lang w:val="en-GB"/>
              </w:rPr>
              <w:t>atta</w:t>
            </w:r>
            <w:r w:rsidRPr="003476AC">
              <w:rPr>
                <w:rFonts w:ascii="Arial" w:hAnsi="Arial" w:cs="Arial"/>
                <w:spacing w:val="2"/>
                <w:sz w:val="20"/>
                <w:szCs w:val="20"/>
                <w:lang w:val="en-GB"/>
              </w:rPr>
              <w:t>i</w:t>
            </w:r>
            <w:r w:rsidRPr="003476AC">
              <w:rPr>
                <w:rFonts w:ascii="Arial" w:hAnsi="Arial" w:cs="Arial"/>
                <w:sz w:val="20"/>
                <w:szCs w:val="20"/>
                <w:lang w:val="en-GB"/>
              </w:rPr>
              <w:t>n</w:t>
            </w:r>
            <w:r w:rsidRPr="003476AC">
              <w:rPr>
                <w:rFonts w:ascii="Arial" w:hAnsi="Arial" w:cs="Arial"/>
                <w:spacing w:val="2"/>
                <w:sz w:val="20"/>
                <w:szCs w:val="20"/>
                <w:lang w:val="en-GB"/>
              </w:rPr>
              <w:t xml:space="preserve"> </w:t>
            </w:r>
            <w:r w:rsidRPr="003476AC">
              <w:rPr>
                <w:rFonts w:ascii="Arial" w:hAnsi="Arial" w:cs="Arial"/>
                <w:sz w:val="20"/>
                <w:szCs w:val="20"/>
                <w:lang w:val="en-GB"/>
              </w:rPr>
              <w:t>t</w:t>
            </w:r>
            <w:r w:rsidRPr="003476AC">
              <w:rPr>
                <w:rFonts w:ascii="Arial" w:hAnsi="Arial" w:cs="Arial"/>
                <w:spacing w:val="-1"/>
                <w:sz w:val="20"/>
                <w:szCs w:val="20"/>
                <w:lang w:val="en-GB"/>
              </w:rPr>
              <w:t>he en</w:t>
            </w:r>
            <w:r w:rsidRPr="003476AC">
              <w:rPr>
                <w:rFonts w:ascii="Arial" w:hAnsi="Arial" w:cs="Arial"/>
                <w:sz w:val="20"/>
                <w:szCs w:val="20"/>
                <w:lang w:val="en-GB"/>
              </w:rPr>
              <w:t>vir</w:t>
            </w:r>
            <w:r w:rsidRPr="003476AC">
              <w:rPr>
                <w:rFonts w:ascii="Arial" w:hAnsi="Arial" w:cs="Arial"/>
                <w:spacing w:val="1"/>
                <w:sz w:val="20"/>
                <w:szCs w:val="20"/>
                <w:lang w:val="en-GB"/>
              </w:rPr>
              <w:t>o</w:t>
            </w:r>
            <w:r w:rsidRPr="003476AC">
              <w:rPr>
                <w:rFonts w:ascii="Arial" w:hAnsi="Arial" w:cs="Arial"/>
                <w:spacing w:val="-1"/>
                <w:sz w:val="20"/>
                <w:szCs w:val="20"/>
                <w:lang w:val="en-GB"/>
              </w:rPr>
              <w:t>n</w:t>
            </w:r>
            <w:r w:rsidRPr="003476AC">
              <w:rPr>
                <w:rFonts w:ascii="Arial" w:hAnsi="Arial" w:cs="Arial"/>
                <w:sz w:val="20"/>
                <w:szCs w:val="20"/>
                <w:lang w:val="en-GB"/>
              </w:rPr>
              <w:t>m</w:t>
            </w:r>
            <w:r w:rsidRPr="003476AC">
              <w:rPr>
                <w:rFonts w:ascii="Arial" w:hAnsi="Arial" w:cs="Arial"/>
                <w:spacing w:val="2"/>
                <w:sz w:val="20"/>
                <w:szCs w:val="20"/>
                <w:lang w:val="en-GB"/>
              </w:rPr>
              <w:t>e</w:t>
            </w:r>
            <w:r w:rsidRPr="003476AC">
              <w:rPr>
                <w:rFonts w:ascii="Arial" w:hAnsi="Arial" w:cs="Arial"/>
                <w:spacing w:val="-1"/>
                <w:sz w:val="20"/>
                <w:szCs w:val="20"/>
                <w:lang w:val="en-GB"/>
              </w:rPr>
              <w:t>n</w:t>
            </w:r>
            <w:r w:rsidRPr="003476AC">
              <w:rPr>
                <w:rFonts w:ascii="Arial" w:hAnsi="Arial" w:cs="Arial"/>
                <w:sz w:val="20"/>
                <w:szCs w:val="20"/>
                <w:lang w:val="en-GB"/>
              </w:rPr>
              <w:t xml:space="preserve">tal </w:t>
            </w:r>
            <w:r w:rsidRPr="003476AC">
              <w:rPr>
                <w:rFonts w:ascii="Arial" w:hAnsi="Arial" w:cs="Arial"/>
                <w:spacing w:val="1"/>
                <w:sz w:val="20"/>
                <w:szCs w:val="20"/>
                <w:lang w:val="en-GB"/>
              </w:rPr>
              <w:t>o</w:t>
            </w:r>
            <w:r w:rsidRPr="003476AC">
              <w:rPr>
                <w:rFonts w:ascii="Arial" w:hAnsi="Arial" w:cs="Arial"/>
                <w:sz w:val="20"/>
                <w:szCs w:val="20"/>
                <w:lang w:val="en-GB"/>
              </w:rPr>
              <w:t xml:space="preserve">r </w:t>
            </w:r>
            <w:r w:rsidRPr="003476AC">
              <w:rPr>
                <w:rFonts w:ascii="Arial" w:hAnsi="Arial" w:cs="Arial"/>
                <w:spacing w:val="-1"/>
                <w:sz w:val="20"/>
                <w:szCs w:val="20"/>
                <w:lang w:val="en-GB"/>
              </w:rPr>
              <w:t>s</w:t>
            </w:r>
            <w:r w:rsidRPr="003476AC">
              <w:rPr>
                <w:rFonts w:ascii="Arial" w:hAnsi="Arial" w:cs="Arial"/>
                <w:spacing w:val="1"/>
                <w:sz w:val="20"/>
                <w:szCs w:val="20"/>
                <w:lang w:val="en-GB"/>
              </w:rPr>
              <w:t>oc</w:t>
            </w:r>
            <w:r w:rsidRPr="003476AC">
              <w:rPr>
                <w:rFonts w:ascii="Arial" w:hAnsi="Arial" w:cs="Arial"/>
                <w:sz w:val="20"/>
                <w:szCs w:val="20"/>
                <w:lang w:val="en-GB"/>
              </w:rPr>
              <w:t xml:space="preserve">ial </w:t>
            </w:r>
            <w:r w:rsidRPr="003476AC">
              <w:rPr>
                <w:rFonts w:ascii="Arial" w:hAnsi="Arial" w:cs="Arial"/>
                <w:spacing w:val="1"/>
                <w:sz w:val="20"/>
                <w:szCs w:val="20"/>
                <w:lang w:val="en-GB"/>
              </w:rPr>
              <w:t>c</w:t>
            </w:r>
            <w:r w:rsidRPr="003476AC">
              <w:rPr>
                <w:rFonts w:ascii="Arial" w:hAnsi="Arial" w:cs="Arial"/>
                <w:spacing w:val="-1"/>
                <w:sz w:val="20"/>
                <w:szCs w:val="20"/>
                <w:lang w:val="en-GB"/>
              </w:rPr>
              <w:t>h</w:t>
            </w:r>
            <w:r w:rsidRPr="003476AC">
              <w:rPr>
                <w:rFonts w:ascii="Arial" w:hAnsi="Arial" w:cs="Arial"/>
                <w:sz w:val="20"/>
                <w:szCs w:val="20"/>
                <w:lang w:val="en-GB"/>
              </w:rPr>
              <w:t>ara</w:t>
            </w:r>
            <w:r w:rsidRPr="003476AC">
              <w:rPr>
                <w:rFonts w:ascii="Arial" w:hAnsi="Arial" w:cs="Arial"/>
                <w:spacing w:val="1"/>
                <w:sz w:val="20"/>
                <w:szCs w:val="20"/>
                <w:lang w:val="en-GB"/>
              </w:rPr>
              <w:t>c</w:t>
            </w:r>
            <w:r w:rsidRPr="003476AC">
              <w:rPr>
                <w:rFonts w:ascii="Arial" w:hAnsi="Arial" w:cs="Arial"/>
                <w:sz w:val="20"/>
                <w:szCs w:val="20"/>
                <w:lang w:val="en-GB"/>
              </w:rPr>
              <w:t>t</w:t>
            </w:r>
            <w:r w:rsidRPr="003476AC">
              <w:rPr>
                <w:rFonts w:ascii="Arial" w:hAnsi="Arial" w:cs="Arial"/>
                <w:spacing w:val="2"/>
                <w:sz w:val="20"/>
                <w:szCs w:val="20"/>
                <w:lang w:val="en-GB"/>
              </w:rPr>
              <w:t>e</w:t>
            </w:r>
            <w:r w:rsidRPr="003476AC">
              <w:rPr>
                <w:rFonts w:ascii="Arial" w:hAnsi="Arial" w:cs="Arial"/>
                <w:sz w:val="20"/>
                <w:szCs w:val="20"/>
                <w:lang w:val="en-GB"/>
              </w:rPr>
              <w:t>ri</w:t>
            </w:r>
            <w:r w:rsidRPr="003476AC">
              <w:rPr>
                <w:rFonts w:ascii="Arial" w:hAnsi="Arial" w:cs="Arial"/>
                <w:spacing w:val="-1"/>
                <w:sz w:val="20"/>
                <w:szCs w:val="20"/>
                <w:lang w:val="en-GB"/>
              </w:rPr>
              <w:t>s</w:t>
            </w:r>
            <w:r w:rsidRPr="003476AC">
              <w:rPr>
                <w:rFonts w:ascii="Arial" w:hAnsi="Arial" w:cs="Arial"/>
                <w:sz w:val="20"/>
                <w:szCs w:val="20"/>
                <w:lang w:val="en-GB"/>
              </w:rPr>
              <w:t>ti</w:t>
            </w:r>
            <w:r w:rsidRPr="003476AC">
              <w:rPr>
                <w:rFonts w:ascii="Arial" w:hAnsi="Arial" w:cs="Arial"/>
                <w:spacing w:val="1"/>
                <w:sz w:val="20"/>
                <w:szCs w:val="20"/>
                <w:lang w:val="en-GB"/>
              </w:rPr>
              <w:t>c</w:t>
            </w:r>
            <w:r w:rsidRPr="003476AC">
              <w:rPr>
                <w:rFonts w:ascii="Arial" w:hAnsi="Arial" w:cs="Arial"/>
                <w:sz w:val="20"/>
                <w:szCs w:val="20"/>
                <w:lang w:val="en-GB"/>
              </w:rPr>
              <w:t>s</w:t>
            </w:r>
            <w:r w:rsidRPr="003476AC">
              <w:rPr>
                <w:rFonts w:ascii="Arial" w:hAnsi="Arial" w:cs="Arial"/>
                <w:spacing w:val="-1"/>
                <w:sz w:val="20"/>
                <w:szCs w:val="20"/>
                <w:lang w:val="en-GB"/>
              </w:rPr>
              <w:t xml:space="preserve"> </w:t>
            </w:r>
            <w:r w:rsidRPr="003476AC">
              <w:rPr>
                <w:rFonts w:ascii="Arial" w:hAnsi="Arial" w:cs="Arial"/>
                <w:spacing w:val="1"/>
                <w:sz w:val="20"/>
                <w:szCs w:val="20"/>
                <w:lang w:val="en-GB"/>
              </w:rPr>
              <w:t>p</w:t>
            </w:r>
            <w:r w:rsidRPr="003476AC">
              <w:rPr>
                <w:rFonts w:ascii="Arial" w:hAnsi="Arial" w:cs="Arial"/>
                <w:sz w:val="20"/>
                <w:szCs w:val="20"/>
                <w:lang w:val="en-GB"/>
              </w:rPr>
              <w:t>r</w:t>
            </w:r>
            <w:r w:rsidRPr="003476AC">
              <w:rPr>
                <w:rFonts w:ascii="Arial" w:hAnsi="Arial" w:cs="Arial"/>
                <w:spacing w:val="1"/>
                <w:sz w:val="20"/>
                <w:szCs w:val="20"/>
                <w:lang w:val="en-GB"/>
              </w:rPr>
              <w:t>o</w:t>
            </w:r>
            <w:r w:rsidRPr="003476AC">
              <w:rPr>
                <w:rFonts w:ascii="Arial" w:hAnsi="Arial" w:cs="Arial"/>
                <w:sz w:val="20"/>
                <w:szCs w:val="20"/>
                <w:lang w:val="en-GB"/>
              </w:rPr>
              <w:t>m</w:t>
            </w:r>
            <w:r w:rsidRPr="003476AC">
              <w:rPr>
                <w:rFonts w:ascii="Arial" w:hAnsi="Arial" w:cs="Arial"/>
                <w:spacing w:val="1"/>
                <w:sz w:val="20"/>
                <w:szCs w:val="20"/>
                <w:lang w:val="en-GB"/>
              </w:rPr>
              <w:t>o</w:t>
            </w:r>
            <w:r w:rsidRPr="003476AC">
              <w:rPr>
                <w:rFonts w:ascii="Arial" w:hAnsi="Arial" w:cs="Arial"/>
                <w:sz w:val="20"/>
                <w:szCs w:val="20"/>
                <w:lang w:val="en-GB"/>
              </w:rPr>
              <w:t>t</w:t>
            </w:r>
            <w:r w:rsidRPr="003476AC">
              <w:rPr>
                <w:rFonts w:ascii="Arial" w:hAnsi="Arial" w:cs="Arial"/>
                <w:spacing w:val="-1"/>
                <w:sz w:val="20"/>
                <w:szCs w:val="20"/>
                <w:lang w:val="en-GB"/>
              </w:rPr>
              <w:t>e</w:t>
            </w:r>
            <w:r w:rsidRPr="003476AC">
              <w:rPr>
                <w:rFonts w:ascii="Arial" w:hAnsi="Arial" w:cs="Arial"/>
                <w:sz w:val="20"/>
                <w:szCs w:val="20"/>
                <w:lang w:val="en-GB"/>
              </w:rPr>
              <w:t>d</w:t>
            </w:r>
            <w:r w:rsidRPr="003476AC">
              <w:rPr>
                <w:rFonts w:ascii="Arial" w:hAnsi="Arial" w:cs="Arial"/>
                <w:spacing w:val="-1"/>
                <w:sz w:val="20"/>
                <w:szCs w:val="20"/>
                <w:lang w:val="en-GB"/>
              </w:rPr>
              <w:t xml:space="preserve"> b</w:t>
            </w:r>
            <w:r w:rsidRPr="003476AC">
              <w:rPr>
                <w:rFonts w:ascii="Arial" w:hAnsi="Arial" w:cs="Arial"/>
                <w:sz w:val="20"/>
                <w:szCs w:val="20"/>
                <w:lang w:val="en-GB"/>
              </w:rPr>
              <w:t>y t</w:t>
            </w:r>
            <w:r w:rsidRPr="003476AC">
              <w:rPr>
                <w:rFonts w:ascii="Arial" w:hAnsi="Arial" w:cs="Arial"/>
                <w:spacing w:val="1"/>
                <w:sz w:val="20"/>
                <w:szCs w:val="20"/>
                <w:lang w:val="en-GB"/>
              </w:rPr>
              <w:t>h</w:t>
            </w:r>
            <w:r w:rsidRPr="003476AC">
              <w:rPr>
                <w:rFonts w:ascii="Arial" w:hAnsi="Arial" w:cs="Arial"/>
                <w:sz w:val="20"/>
                <w:szCs w:val="20"/>
                <w:lang w:val="en-GB"/>
              </w:rPr>
              <w:t>e</w:t>
            </w:r>
            <w:r w:rsidRPr="003476AC">
              <w:rPr>
                <w:rFonts w:ascii="Arial" w:hAnsi="Arial" w:cs="Arial"/>
                <w:spacing w:val="-1"/>
                <w:sz w:val="20"/>
                <w:szCs w:val="20"/>
                <w:lang w:val="en-GB"/>
              </w:rPr>
              <w:t xml:space="preserve"> </w:t>
            </w:r>
            <w:r w:rsidRPr="003476AC">
              <w:rPr>
                <w:rFonts w:ascii="Arial" w:hAnsi="Arial" w:cs="Arial"/>
                <w:sz w:val="20"/>
                <w:szCs w:val="20"/>
                <w:lang w:val="en-GB"/>
              </w:rPr>
              <w:t>fi</w:t>
            </w:r>
            <w:r w:rsidRPr="003476AC">
              <w:rPr>
                <w:rFonts w:ascii="Arial" w:hAnsi="Arial" w:cs="Arial"/>
                <w:spacing w:val="-1"/>
                <w:sz w:val="20"/>
                <w:szCs w:val="20"/>
                <w:lang w:val="en-GB"/>
              </w:rPr>
              <w:t>n</w:t>
            </w:r>
            <w:r w:rsidRPr="003476AC">
              <w:rPr>
                <w:rFonts w:ascii="Arial" w:hAnsi="Arial" w:cs="Arial"/>
                <w:sz w:val="20"/>
                <w:szCs w:val="20"/>
                <w:lang w:val="en-GB"/>
              </w:rPr>
              <w:t>a</w:t>
            </w:r>
            <w:r w:rsidRPr="003476AC">
              <w:rPr>
                <w:rFonts w:ascii="Arial" w:hAnsi="Arial" w:cs="Arial"/>
                <w:spacing w:val="-1"/>
                <w:sz w:val="20"/>
                <w:szCs w:val="20"/>
                <w:lang w:val="en-GB"/>
              </w:rPr>
              <w:t>n</w:t>
            </w:r>
            <w:r w:rsidRPr="003476AC">
              <w:rPr>
                <w:rFonts w:ascii="Arial" w:hAnsi="Arial" w:cs="Arial"/>
                <w:spacing w:val="1"/>
                <w:sz w:val="20"/>
                <w:szCs w:val="20"/>
                <w:lang w:val="en-GB"/>
              </w:rPr>
              <w:t>c</w:t>
            </w:r>
            <w:r w:rsidRPr="003476AC">
              <w:rPr>
                <w:rFonts w:ascii="Arial" w:hAnsi="Arial" w:cs="Arial"/>
                <w:sz w:val="20"/>
                <w:szCs w:val="20"/>
                <w:lang w:val="en-GB"/>
              </w:rPr>
              <w:t>ial</w:t>
            </w:r>
            <w:r w:rsidRPr="003476AC">
              <w:rPr>
                <w:rFonts w:ascii="Arial" w:hAnsi="Arial" w:cs="Arial"/>
                <w:spacing w:val="2"/>
                <w:sz w:val="20"/>
                <w:szCs w:val="20"/>
                <w:lang w:val="en-GB"/>
              </w:rPr>
              <w:t xml:space="preserve"> </w:t>
            </w:r>
            <w:r w:rsidRPr="003476AC">
              <w:rPr>
                <w:rFonts w:ascii="Arial" w:hAnsi="Arial" w:cs="Arial"/>
                <w:spacing w:val="-1"/>
                <w:sz w:val="20"/>
                <w:szCs w:val="20"/>
                <w:lang w:val="en-GB"/>
              </w:rPr>
              <w:t>p</w:t>
            </w:r>
            <w:r w:rsidRPr="003476AC">
              <w:rPr>
                <w:rFonts w:ascii="Arial" w:hAnsi="Arial" w:cs="Arial"/>
                <w:sz w:val="20"/>
                <w:szCs w:val="20"/>
                <w:lang w:val="en-GB"/>
              </w:rPr>
              <w:t>r</w:t>
            </w:r>
            <w:r w:rsidRPr="003476AC">
              <w:rPr>
                <w:rFonts w:ascii="Arial" w:hAnsi="Arial" w:cs="Arial"/>
                <w:spacing w:val="1"/>
                <w:sz w:val="20"/>
                <w:szCs w:val="20"/>
                <w:lang w:val="en-GB"/>
              </w:rPr>
              <w:t>o</w:t>
            </w:r>
            <w:r w:rsidRPr="003476AC">
              <w:rPr>
                <w:rFonts w:ascii="Arial" w:hAnsi="Arial" w:cs="Arial"/>
                <w:spacing w:val="-1"/>
                <w:sz w:val="20"/>
                <w:szCs w:val="20"/>
                <w:lang w:val="en-GB"/>
              </w:rPr>
              <w:t>du</w:t>
            </w:r>
            <w:r w:rsidRPr="003476AC">
              <w:rPr>
                <w:rFonts w:ascii="Arial" w:hAnsi="Arial" w:cs="Arial"/>
                <w:spacing w:val="1"/>
                <w:sz w:val="20"/>
                <w:szCs w:val="20"/>
                <w:lang w:val="en-GB"/>
              </w:rPr>
              <w:t>c</w:t>
            </w:r>
            <w:r w:rsidRPr="003476AC">
              <w:rPr>
                <w:rFonts w:ascii="Arial" w:hAnsi="Arial" w:cs="Arial"/>
                <w:sz w:val="20"/>
                <w:szCs w:val="20"/>
                <w:lang w:val="en-GB"/>
              </w:rPr>
              <w:t>t.</w:t>
            </w:r>
          </w:p>
          <w:p w14:paraId="5F52A8A4" w14:textId="77777777" w:rsidR="003C1B8B" w:rsidRPr="003476AC" w:rsidRDefault="003C1B8B" w:rsidP="003C1B8B">
            <w:pPr>
              <w:spacing w:before="96" w:after="0"/>
              <w:ind w:right="426"/>
              <w:jc w:val="left"/>
              <w:rPr>
                <w:rFonts w:ascii="Arial" w:hAnsi="Arial" w:cs="Arial"/>
                <w:sz w:val="20"/>
                <w:szCs w:val="20"/>
                <w:lang w:val="en-GB"/>
              </w:rPr>
            </w:pPr>
            <w:r w:rsidRPr="003476AC">
              <w:rPr>
                <w:rFonts w:ascii="Arial" w:hAnsi="Arial" w:cs="Arial"/>
                <w:bCs/>
                <w:spacing w:val="-1"/>
                <w:sz w:val="20"/>
                <w:szCs w:val="20"/>
                <w:lang w:val="en-GB"/>
              </w:rPr>
              <w:t>#</w:t>
            </w:r>
            <w:r w:rsidRPr="003476AC">
              <w:rPr>
                <w:rFonts w:ascii="Arial" w:hAnsi="Arial" w:cs="Arial"/>
                <w:bCs/>
                <w:sz w:val="20"/>
                <w:szCs w:val="20"/>
                <w:lang w:val="en-GB"/>
              </w:rPr>
              <w:t xml:space="preserve">2 </w:t>
            </w:r>
            <w:r w:rsidRPr="003476AC">
              <w:rPr>
                <w:rFonts w:ascii="Arial" w:hAnsi="Arial" w:cs="Arial"/>
                <w:bCs/>
                <w:spacing w:val="1"/>
                <w:sz w:val="20"/>
                <w:szCs w:val="20"/>
                <w:lang w:val="en-GB"/>
              </w:rPr>
              <w:t>O</w:t>
            </w:r>
            <w:r w:rsidRPr="003476AC">
              <w:rPr>
                <w:rFonts w:ascii="Arial" w:hAnsi="Arial" w:cs="Arial"/>
                <w:bCs/>
                <w:sz w:val="20"/>
                <w:szCs w:val="20"/>
                <w:lang w:val="en-GB"/>
              </w:rPr>
              <w:t>t</w:t>
            </w:r>
            <w:r w:rsidRPr="003476AC">
              <w:rPr>
                <w:rFonts w:ascii="Arial" w:hAnsi="Arial" w:cs="Arial"/>
                <w:bCs/>
                <w:spacing w:val="-1"/>
                <w:sz w:val="20"/>
                <w:szCs w:val="20"/>
                <w:lang w:val="en-GB"/>
              </w:rPr>
              <w:t>h</w:t>
            </w:r>
            <w:r w:rsidRPr="003476AC">
              <w:rPr>
                <w:rFonts w:ascii="Arial" w:hAnsi="Arial" w:cs="Arial"/>
                <w:bCs/>
                <w:spacing w:val="1"/>
                <w:sz w:val="20"/>
                <w:szCs w:val="20"/>
                <w:lang w:val="en-GB"/>
              </w:rPr>
              <w:t>e</w:t>
            </w:r>
            <w:r w:rsidRPr="003476AC">
              <w:rPr>
                <w:rFonts w:ascii="Arial" w:hAnsi="Arial" w:cs="Arial"/>
                <w:bCs/>
                <w:sz w:val="20"/>
                <w:szCs w:val="20"/>
                <w:lang w:val="en-GB"/>
              </w:rPr>
              <w:t>r</w:t>
            </w:r>
            <w:r w:rsidRPr="003476AC">
              <w:rPr>
                <w:rFonts w:ascii="Arial" w:hAnsi="Arial" w:cs="Arial"/>
                <w:bCs/>
                <w:spacing w:val="1"/>
                <w:sz w:val="20"/>
                <w:szCs w:val="20"/>
                <w:lang w:val="en-GB"/>
              </w:rPr>
              <w:t xml:space="preserve"> </w:t>
            </w:r>
            <w:r w:rsidRPr="003476AC">
              <w:rPr>
                <w:rFonts w:ascii="Arial" w:hAnsi="Arial" w:cs="Arial"/>
                <w:spacing w:val="-1"/>
                <w:sz w:val="20"/>
                <w:szCs w:val="20"/>
                <w:lang w:val="en-GB"/>
              </w:rPr>
              <w:t>in</w:t>
            </w:r>
            <w:r w:rsidRPr="003476AC">
              <w:rPr>
                <w:rFonts w:ascii="Arial" w:hAnsi="Arial" w:cs="Arial"/>
                <w:spacing w:val="1"/>
                <w:sz w:val="20"/>
                <w:szCs w:val="20"/>
                <w:lang w:val="en-GB"/>
              </w:rPr>
              <w:t>c</w:t>
            </w:r>
            <w:r w:rsidRPr="003476AC">
              <w:rPr>
                <w:rFonts w:ascii="Arial" w:hAnsi="Arial" w:cs="Arial"/>
                <w:spacing w:val="-1"/>
                <w:sz w:val="20"/>
                <w:szCs w:val="20"/>
                <w:lang w:val="en-GB"/>
              </w:rPr>
              <w:t>lud</w:t>
            </w:r>
            <w:r w:rsidRPr="003476AC">
              <w:rPr>
                <w:rFonts w:ascii="Arial" w:hAnsi="Arial" w:cs="Arial"/>
                <w:spacing w:val="2"/>
                <w:sz w:val="20"/>
                <w:szCs w:val="20"/>
                <w:lang w:val="en-GB"/>
              </w:rPr>
              <w:t>e</w:t>
            </w:r>
            <w:r w:rsidRPr="003476AC">
              <w:rPr>
                <w:rFonts w:ascii="Arial" w:hAnsi="Arial" w:cs="Arial"/>
                <w:sz w:val="20"/>
                <w:szCs w:val="20"/>
                <w:lang w:val="en-GB"/>
              </w:rPr>
              <w:t>s</w:t>
            </w:r>
            <w:r w:rsidRPr="003476AC">
              <w:rPr>
                <w:rFonts w:ascii="Arial" w:hAnsi="Arial" w:cs="Arial"/>
                <w:spacing w:val="-1"/>
                <w:sz w:val="20"/>
                <w:szCs w:val="20"/>
                <w:lang w:val="en-GB"/>
              </w:rPr>
              <w:t xml:space="preserve"> </w:t>
            </w:r>
            <w:r w:rsidRPr="003476AC">
              <w:rPr>
                <w:rFonts w:ascii="Arial" w:hAnsi="Arial" w:cs="Arial"/>
                <w:sz w:val="20"/>
                <w:szCs w:val="20"/>
                <w:lang w:val="en-GB"/>
              </w:rPr>
              <w:t>t</w:t>
            </w:r>
            <w:r w:rsidRPr="003476AC">
              <w:rPr>
                <w:rFonts w:ascii="Arial" w:hAnsi="Arial" w:cs="Arial"/>
                <w:spacing w:val="1"/>
                <w:sz w:val="20"/>
                <w:szCs w:val="20"/>
                <w:lang w:val="en-GB"/>
              </w:rPr>
              <w:t>h</w:t>
            </w:r>
            <w:r w:rsidRPr="003476AC">
              <w:rPr>
                <w:rFonts w:ascii="Arial" w:hAnsi="Arial" w:cs="Arial"/>
                <w:sz w:val="20"/>
                <w:szCs w:val="20"/>
                <w:lang w:val="en-GB"/>
              </w:rPr>
              <w:t>e</w:t>
            </w:r>
            <w:r w:rsidRPr="003476AC">
              <w:rPr>
                <w:rFonts w:ascii="Arial" w:hAnsi="Arial" w:cs="Arial"/>
                <w:spacing w:val="-1"/>
                <w:sz w:val="20"/>
                <w:szCs w:val="20"/>
                <w:lang w:val="en-GB"/>
              </w:rPr>
              <w:t xml:space="preserve"> </w:t>
            </w:r>
            <w:r w:rsidRPr="003476AC">
              <w:rPr>
                <w:rFonts w:ascii="Arial" w:hAnsi="Arial" w:cs="Arial"/>
                <w:sz w:val="20"/>
                <w:szCs w:val="20"/>
                <w:lang w:val="en-GB"/>
              </w:rPr>
              <w:t>r</w:t>
            </w:r>
            <w:r w:rsidRPr="003476AC">
              <w:rPr>
                <w:rFonts w:ascii="Arial" w:hAnsi="Arial" w:cs="Arial"/>
                <w:spacing w:val="-1"/>
                <w:sz w:val="20"/>
                <w:szCs w:val="20"/>
                <w:lang w:val="en-GB"/>
              </w:rPr>
              <w:t>e</w:t>
            </w:r>
            <w:r w:rsidRPr="003476AC">
              <w:rPr>
                <w:rFonts w:ascii="Arial" w:hAnsi="Arial" w:cs="Arial"/>
                <w:sz w:val="20"/>
                <w:szCs w:val="20"/>
                <w:lang w:val="en-GB"/>
              </w:rPr>
              <w:t>ma</w:t>
            </w:r>
            <w:r w:rsidRPr="003476AC">
              <w:rPr>
                <w:rFonts w:ascii="Arial" w:hAnsi="Arial" w:cs="Arial"/>
                <w:spacing w:val="-1"/>
                <w:sz w:val="20"/>
                <w:szCs w:val="20"/>
                <w:lang w:val="en-GB"/>
              </w:rPr>
              <w:t>i</w:t>
            </w:r>
            <w:r w:rsidRPr="003476AC">
              <w:rPr>
                <w:rFonts w:ascii="Arial" w:hAnsi="Arial" w:cs="Arial"/>
                <w:spacing w:val="1"/>
                <w:sz w:val="20"/>
                <w:szCs w:val="20"/>
                <w:lang w:val="en-GB"/>
              </w:rPr>
              <w:t>n</w:t>
            </w:r>
            <w:r w:rsidRPr="003476AC">
              <w:rPr>
                <w:rFonts w:ascii="Arial" w:hAnsi="Arial" w:cs="Arial"/>
                <w:spacing w:val="-1"/>
                <w:sz w:val="20"/>
                <w:szCs w:val="20"/>
                <w:lang w:val="en-GB"/>
              </w:rPr>
              <w:t>in</w:t>
            </w:r>
            <w:r w:rsidRPr="003476AC">
              <w:rPr>
                <w:rFonts w:ascii="Arial" w:hAnsi="Arial" w:cs="Arial"/>
                <w:sz w:val="20"/>
                <w:szCs w:val="20"/>
                <w:lang w:val="en-GB"/>
              </w:rPr>
              <w:t>g</w:t>
            </w:r>
            <w:r w:rsidRPr="003476AC">
              <w:rPr>
                <w:rFonts w:ascii="Arial" w:hAnsi="Arial" w:cs="Arial"/>
                <w:spacing w:val="2"/>
                <w:sz w:val="20"/>
                <w:szCs w:val="20"/>
                <w:lang w:val="en-GB"/>
              </w:rPr>
              <w:t xml:space="preserve"> i</w:t>
            </w:r>
            <w:r w:rsidRPr="003476AC">
              <w:rPr>
                <w:rFonts w:ascii="Arial" w:hAnsi="Arial" w:cs="Arial"/>
                <w:spacing w:val="-1"/>
                <w:sz w:val="20"/>
                <w:szCs w:val="20"/>
                <w:lang w:val="en-GB"/>
              </w:rPr>
              <w:t>n</w:t>
            </w:r>
            <w:r w:rsidRPr="003476AC">
              <w:rPr>
                <w:rFonts w:ascii="Arial" w:hAnsi="Arial" w:cs="Arial"/>
                <w:sz w:val="20"/>
                <w:szCs w:val="20"/>
                <w:lang w:val="en-GB"/>
              </w:rPr>
              <w:t>v</w:t>
            </w:r>
            <w:r w:rsidRPr="003476AC">
              <w:rPr>
                <w:rFonts w:ascii="Arial" w:hAnsi="Arial" w:cs="Arial"/>
                <w:spacing w:val="-1"/>
                <w:sz w:val="20"/>
                <w:szCs w:val="20"/>
                <w:lang w:val="en-GB"/>
              </w:rPr>
              <w:t>es</w:t>
            </w:r>
            <w:r w:rsidRPr="003476AC">
              <w:rPr>
                <w:rFonts w:ascii="Arial" w:hAnsi="Arial" w:cs="Arial"/>
                <w:sz w:val="20"/>
                <w:szCs w:val="20"/>
                <w:lang w:val="en-GB"/>
              </w:rPr>
              <w:t>tm</w:t>
            </w:r>
            <w:r w:rsidRPr="003476AC">
              <w:rPr>
                <w:rFonts w:ascii="Arial" w:hAnsi="Arial" w:cs="Arial"/>
                <w:spacing w:val="2"/>
                <w:sz w:val="20"/>
                <w:szCs w:val="20"/>
                <w:lang w:val="en-GB"/>
              </w:rPr>
              <w:t>e</w:t>
            </w:r>
            <w:r w:rsidRPr="003476AC">
              <w:rPr>
                <w:rFonts w:ascii="Arial" w:hAnsi="Arial" w:cs="Arial"/>
                <w:spacing w:val="-1"/>
                <w:sz w:val="20"/>
                <w:szCs w:val="20"/>
                <w:lang w:val="en-GB"/>
              </w:rPr>
              <w:t>n</w:t>
            </w:r>
            <w:r w:rsidRPr="003476AC">
              <w:rPr>
                <w:rFonts w:ascii="Arial" w:hAnsi="Arial" w:cs="Arial"/>
                <w:sz w:val="20"/>
                <w:szCs w:val="20"/>
                <w:lang w:val="en-GB"/>
              </w:rPr>
              <w:t>ts</w:t>
            </w:r>
            <w:r w:rsidRPr="003476AC">
              <w:rPr>
                <w:rFonts w:ascii="Arial" w:hAnsi="Arial" w:cs="Arial"/>
                <w:spacing w:val="-1"/>
                <w:sz w:val="20"/>
                <w:szCs w:val="20"/>
                <w:lang w:val="en-GB"/>
              </w:rPr>
              <w:t xml:space="preserve"> </w:t>
            </w:r>
            <w:r w:rsidRPr="003476AC">
              <w:rPr>
                <w:rFonts w:ascii="Arial" w:hAnsi="Arial" w:cs="Arial"/>
                <w:spacing w:val="1"/>
                <w:sz w:val="20"/>
                <w:szCs w:val="20"/>
                <w:lang w:val="en-GB"/>
              </w:rPr>
              <w:t>o</w:t>
            </w:r>
            <w:r w:rsidRPr="003476AC">
              <w:rPr>
                <w:rFonts w:ascii="Arial" w:hAnsi="Arial" w:cs="Arial"/>
                <w:sz w:val="20"/>
                <w:szCs w:val="20"/>
                <w:lang w:val="en-GB"/>
              </w:rPr>
              <w:t>f t</w:t>
            </w:r>
            <w:r w:rsidRPr="003476AC">
              <w:rPr>
                <w:rFonts w:ascii="Arial" w:hAnsi="Arial" w:cs="Arial"/>
                <w:spacing w:val="-1"/>
                <w:sz w:val="20"/>
                <w:szCs w:val="20"/>
                <w:lang w:val="en-GB"/>
              </w:rPr>
              <w:t>h</w:t>
            </w:r>
            <w:r w:rsidRPr="003476AC">
              <w:rPr>
                <w:rFonts w:ascii="Arial" w:hAnsi="Arial" w:cs="Arial"/>
                <w:sz w:val="20"/>
                <w:szCs w:val="20"/>
                <w:lang w:val="en-GB"/>
              </w:rPr>
              <w:t>e</w:t>
            </w:r>
            <w:r w:rsidRPr="003476AC">
              <w:rPr>
                <w:rFonts w:ascii="Arial" w:hAnsi="Arial" w:cs="Arial"/>
                <w:spacing w:val="-1"/>
                <w:sz w:val="20"/>
                <w:szCs w:val="20"/>
                <w:lang w:val="en-GB"/>
              </w:rPr>
              <w:t xml:space="preserve"> </w:t>
            </w:r>
            <w:r w:rsidRPr="003476AC">
              <w:rPr>
                <w:rFonts w:ascii="Arial" w:hAnsi="Arial" w:cs="Arial"/>
                <w:sz w:val="20"/>
                <w:szCs w:val="20"/>
                <w:lang w:val="en-GB"/>
              </w:rPr>
              <w:t>f</w:t>
            </w:r>
            <w:r w:rsidRPr="003476AC">
              <w:rPr>
                <w:rFonts w:ascii="Arial" w:hAnsi="Arial" w:cs="Arial"/>
                <w:spacing w:val="2"/>
                <w:sz w:val="20"/>
                <w:szCs w:val="20"/>
                <w:lang w:val="en-GB"/>
              </w:rPr>
              <w:t>i</w:t>
            </w:r>
            <w:r w:rsidRPr="003476AC">
              <w:rPr>
                <w:rFonts w:ascii="Arial" w:hAnsi="Arial" w:cs="Arial"/>
                <w:spacing w:val="-1"/>
                <w:sz w:val="20"/>
                <w:szCs w:val="20"/>
                <w:lang w:val="en-GB"/>
              </w:rPr>
              <w:t>n</w:t>
            </w:r>
            <w:r w:rsidRPr="003476AC">
              <w:rPr>
                <w:rFonts w:ascii="Arial" w:hAnsi="Arial" w:cs="Arial"/>
                <w:sz w:val="20"/>
                <w:szCs w:val="20"/>
                <w:lang w:val="en-GB"/>
              </w:rPr>
              <w:t>a</w:t>
            </w:r>
            <w:r w:rsidRPr="003476AC">
              <w:rPr>
                <w:rFonts w:ascii="Arial" w:hAnsi="Arial" w:cs="Arial"/>
                <w:spacing w:val="-1"/>
                <w:sz w:val="20"/>
                <w:szCs w:val="20"/>
                <w:lang w:val="en-GB"/>
              </w:rPr>
              <w:t>n</w:t>
            </w:r>
            <w:r w:rsidRPr="003476AC">
              <w:rPr>
                <w:rFonts w:ascii="Arial" w:hAnsi="Arial" w:cs="Arial"/>
                <w:spacing w:val="1"/>
                <w:sz w:val="20"/>
                <w:szCs w:val="20"/>
                <w:lang w:val="en-GB"/>
              </w:rPr>
              <w:t>c</w:t>
            </w:r>
            <w:r w:rsidRPr="003476AC">
              <w:rPr>
                <w:rFonts w:ascii="Arial" w:hAnsi="Arial" w:cs="Arial"/>
                <w:spacing w:val="-1"/>
                <w:sz w:val="20"/>
                <w:szCs w:val="20"/>
                <w:lang w:val="en-GB"/>
              </w:rPr>
              <w:t>i</w:t>
            </w:r>
            <w:r w:rsidRPr="003476AC">
              <w:rPr>
                <w:rFonts w:ascii="Arial" w:hAnsi="Arial" w:cs="Arial"/>
                <w:sz w:val="20"/>
                <w:szCs w:val="20"/>
                <w:lang w:val="en-GB"/>
              </w:rPr>
              <w:t>al</w:t>
            </w:r>
            <w:r w:rsidRPr="003476AC">
              <w:rPr>
                <w:rFonts w:ascii="Arial" w:hAnsi="Arial" w:cs="Arial"/>
                <w:spacing w:val="2"/>
                <w:sz w:val="20"/>
                <w:szCs w:val="20"/>
                <w:lang w:val="en-GB"/>
              </w:rPr>
              <w:t xml:space="preserve"> </w:t>
            </w:r>
            <w:r w:rsidRPr="003476AC">
              <w:rPr>
                <w:rFonts w:ascii="Arial" w:hAnsi="Arial" w:cs="Arial"/>
                <w:spacing w:val="-1"/>
                <w:sz w:val="20"/>
                <w:szCs w:val="20"/>
                <w:lang w:val="en-GB"/>
              </w:rPr>
              <w:t>p</w:t>
            </w:r>
            <w:r w:rsidRPr="003476AC">
              <w:rPr>
                <w:rFonts w:ascii="Arial" w:hAnsi="Arial" w:cs="Arial"/>
                <w:sz w:val="20"/>
                <w:szCs w:val="20"/>
                <w:lang w:val="en-GB"/>
              </w:rPr>
              <w:t>r</w:t>
            </w:r>
            <w:r w:rsidRPr="003476AC">
              <w:rPr>
                <w:rFonts w:ascii="Arial" w:hAnsi="Arial" w:cs="Arial"/>
                <w:spacing w:val="1"/>
                <w:sz w:val="20"/>
                <w:szCs w:val="20"/>
                <w:lang w:val="en-GB"/>
              </w:rPr>
              <w:t>od</w:t>
            </w:r>
            <w:r w:rsidRPr="003476AC">
              <w:rPr>
                <w:rFonts w:ascii="Arial" w:hAnsi="Arial" w:cs="Arial"/>
                <w:spacing w:val="-1"/>
                <w:sz w:val="20"/>
                <w:szCs w:val="20"/>
                <w:lang w:val="en-GB"/>
              </w:rPr>
              <w:t>u</w:t>
            </w:r>
            <w:r w:rsidRPr="003476AC">
              <w:rPr>
                <w:rFonts w:ascii="Arial" w:hAnsi="Arial" w:cs="Arial"/>
                <w:spacing w:val="1"/>
                <w:sz w:val="20"/>
                <w:szCs w:val="20"/>
                <w:lang w:val="en-GB"/>
              </w:rPr>
              <w:t>c</w:t>
            </w:r>
            <w:r w:rsidRPr="003476AC">
              <w:rPr>
                <w:rFonts w:ascii="Arial" w:hAnsi="Arial" w:cs="Arial"/>
                <w:sz w:val="20"/>
                <w:szCs w:val="20"/>
                <w:lang w:val="en-GB"/>
              </w:rPr>
              <w:t xml:space="preserve">t </w:t>
            </w:r>
            <w:r w:rsidRPr="003476AC">
              <w:rPr>
                <w:rFonts w:ascii="Arial" w:hAnsi="Arial" w:cs="Arial"/>
                <w:spacing w:val="1"/>
                <w:sz w:val="20"/>
                <w:szCs w:val="20"/>
                <w:lang w:val="en-GB"/>
              </w:rPr>
              <w:t>w</w:t>
            </w:r>
            <w:r w:rsidRPr="003476AC">
              <w:rPr>
                <w:rFonts w:ascii="Arial" w:hAnsi="Arial" w:cs="Arial"/>
                <w:spacing w:val="-1"/>
                <w:sz w:val="20"/>
                <w:szCs w:val="20"/>
                <w:lang w:val="en-GB"/>
              </w:rPr>
              <w:t>hi</w:t>
            </w:r>
            <w:r w:rsidRPr="003476AC">
              <w:rPr>
                <w:rFonts w:ascii="Arial" w:hAnsi="Arial" w:cs="Arial"/>
                <w:spacing w:val="1"/>
                <w:sz w:val="20"/>
                <w:szCs w:val="20"/>
                <w:lang w:val="en-GB"/>
              </w:rPr>
              <w:t>c</w:t>
            </w:r>
            <w:r w:rsidRPr="003476AC">
              <w:rPr>
                <w:rFonts w:ascii="Arial" w:hAnsi="Arial" w:cs="Arial"/>
                <w:sz w:val="20"/>
                <w:szCs w:val="20"/>
                <w:lang w:val="en-GB"/>
              </w:rPr>
              <w:t>h</w:t>
            </w:r>
            <w:r w:rsidRPr="003476AC">
              <w:rPr>
                <w:rFonts w:ascii="Arial" w:hAnsi="Arial" w:cs="Arial"/>
                <w:spacing w:val="-1"/>
                <w:sz w:val="20"/>
                <w:szCs w:val="20"/>
                <w:lang w:val="en-GB"/>
              </w:rPr>
              <w:t xml:space="preserve"> </w:t>
            </w:r>
            <w:r w:rsidRPr="003476AC">
              <w:rPr>
                <w:rFonts w:ascii="Arial" w:hAnsi="Arial" w:cs="Arial"/>
                <w:sz w:val="20"/>
                <w:szCs w:val="20"/>
                <w:lang w:val="en-GB"/>
              </w:rPr>
              <w:t>are</w:t>
            </w:r>
            <w:r w:rsidRPr="003476AC">
              <w:rPr>
                <w:rFonts w:ascii="Arial" w:hAnsi="Arial" w:cs="Arial"/>
                <w:spacing w:val="-1"/>
                <w:sz w:val="20"/>
                <w:szCs w:val="20"/>
                <w:lang w:val="en-GB"/>
              </w:rPr>
              <w:t xml:space="preserve"> </w:t>
            </w:r>
            <w:r w:rsidRPr="003476AC">
              <w:rPr>
                <w:rFonts w:ascii="Arial" w:hAnsi="Arial" w:cs="Arial"/>
                <w:spacing w:val="1"/>
                <w:sz w:val="20"/>
                <w:szCs w:val="20"/>
                <w:lang w:val="en-GB"/>
              </w:rPr>
              <w:t>n</w:t>
            </w:r>
            <w:r w:rsidRPr="003476AC">
              <w:rPr>
                <w:rFonts w:ascii="Arial" w:hAnsi="Arial" w:cs="Arial"/>
                <w:spacing w:val="-1"/>
                <w:sz w:val="20"/>
                <w:szCs w:val="20"/>
                <w:lang w:val="en-GB"/>
              </w:rPr>
              <w:t>e</w:t>
            </w:r>
            <w:r w:rsidRPr="003476AC">
              <w:rPr>
                <w:rFonts w:ascii="Arial" w:hAnsi="Arial" w:cs="Arial"/>
                <w:sz w:val="20"/>
                <w:szCs w:val="20"/>
                <w:lang w:val="en-GB"/>
              </w:rPr>
              <w:t>it</w:t>
            </w:r>
            <w:r w:rsidRPr="003476AC">
              <w:rPr>
                <w:rFonts w:ascii="Arial" w:hAnsi="Arial" w:cs="Arial"/>
                <w:spacing w:val="1"/>
                <w:sz w:val="20"/>
                <w:szCs w:val="20"/>
                <w:lang w:val="en-GB"/>
              </w:rPr>
              <w:t>h</w:t>
            </w:r>
            <w:r w:rsidRPr="003476AC">
              <w:rPr>
                <w:rFonts w:ascii="Arial" w:hAnsi="Arial" w:cs="Arial"/>
                <w:spacing w:val="-1"/>
                <w:sz w:val="20"/>
                <w:szCs w:val="20"/>
                <w:lang w:val="en-GB"/>
              </w:rPr>
              <w:t>e</w:t>
            </w:r>
            <w:r w:rsidRPr="003476AC">
              <w:rPr>
                <w:rFonts w:ascii="Arial" w:hAnsi="Arial" w:cs="Arial"/>
                <w:sz w:val="20"/>
                <w:szCs w:val="20"/>
                <w:lang w:val="en-GB"/>
              </w:rPr>
              <w:t>r a</w:t>
            </w:r>
            <w:r w:rsidRPr="003476AC">
              <w:rPr>
                <w:rFonts w:ascii="Arial" w:hAnsi="Arial" w:cs="Arial"/>
                <w:spacing w:val="-1"/>
                <w:sz w:val="20"/>
                <w:szCs w:val="20"/>
                <w:lang w:val="en-GB"/>
              </w:rPr>
              <w:t>li</w:t>
            </w:r>
            <w:r w:rsidRPr="003476AC">
              <w:rPr>
                <w:rFonts w:ascii="Arial" w:hAnsi="Arial" w:cs="Arial"/>
                <w:spacing w:val="2"/>
                <w:sz w:val="20"/>
                <w:szCs w:val="20"/>
                <w:lang w:val="en-GB"/>
              </w:rPr>
              <w:t>g</w:t>
            </w:r>
            <w:r w:rsidRPr="003476AC">
              <w:rPr>
                <w:rFonts w:ascii="Arial" w:hAnsi="Arial" w:cs="Arial"/>
                <w:spacing w:val="-1"/>
                <w:sz w:val="20"/>
                <w:szCs w:val="20"/>
                <w:lang w:val="en-GB"/>
              </w:rPr>
              <w:t>n</w:t>
            </w:r>
            <w:r w:rsidRPr="003476AC">
              <w:rPr>
                <w:rFonts w:ascii="Arial" w:hAnsi="Arial" w:cs="Arial"/>
                <w:spacing w:val="2"/>
                <w:sz w:val="20"/>
                <w:szCs w:val="20"/>
                <w:lang w:val="en-GB"/>
              </w:rPr>
              <w:t>e</w:t>
            </w:r>
            <w:r w:rsidRPr="003476AC">
              <w:rPr>
                <w:rFonts w:ascii="Arial" w:hAnsi="Arial" w:cs="Arial"/>
                <w:sz w:val="20"/>
                <w:szCs w:val="20"/>
                <w:lang w:val="en-GB"/>
              </w:rPr>
              <w:t>d</w:t>
            </w:r>
            <w:r w:rsidRPr="003476AC">
              <w:rPr>
                <w:rFonts w:ascii="Arial" w:hAnsi="Arial" w:cs="Arial"/>
                <w:spacing w:val="-1"/>
                <w:sz w:val="20"/>
                <w:szCs w:val="20"/>
                <w:lang w:val="en-GB"/>
              </w:rPr>
              <w:t xml:space="preserve"> </w:t>
            </w:r>
            <w:r w:rsidRPr="003476AC">
              <w:rPr>
                <w:rFonts w:ascii="Arial" w:hAnsi="Arial" w:cs="Arial"/>
                <w:spacing w:val="1"/>
                <w:sz w:val="20"/>
                <w:szCs w:val="20"/>
                <w:lang w:val="en-GB"/>
              </w:rPr>
              <w:t>w</w:t>
            </w:r>
            <w:r w:rsidRPr="003476AC">
              <w:rPr>
                <w:rFonts w:ascii="Arial" w:hAnsi="Arial" w:cs="Arial"/>
                <w:spacing w:val="-1"/>
                <w:sz w:val="20"/>
                <w:szCs w:val="20"/>
                <w:lang w:val="en-GB"/>
              </w:rPr>
              <w:t>i</w:t>
            </w:r>
            <w:r w:rsidRPr="003476AC">
              <w:rPr>
                <w:rFonts w:ascii="Arial" w:hAnsi="Arial" w:cs="Arial"/>
                <w:sz w:val="20"/>
                <w:szCs w:val="20"/>
                <w:lang w:val="en-GB"/>
              </w:rPr>
              <w:t>th</w:t>
            </w:r>
            <w:r w:rsidRPr="003476AC">
              <w:rPr>
                <w:rFonts w:ascii="Arial" w:hAnsi="Arial" w:cs="Arial"/>
                <w:spacing w:val="-1"/>
                <w:sz w:val="20"/>
                <w:szCs w:val="20"/>
                <w:lang w:val="en-GB"/>
              </w:rPr>
              <w:t xml:space="preserve"> </w:t>
            </w:r>
            <w:r w:rsidRPr="003476AC">
              <w:rPr>
                <w:rFonts w:ascii="Arial" w:hAnsi="Arial" w:cs="Arial"/>
                <w:sz w:val="20"/>
                <w:szCs w:val="20"/>
                <w:lang w:val="en-GB"/>
              </w:rPr>
              <w:t>t</w:t>
            </w:r>
            <w:r w:rsidRPr="003476AC">
              <w:rPr>
                <w:rFonts w:ascii="Arial" w:hAnsi="Arial" w:cs="Arial"/>
                <w:spacing w:val="-1"/>
                <w:sz w:val="20"/>
                <w:szCs w:val="20"/>
                <w:lang w:val="en-GB"/>
              </w:rPr>
              <w:t>he en</w:t>
            </w:r>
            <w:r w:rsidRPr="003476AC">
              <w:rPr>
                <w:rFonts w:ascii="Arial" w:hAnsi="Arial" w:cs="Arial"/>
                <w:sz w:val="20"/>
                <w:szCs w:val="20"/>
                <w:lang w:val="en-GB"/>
              </w:rPr>
              <w:t>v</w:t>
            </w:r>
            <w:r w:rsidRPr="003476AC">
              <w:rPr>
                <w:rFonts w:ascii="Arial" w:hAnsi="Arial" w:cs="Arial"/>
                <w:spacing w:val="-1"/>
                <w:sz w:val="20"/>
                <w:szCs w:val="20"/>
                <w:lang w:val="en-GB"/>
              </w:rPr>
              <w:t>i</w:t>
            </w:r>
            <w:r w:rsidRPr="003476AC">
              <w:rPr>
                <w:rFonts w:ascii="Arial" w:hAnsi="Arial" w:cs="Arial"/>
                <w:sz w:val="20"/>
                <w:szCs w:val="20"/>
                <w:lang w:val="en-GB"/>
              </w:rPr>
              <w:t>r</w:t>
            </w:r>
            <w:r w:rsidRPr="003476AC">
              <w:rPr>
                <w:rFonts w:ascii="Arial" w:hAnsi="Arial" w:cs="Arial"/>
                <w:spacing w:val="1"/>
                <w:sz w:val="20"/>
                <w:szCs w:val="20"/>
                <w:lang w:val="en-GB"/>
              </w:rPr>
              <w:t>o</w:t>
            </w:r>
            <w:r w:rsidRPr="003476AC">
              <w:rPr>
                <w:rFonts w:ascii="Arial" w:hAnsi="Arial" w:cs="Arial"/>
                <w:spacing w:val="-1"/>
                <w:sz w:val="20"/>
                <w:szCs w:val="20"/>
                <w:lang w:val="en-GB"/>
              </w:rPr>
              <w:t>n</w:t>
            </w:r>
            <w:r w:rsidRPr="003476AC">
              <w:rPr>
                <w:rFonts w:ascii="Arial" w:hAnsi="Arial" w:cs="Arial"/>
                <w:sz w:val="20"/>
                <w:szCs w:val="20"/>
                <w:lang w:val="en-GB"/>
              </w:rPr>
              <w:t>m</w:t>
            </w:r>
            <w:r w:rsidRPr="003476AC">
              <w:rPr>
                <w:rFonts w:ascii="Arial" w:hAnsi="Arial" w:cs="Arial"/>
                <w:spacing w:val="2"/>
                <w:sz w:val="20"/>
                <w:szCs w:val="20"/>
                <w:lang w:val="en-GB"/>
              </w:rPr>
              <w:t>e</w:t>
            </w:r>
            <w:r w:rsidRPr="003476AC">
              <w:rPr>
                <w:rFonts w:ascii="Arial" w:hAnsi="Arial" w:cs="Arial"/>
                <w:spacing w:val="-1"/>
                <w:sz w:val="20"/>
                <w:szCs w:val="20"/>
                <w:lang w:val="en-GB"/>
              </w:rPr>
              <w:t>n</w:t>
            </w:r>
            <w:r w:rsidRPr="003476AC">
              <w:rPr>
                <w:rFonts w:ascii="Arial" w:hAnsi="Arial" w:cs="Arial"/>
                <w:sz w:val="20"/>
                <w:szCs w:val="20"/>
                <w:lang w:val="en-GB"/>
              </w:rPr>
              <w:t xml:space="preserve">tal </w:t>
            </w:r>
            <w:r w:rsidRPr="003476AC">
              <w:rPr>
                <w:rFonts w:ascii="Arial" w:hAnsi="Arial" w:cs="Arial"/>
                <w:spacing w:val="1"/>
                <w:sz w:val="20"/>
                <w:szCs w:val="20"/>
                <w:lang w:val="en-GB"/>
              </w:rPr>
              <w:t>o</w:t>
            </w:r>
            <w:r w:rsidRPr="003476AC">
              <w:rPr>
                <w:rFonts w:ascii="Arial" w:hAnsi="Arial" w:cs="Arial"/>
                <w:sz w:val="20"/>
                <w:szCs w:val="20"/>
                <w:lang w:val="en-GB"/>
              </w:rPr>
              <w:t xml:space="preserve">r </w:t>
            </w:r>
            <w:r w:rsidRPr="003476AC">
              <w:rPr>
                <w:rFonts w:ascii="Arial" w:hAnsi="Arial" w:cs="Arial"/>
                <w:spacing w:val="-1"/>
                <w:sz w:val="20"/>
                <w:szCs w:val="20"/>
                <w:lang w:val="en-GB"/>
              </w:rPr>
              <w:t>s</w:t>
            </w:r>
            <w:r w:rsidRPr="003476AC">
              <w:rPr>
                <w:rFonts w:ascii="Arial" w:hAnsi="Arial" w:cs="Arial"/>
                <w:spacing w:val="1"/>
                <w:sz w:val="20"/>
                <w:szCs w:val="20"/>
                <w:lang w:val="en-GB"/>
              </w:rPr>
              <w:t>oc</w:t>
            </w:r>
            <w:r w:rsidRPr="003476AC">
              <w:rPr>
                <w:rFonts w:ascii="Arial" w:hAnsi="Arial" w:cs="Arial"/>
                <w:spacing w:val="-1"/>
                <w:sz w:val="20"/>
                <w:szCs w:val="20"/>
                <w:lang w:val="en-GB"/>
              </w:rPr>
              <w:t>i</w:t>
            </w:r>
            <w:r w:rsidRPr="003476AC">
              <w:rPr>
                <w:rFonts w:ascii="Arial" w:hAnsi="Arial" w:cs="Arial"/>
                <w:sz w:val="20"/>
                <w:szCs w:val="20"/>
                <w:lang w:val="en-GB"/>
              </w:rPr>
              <w:t xml:space="preserve">al </w:t>
            </w:r>
            <w:r w:rsidRPr="003476AC">
              <w:rPr>
                <w:rFonts w:ascii="Arial" w:hAnsi="Arial" w:cs="Arial"/>
                <w:spacing w:val="1"/>
                <w:sz w:val="20"/>
                <w:szCs w:val="20"/>
                <w:lang w:val="en-GB"/>
              </w:rPr>
              <w:t>c</w:t>
            </w:r>
            <w:r w:rsidRPr="003476AC">
              <w:rPr>
                <w:rFonts w:ascii="Arial" w:hAnsi="Arial" w:cs="Arial"/>
                <w:spacing w:val="-1"/>
                <w:sz w:val="20"/>
                <w:szCs w:val="20"/>
                <w:lang w:val="en-GB"/>
              </w:rPr>
              <w:t>h</w:t>
            </w:r>
            <w:r w:rsidRPr="003476AC">
              <w:rPr>
                <w:rFonts w:ascii="Arial" w:hAnsi="Arial" w:cs="Arial"/>
                <w:sz w:val="20"/>
                <w:szCs w:val="20"/>
                <w:lang w:val="en-GB"/>
              </w:rPr>
              <w:t>ara</w:t>
            </w:r>
            <w:r w:rsidRPr="003476AC">
              <w:rPr>
                <w:rFonts w:ascii="Arial" w:hAnsi="Arial" w:cs="Arial"/>
                <w:spacing w:val="1"/>
                <w:sz w:val="20"/>
                <w:szCs w:val="20"/>
                <w:lang w:val="en-GB"/>
              </w:rPr>
              <w:t>c</w:t>
            </w:r>
            <w:r w:rsidRPr="003476AC">
              <w:rPr>
                <w:rFonts w:ascii="Arial" w:hAnsi="Arial" w:cs="Arial"/>
                <w:sz w:val="20"/>
                <w:szCs w:val="20"/>
                <w:lang w:val="en-GB"/>
              </w:rPr>
              <w:t>t</w:t>
            </w:r>
            <w:r w:rsidRPr="003476AC">
              <w:rPr>
                <w:rFonts w:ascii="Arial" w:hAnsi="Arial" w:cs="Arial"/>
                <w:spacing w:val="2"/>
                <w:sz w:val="20"/>
                <w:szCs w:val="20"/>
                <w:lang w:val="en-GB"/>
              </w:rPr>
              <w:t>e</w:t>
            </w:r>
            <w:r w:rsidRPr="003476AC">
              <w:rPr>
                <w:rFonts w:ascii="Arial" w:hAnsi="Arial" w:cs="Arial"/>
                <w:sz w:val="20"/>
                <w:szCs w:val="20"/>
                <w:lang w:val="en-GB"/>
              </w:rPr>
              <w:t>r</w:t>
            </w:r>
            <w:r w:rsidRPr="003476AC">
              <w:rPr>
                <w:rFonts w:ascii="Arial" w:hAnsi="Arial" w:cs="Arial"/>
                <w:spacing w:val="-1"/>
                <w:sz w:val="20"/>
                <w:szCs w:val="20"/>
                <w:lang w:val="en-GB"/>
              </w:rPr>
              <w:t>is</w:t>
            </w:r>
            <w:r w:rsidRPr="003476AC">
              <w:rPr>
                <w:rFonts w:ascii="Arial" w:hAnsi="Arial" w:cs="Arial"/>
                <w:sz w:val="20"/>
                <w:szCs w:val="20"/>
                <w:lang w:val="en-GB"/>
              </w:rPr>
              <w:t>t</w:t>
            </w:r>
            <w:r w:rsidRPr="003476AC">
              <w:rPr>
                <w:rFonts w:ascii="Arial" w:hAnsi="Arial" w:cs="Arial"/>
                <w:spacing w:val="-1"/>
                <w:sz w:val="20"/>
                <w:szCs w:val="20"/>
                <w:lang w:val="en-GB"/>
              </w:rPr>
              <w:t>i</w:t>
            </w:r>
            <w:r w:rsidRPr="003476AC">
              <w:rPr>
                <w:rFonts w:ascii="Arial" w:hAnsi="Arial" w:cs="Arial"/>
                <w:spacing w:val="1"/>
                <w:sz w:val="20"/>
                <w:szCs w:val="20"/>
                <w:lang w:val="en-GB"/>
              </w:rPr>
              <w:t>c</w:t>
            </w:r>
            <w:r w:rsidRPr="003476AC">
              <w:rPr>
                <w:rFonts w:ascii="Arial" w:hAnsi="Arial" w:cs="Arial"/>
                <w:spacing w:val="-1"/>
                <w:sz w:val="20"/>
                <w:szCs w:val="20"/>
                <w:lang w:val="en-GB"/>
              </w:rPr>
              <w:t>s</w:t>
            </w:r>
            <w:r w:rsidRPr="003476AC">
              <w:rPr>
                <w:rFonts w:ascii="Arial" w:hAnsi="Arial" w:cs="Arial"/>
                <w:sz w:val="20"/>
                <w:szCs w:val="20"/>
                <w:lang w:val="en-GB"/>
              </w:rPr>
              <w:t>,</w:t>
            </w:r>
            <w:r w:rsidRPr="003476AC">
              <w:rPr>
                <w:rFonts w:ascii="Arial" w:hAnsi="Arial" w:cs="Arial"/>
                <w:spacing w:val="1"/>
                <w:sz w:val="20"/>
                <w:szCs w:val="20"/>
                <w:lang w:val="en-GB"/>
              </w:rPr>
              <w:t xml:space="preserve"> </w:t>
            </w:r>
            <w:r w:rsidRPr="003476AC">
              <w:rPr>
                <w:rFonts w:ascii="Arial" w:hAnsi="Arial" w:cs="Arial"/>
                <w:spacing w:val="-1"/>
                <w:sz w:val="20"/>
                <w:szCs w:val="20"/>
                <w:lang w:val="en-GB"/>
              </w:rPr>
              <w:t>n</w:t>
            </w:r>
            <w:r w:rsidRPr="003476AC">
              <w:rPr>
                <w:rFonts w:ascii="Arial" w:hAnsi="Arial" w:cs="Arial"/>
                <w:spacing w:val="1"/>
                <w:sz w:val="20"/>
                <w:szCs w:val="20"/>
                <w:lang w:val="en-GB"/>
              </w:rPr>
              <w:t>o</w:t>
            </w:r>
            <w:r w:rsidRPr="003476AC">
              <w:rPr>
                <w:rFonts w:ascii="Arial" w:hAnsi="Arial" w:cs="Arial"/>
                <w:sz w:val="20"/>
                <w:szCs w:val="20"/>
                <w:lang w:val="en-GB"/>
              </w:rPr>
              <w:t>r are</w:t>
            </w:r>
            <w:r w:rsidRPr="003476AC">
              <w:rPr>
                <w:rFonts w:ascii="Arial" w:hAnsi="Arial" w:cs="Arial"/>
                <w:spacing w:val="2"/>
                <w:sz w:val="20"/>
                <w:szCs w:val="20"/>
                <w:lang w:val="en-GB"/>
              </w:rPr>
              <w:t xml:space="preserve"> </w:t>
            </w:r>
            <w:r w:rsidRPr="003476AC">
              <w:rPr>
                <w:rFonts w:ascii="Arial" w:hAnsi="Arial" w:cs="Arial"/>
                <w:spacing w:val="-1"/>
                <w:sz w:val="20"/>
                <w:szCs w:val="20"/>
                <w:lang w:val="en-GB"/>
              </w:rPr>
              <w:t>qu</w:t>
            </w:r>
            <w:r w:rsidRPr="003476AC">
              <w:rPr>
                <w:rFonts w:ascii="Arial" w:hAnsi="Arial" w:cs="Arial"/>
                <w:sz w:val="20"/>
                <w:szCs w:val="20"/>
                <w:lang w:val="en-GB"/>
              </w:rPr>
              <w:t>a</w:t>
            </w:r>
            <w:r w:rsidRPr="003476AC">
              <w:rPr>
                <w:rFonts w:ascii="Arial" w:hAnsi="Arial" w:cs="Arial"/>
                <w:spacing w:val="-1"/>
                <w:sz w:val="20"/>
                <w:szCs w:val="20"/>
                <w:lang w:val="en-GB"/>
              </w:rPr>
              <w:t>li</w:t>
            </w:r>
            <w:r w:rsidRPr="003476AC">
              <w:rPr>
                <w:rFonts w:ascii="Arial" w:hAnsi="Arial" w:cs="Arial"/>
                <w:sz w:val="20"/>
                <w:szCs w:val="20"/>
                <w:lang w:val="en-GB"/>
              </w:rPr>
              <w:t>f</w:t>
            </w:r>
            <w:r w:rsidRPr="003476AC">
              <w:rPr>
                <w:rFonts w:ascii="Arial" w:hAnsi="Arial" w:cs="Arial"/>
                <w:spacing w:val="2"/>
                <w:sz w:val="20"/>
                <w:szCs w:val="20"/>
                <w:lang w:val="en-GB"/>
              </w:rPr>
              <w:t>i</w:t>
            </w:r>
            <w:r w:rsidRPr="003476AC">
              <w:rPr>
                <w:rFonts w:ascii="Arial" w:hAnsi="Arial" w:cs="Arial"/>
                <w:spacing w:val="-1"/>
                <w:sz w:val="20"/>
                <w:szCs w:val="20"/>
                <w:lang w:val="en-GB"/>
              </w:rPr>
              <w:t>e</w:t>
            </w:r>
            <w:r w:rsidRPr="003476AC">
              <w:rPr>
                <w:rFonts w:ascii="Arial" w:hAnsi="Arial" w:cs="Arial"/>
                <w:sz w:val="20"/>
                <w:szCs w:val="20"/>
                <w:lang w:val="en-GB"/>
              </w:rPr>
              <w:t>d</w:t>
            </w:r>
            <w:r w:rsidRPr="003476AC">
              <w:rPr>
                <w:rFonts w:ascii="Arial" w:hAnsi="Arial" w:cs="Arial"/>
                <w:spacing w:val="-1"/>
                <w:sz w:val="20"/>
                <w:szCs w:val="20"/>
                <w:lang w:val="en-GB"/>
              </w:rPr>
              <w:t xml:space="preserve"> </w:t>
            </w:r>
            <w:r w:rsidRPr="003476AC">
              <w:rPr>
                <w:rFonts w:ascii="Arial" w:hAnsi="Arial" w:cs="Arial"/>
                <w:sz w:val="20"/>
                <w:szCs w:val="20"/>
                <w:lang w:val="en-GB"/>
              </w:rPr>
              <w:t>as</w:t>
            </w:r>
            <w:r w:rsidRPr="003476AC">
              <w:rPr>
                <w:rFonts w:ascii="Arial" w:hAnsi="Arial" w:cs="Arial"/>
                <w:spacing w:val="2"/>
                <w:sz w:val="20"/>
                <w:szCs w:val="20"/>
                <w:lang w:val="en-GB"/>
              </w:rPr>
              <w:t xml:space="preserve"> </w:t>
            </w:r>
            <w:r w:rsidRPr="003476AC">
              <w:rPr>
                <w:rFonts w:ascii="Arial" w:hAnsi="Arial" w:cs="Arial"/>
                <w:spacing w:val="-1"/>
                <w:sz w:val="20"/>
                <w:szCs w:val="20"/>
                <w:lang w:val="en-GB"/>
              </w:rPr>
              <w:t>su</w:t>
            </w:r>
            <w:r w:rsidRPr="003476AC">
              <w:rPr>
                <w:rFonts w:ascii="Arial" w:hAnsi="Arial" w:cs="Arial"/>
                <w:spacing w:val="2"/>
                <w:sz w:val="20"/>
                <w:szCs w:val="20"/>
                <w:lang w:val="en-GB"/>
              </w:rPr>
              <w:t>s</w:t>
            </w:r>
            <w:r w:rsidRPr="003476AC">
              <w:rPr>
                <w:rFonts w:ascii="Arial" w:hAnsi="Arial" w:cs="Arial"/>
                <w:sz w:val="20"/>
                <w:szCs w:val="20"/>
                <w:lang w:val="en-GB"/>
              </w:rPr>
              <w:t>ta</w:t>
            </w:r>
            <w:r w:rsidRPr="003476AC">
              <w:rPr>
                <w:rFonts w:ascii="Arial" w:hAnsi="Arial" w:cs="Arial"/>
                <w:spacing w:val="2"/>
                <w:sz w:val="20"/>
                <w:szCs w:val="20"/>
                <w:lang w:val="en-GB"/>
              </w:rPr>
              <w:t>i</w:t>
            </w:r>
            <w:r w:rsidRPr="003476AC">
              <w:rPr>
                <w:rFonts w:ascii="Arial" w:hAnsi="Arial" w:cs="Arial"/>
                <w:spacing w:val="-1"/>
                <w:sz w:val="20"/>
                <w:szCs w:val="20"/>
                <w:lang w:val="en-GB"/>
              </w:rPr>
              <w:t>n</w:t>
            </w:r>
            <w:r w:rsidRPr="003476AC">
              <w:rPr>
                <w:rFonts w:ascii="Arial" w:hAnsi="Arial" w:cs="Arial"/>
                <w:sz w:val="20"/>
                <w:szCs w:val="20"/>
                <w:lang w:val="en-GB"/>
              </w:rPr>
              <w:t>a</w:t>
            </w:r>
            <w:r w:rsidRPr="003476AC">
              <w:rPr>
                <w:rFonts w:ascii="Arial" w:hAnsi="Arial" w:cs="Arial"/>
                <w:spacing w:val="-1"/>
                <w:sz w:val="20"/>
                <w:szCs w:val="20"/>
                <w:lang w:val="en-GB"/>
              </w:rPr>
              <w:t>bl</w:t>
            </w:r>
            <w:r w:rsidRPr="003476AC">
              <w:rPr>
                <w:rFonts w:ascii="Arial" w:hAnsi="Arial" w:cs="Arial"/>
                <w:sz w:val="20"/>
                <w:szCs w:val="20"/>
                <w:lang w:val="en-GB"/>
              </w:rPr>
              <w:t>e</w:t>
            </w:r>
            <w:r w:rsidRPr="003476AC">
              <w:rPr>
                <w:rFonts w:ascii="Arial" w:hAnsi="Arial" w:cs="Arial"/>
                <w:spacing w:val="-1"/>
                <w:sz w:val="20"/>
                <w:szCs w:val="20"/>
                <w:lang w:val="en-GB"/>
              </w:rPr>
              <w:t xml:space="preserve"> </w:t>
            </w:r>
            <w:r w:rsidRPr="003476AC">
              <w:rPr>
                <w:rFonts w:ascii="Arial" w:hAnsi="Arial" w:cs="Arial"/>
                <w:spacing w:val="2"/>
                <w:sz w:val="20"/>
                <w:szCs w:val="20"/>
                <w:lang w:val="en-GB"/>
              </w:rPr>
              <w:t>i</w:t>
            </w:r>
            <w:r w:rsidRPr="003476AC">
              <w:rPr>
                <w:rFonts w:ascii="Arial" w:hAnsi="Arial" w:cs="Arial"/>
                <w:spacing w:val="-1"/>
                <w:sz w:val="20"/>
                <w:szCs w:val="20"/>
                <w:lang w:val="en-GB"/>
              </w:rPr>
              <w:t>n</w:t>
            </w:r>
            <w:r w:rsidRPr="003476AC">
              <w:rPr>
                <w:rFonts w:ascii="Arial" w:hAnsi="Arial" w:cs="Arial"/>
                <w:sz w:val="20"/>
                <w:szCs w:val="20"/>
                <w:lang w:val="en-GB"/>
              </w:rPr>
              <w:t>v</w:t>
            </w:r>
            <w:r w:rsidRPr="003476AC">
              <w:rPr>
                <w:rFonts w:ascii="Arial" w:hAnsi="Arial" w:cs="Arial"/>
                <w:spacing w:val="-1"/>
                <w:sz w:val="20"/>
                <w:szCs w:val="20"/>
                <w:lang w:val="en-GB"/>
              </w:rPr>
              <w:t>e</w:t>
            </w:r>
            <w:r w:rsidRPr="003476AC">
              <w:rPr>
                <w:rFonts w:ascii="Arial" w:hAnsi="Arial" w:cs="Arial"/>
                <w:spacing w:val="2"/>
                <w:sz w:val="20"/>
                <w:szCs w:val="20"/>
                <w:lang w:val="en-GB"/>
              </w:rPr>
              <w:t>s</w:t>
            </w:r>
            <w:r w:rsidRPr="003476AC">
              <w:rPr>
                <w:rFonts w:ascii="Arial" w:hAnsi="Arial" w:cs="Arial"/>
                <w:sz w:val="20"/>
                <w:szCs w:val="20"/>
                <w:lang w:val="en-GB"/>
              </w:rPr>
              <w:t>tm</w:t>
            </w:r>
            <w:r w:rsidRPr="003476AC">
              <w:rPr>
                <w:rFonts w:ascii="Arial" w:hAnsi="Arial" w:cs="Arial"/>
                <w:spacing w:val="-1"/>
                <w:sz w:val="20"/>
                <w:szCs w:val="20"/>
                <w:lang w:val="en-GB"/>
              </w:rPr>
              <w:t>en</w:t>
            </w:r>
            <w:r w:rsidRPr="003476AC">
              <w:rPr>
                <w:rFonts w:ascii="Arial" w:hAnsi="Arial" w:cs="Arial"/>
                <w:spacing w:val="2"/>
                <w:sz w:val="20"/>
                <w:szCs w:val="20"/>
                <w:lang w:val="en-GB"/>
              </w:rPr>
              <w:t>t</w:t>
            </w:r>
            <w:r w:rsidRPr="003476AC">
              <w:rPr>
                <w:rFonts w:ascii="Arial" w:hAnsi="Arial" w:cs="Arial"/>
                <w:spacing w:val="-1"/>
                <w:sz w:val="20"/>
                <w:szCs w:val="20"/>
                <w:lang w:val="en-GB"/>
              </w:rPr>
              <w:t>s</w:t>
            </w:r>
            <w:r w:rsidRPr="003476AC">
              <w:rPr>
                <w:rFonts w:ascii="Arial" w:hAnsi="Arial" w:cs="Arial"/>
                <w:sz w:val="20"/>
                <w:szCs w:val="20"/>
                <w:lang w:val="en-GB"/>
              </w:rPr>
              <w:t>.</w:t>
            </w:r>
          </w:p>
          <w:p w14:paraId="011C9591" w14:textId="77777777" w:rsidR="003C1B8B" w:rsidRPr="003476AC" w:rsidRDefault="003C1B8B" w:rsidP="003C1B8B">
            <w:pPr>
              <w:spacing w:before="96" w:after="0"/>
              <w:ind w:right="426"/>
              <w:jc w:val="left"/>
              <w:rPr>
                <w:rFonts w:ascii="Arial" w:hAnsi="Arial" w:cs="Arial"/>
                <w:sz w:val="20"/>
                <w:szCs w:val="20"/>
                <w:lang w:val="en-GB"/>
              </w:rPr>
            </w:pPr>
          </w:p>
        </w:tc>
      </w:tr>
      <w:tr w:rsidR="003C1B8B" w:rsidRPr="003C1B8B" w14:paraId="6C6C0FEC" w14:textId="77777777" w:rsidTr="00303F74">
        <w:trPr>
          <w:trHeight w:val="539"/>
        </w:trPr>
        <w:tc>
          <w:tcPr>
            <w:tcW w:w="1116" w:type="pct"/>
            <w:vMerge/>
          </w:tcPr>
          <w:p w14:paraId="35B12FFB" w14:textId="77777777" w:rsidR="003C1B8B" w:rsidRPr="003C1B8B" w:rsidRDefault="003C1B8B" w:rsidP="003C1B8B">
            <w:pPr>
              <w:spacing w:before="0" w:after="0"/>
              <w:jc w:val="left"/>
              <w:rPr>
                <w:rFonts w:ascii="Arial" w:hAnsi="Arial" w:cs="Arial"/>
                <w:sz w:val="20"/>
                <w:szCs w:val="20"/>
                <w:lang w:val="en-GB"/>
              </w:rPr>
            </w:pPr>
          </w:p>
        </w:tc>
        <w:tc>
          <w:tcPr>
            <w:tcW w:w="124" w:type="pct"/>
            <w:shd w:val="clear" w:color="auto" w:fill="FFFFFF" w:themeFill="background1"/>
          </w:tcPr>
          <w:p w14:paraId="698A9123" w14:textId="77777777" w:rsidR="003C1B8B" w:rsidRPr="003C1B8B" w:rsidRDefault="003C1B8B" w:rsidP="003C1B8B">
            <w:pPr>
              <w:spacing w:before="0" w:after="0"/>
              <w:jc w:val="left"/>
              <w:rPr>
                <w:rFonts w:ascii="Arial" w:hAnsi="Arial" w:cs="Arial"/>
                <w:sz w:val="20"/>
                <w:szCs w:val="20"/>
                <w:lang w:val="en-GB"/>
              </w:rPr>
            </w:pPr>
          </w:p>
        </w:tc>
        <w:tc>
          <w:tcPr>
            <w:tcW w:w="3760" w:type="pct"/>
            <w:gridSpan w:val="6"/>
          </w:tcPr>
          <w:p w14:paraId="03EEED92" w14:textId="77777777" w:rsidR="003C1B8B" w:rsidRPr="003476AC" w:rsidRDefault="003C1B8B" w:rsidP="003C1B8B">
            <w:pPr>
              <w:spacing w:before="0" w:after="0"/>
              <w:jc w:val="left"/>
              <w:rPr>
                <w:rFonts w:ascii="Arial" w:hAnsi="Arial" w:cs="Arial"/>
                <w:sz w:val="20"/>
                <w:szCs w:val="20"/>
                <w:lang w:val="en-GB"/>
              </w:rPr>
            </w:pPr>
          </w:p>
          <w:p w14:paraId="001CA534" w14:textId="77777777" w:rsidR="003C1B8B" w:rsidRPr="003476AC" w:rsidRDefault="003C1B8B" w:rsidP="003C1B8B">
            <w:pPr>
              <w:spacing w:before="0" w:after="0"/>
              <w:jc w:val="left"/>
              <w:rPr>
                <w:rFonts w:ascii="Arial" w:hAnsi="Arial" w:cs="Arial"/>
                <w:sz w:val="20"/>
                <w:szCs w:val="20"/>
                <w:lang w:val="en-GB"/>
              </w:rPr>
            </w:pPr>
          </w:p>
          <w:p w14:paraId="65FA60FA" w14:textId="77777777" w:rsidR="003C1B8B" w:rsidRPr="003476AC" w:rsidRDefault="003C1B8B" w:rsidP="003C1B8B">
            <w:pPr>
              <w:spacing w:before="0" w:after="0"/>
              <w:jc w:val="left"/>
              <w:rPr>
                <w:rFonts w:ascii="Arial" w:hAnsi="Arial" w:cs="Arial"/>
                <w:sz w:val="20"/>
                <w:szCs w:val="20"/>
                <w:lang w:val="en-GB"/>
              </w:rPr>
            </w:pPr>
          </w:p>
          <w:p w14:paraId="516753A7" w14:textId="77777777" w:rsidR="003C1B8B" w:rsidRPr="003476AC" w:rsidRDefault="003C1B8B" w:rsidP="003C1B8B">
            <w:pPr>
              <w:spacing w:before="0" w:after="0"/>
              <w:jc w:val="left"/>
              <w:rPr>
                <w:rFonts w:ascii="Arial" w:hAnsi="Arial" w:cs="Arial"/>
                <w:sz w:val="20"/>
                <w:szCs w:val="20"/>
                <w:lang w:val="en-GB"/>
              </w:rPr>
            </w:pPr>
          </w:p>
          <w:p w14:paraId="04010710" w14:textId="77777777" w:rsidR="003C1B8B" w:rsidRPr="003476AC" w:rsidRDefault="003C1B8B" w:rsidP="003C1B8B">
            <w:pPr>
              <w:spacing w:before="0" w:after="0"/>
              <w:jc w:val="left"/>
              <w:rPr>
                <w:rFonts w:ascii="Arial" w:hAnsi="Arial" w:cs="Arial"/>
                <w:sz w:val="20"/>
                <w:szCs w:val="20"/>
                <w:lang w:val="en-GB"/>
              </w:rPr>
            </w:pPr>
          </w:p>
          <w:p w14:paraId="367898AD" w14:textId="77777777" w:rsidR="003C1B8B" w:rsidRPr="003476AC" w:rsidRDefault="003C1B8B" w:rsidP="003C1B8B">
            <w:pPr>
              <w:spacing w:before="0" w:after="0"/>
              <w:jc w:val="left"/>
              <w:rPr>
                <w:rFonts w:ascii="Arial" w:hAnsi="Arial" w:cs="Arial"/>
                <w:sz w:val="20"/>
                <w:szCs w:val="20"/>
                <w:lang w:val="en-GB"/>
              </w:rPr>
            </w:pPr>
          </w:p>
          <w:p w14:paraId="4B85F09A" w14:textId="77777777" w:rsidR="003C1B8B" w:rsidRPr="003476AC" w:rsidRDefault="003C1B8B" w:rsidP="003C1B8B">
            <w:pPr>
              <w:spacing w:before="0" w:after="0"/>
              <w:jc w:val="left"/>
              <w:rPr>
                <w:rFonts w:ascii="Arial" w:hAnsi="Arial" w:cs="Arial"/>
                <w:sz w:val="20"/>
                <w:szCs w:val="20"/>
                <w:lang w:val="en-GB"/>
              </w:rPr>
            </w:pPr>
          </w:p>
        </w:tc>
      </w:tr>
      <w:tr w:rsidR="003C1B8B" w:rsidRPr="003C1B8B" w14:paraId="0ABD273A" w14:textId="77777777" w:rsidTr="00303F74">
        <w:trPr>
          <w:trHeight w:val="977"/>
        </w:trPr>
        <w:tc>
          <w:tcPr>
            <w:tcW w:w="1116" w:type="pct"/>
            <w:vMerge w:val="restart"/>
            <w:shd w:val="clear" w:color="auto" w:fill="D9D9D9" w:themeFill="background1" w:themeFillShade="D9"/>
          </w:tcPr>
          <w:p w14:paraId="2EF201CA" w14:textId="77777777" w:rsidR="00303F74" w:rsidRDefault="00303F74" w:rsidP="003C1B8B">
            <w:pPr>
              <w:spacing w:before="0" w:after="0"/>
              <w:ind w:right="-37"/>
              <w:contextualSpacing/>
              <w:jc w:val="left"/>
              <w:rPr>
                <w:rFonts w:ascii="Arial" w:hAnsi="Arial" w:cs="Arial"/>
                <w:bCs/>
                <w:sz w:val="18"/>
                <w:szCs w:val="18"/>
                <w:lang w:val="en-GB"/>
              </w:rPr>
            </w:pPr>
          </w:p>
          <w:p w14:paraId="12BA0982" w14:textId="77777777" w:rsidR="00AE1EE8" w:rsidRDefault="00AE1EE8" w:rsidP="00AE1EE8">
            <w:pPr>
              <w:spacing w:before="0" w:after="0"/>
              <w:ind w:right="-37"/>
              <w:contextualSpacing/>
              <w:jc w:val="left"/>
              <w:rPr>
                <w:rFonts w:ascii="Arial" w:hAnsi="Arial" w:cs="Arial"/>
                <w:sz w:val="18"/>
                <w:szCs w:val="18"/>
                <w:lang w:val="en-GB"/>
              </w:rPr>
            </w:pPr>
            <w:r w:rsidRPr="002C6F99">
              <w:rPr>
                <w:rFonts w:ascii="Arial" w:hAnsi="Arial" w:cs="Arial"/>
                <w:sz w:val="18"/>
                <w:szCs w:val="18"/>
                <w:lang w:val="en-GB"/>
              </w:rPr>
              <w:t xml:space="preserve">To comply with the EU Taxonomy, the criteria for </w:t>
            </w:r>
            <w:r w:rsidRPr="002C6F99">
              <w:rPr>
                <w:rFonts w:ascii="Arial" w:hAnsi="Arial" w:cs="Arial"/>
                <w:b/>
                <w:bCs/>
                <w:sz w:val="18"/>
                <w:szCs w:val="18"/>
                <w:lang w:val="en-GB"/>
              </w:rPr>
              <w:t>fossil gas</w:t>
            </w:r>
            <w:r w:rsidRPr="002C6F99">
              <w:rPr>
                <w:rFonts w:ascii="Arial" w:hAnsi="Arial" w:cs="Arial"/>
                <w:sz w:val="18"/>
                <w:szCs w:val="18"/>
                <w:lang w:val="en-GB"/>
              </w:rPr>
              <w:t xml:space="preserve"> include limitations on emissions and switching to renewable power or low-carbon fuels by the end of 2035. For </w:t>
            </w:r>
            <w:r w:rsidRPr="002C6F99">
              <w:rPr>
                <w:rFonts w:ascii="Arial" w:hAnsi="Arial" w:cs="Arial"/>
                <w:b/>
                <w:bCs/>
                <w:sz w:val="18"/>
                <w:szCs w:val="18"/>
                <w:lang w:val="en-GB"/>
              </w:rPr>
              <w:t>nuclear energy</w:t>
            </w:r>
            <w:r w:rsidRPr="002C6F99">
              <w:rPr>
                <w:rFonts w:ascii="Arial" w:hAnsi="Arial" w:cs="Arial"/>
                <w:sz w:val="18"/>
                <w:szCs w:val="18"/>
                <w:lang w:val="en-GB"/>
              </w:rPr>
              <w:t>, the criteria include comprehensive safety and waste management rules</w:t>
            </w:r>
            <w:r>
              <w:rPr>
                <w:rFonts w:ascii="Arial" w:hAnsi="Arial" w:cs="Arial"/>
                <w:sz w:val="18"/>
                <w:szCs w:val="18"/>
                <w:lang w:val="en-GB"/>
              </w:rPr>
              <w:t>.</w:t>
            </w:r>
          </w:p>
          <w:p w14:paraId="6F501F27" w14:textId="77777777" w:rsidR="00AE1EE8" w:rsidRDefault="00AE1EE8" w:rsidP="003C1B8B">
            <w:pPr>
              <w:spacing w:before="0" w:after="0"/>
              <w:ind w:right="-37"/>
              <w:contextualSpacing/>
              <w:jc w:val="left"/>
              <w:rPr>
                <w:rFonts w:ascii="Arial" w:hAnsi="Arial" w:cs="Arial"/>
                <w:bCs/>
                <w:sz w:val="18"/>
                <w:szCs w:val="18"/>
                <w:lang w:val="en-GB"/>
              </w:rPr>
            </w:pPr>
          </w:p>
          <w:p w14:paraId="671767FD" w14:textId="77777777" w:rsidR="00AE1EE8" w:rsidRDefault="00AE1EE8" w:rsidP="003C1B8B">
            <w:pPr>
              <w:spacing w:before="0" w:after="0"/>
              <w:ind w:right="-37"/>
              <w:contextualSpacing/>
              <w:jc w:val="left"/>
              <w:rPr>
                <w:rFonts w:ascii="Arial" w:hAnsi="Arial" w:cs="Arial"/>
                <w:bCs/>
                <w:sz w:val="18"/>
                <w:szCs w:val="18"/>
                <w:lang w:val="en-GB"/>
              </w:rPr>
            </w:pPr>
          </w:p>
          <w:p w14:paraId="08ABB19F" w14:textId="6FC80291" w:rsidR="003C1B8B" w:rsidRPr="003C1B8B" w:rsidRDefault="003C1B8B" w:rsidP="003C1B8B">
            <w:pPr>
              <w:spacing w:before="0" w:after="0"/>
              <w:ind w:right="-37"/>
              <w:contextualSpacing/>
              <w:jc w:val="left"/>
              <w:rPr>
                <w:rFonts w:ascii="Arial" w:hAnsi="Arial" w:cs="Arial"/>
                <w:sz w:val="18"/>
                <w:szCs w:val="18"/>
                <w:lang w:val="en-GB"/>
              </w:rPr>
            </w:pPr>
            <w:r w:rsidRPr="00AE1EE8">
              <w:rPr>
                <w:rFonts w:ascii="Arial" w:hAnsi="Arial" w:cs="Arial"/>
                <w:b/>
                <w:sz w:val="18"/>
                <w:szCs w:val="18"/>
                <w:lang w:val="en-GB"/>
              </w:rPr>
              <w:t>Enabling activities</w:t>
            </w:r>
            <w:r w:rsidRPr="003C1B8B">
              <w:rPr>
                <w:rFonts w:ascii="Arial" w:hAnsi="Arial" w:cs="Arial"/>
                <w:sz w:val="18"/>
                <w:szCs w:val="18"/>
                <w:lang w:val="en-GB"/>
              </w:rPr>
              <w:t xml:space="preserve"> directly enable other activities to make a substantial </w:t>
            </w:r>
            <w:r w:rsidRPr="003C1B8B">
              <w:rPr>
                <w:rFonts w:ascii="Arial" w:hAnsi="Arial" w:cs="Arial"/>
                <w:sz w:val="18"/>
                <w:szCs w:val="18"/>
                <w:lang w:val="en-GB"/>
              </w:rPr>
              <w:lastRenderedPageBreak/>
              <w:t>contribution to an environmental objective.</w:t>
            </w:r>
          </w:p>
          <w:p w14:paraId="3DC9CEFE" w14:textId="77777777" w:rsidR="003C1B8B" w:rsidRPr="003C1B8B" w:rsidRDefault="003C1B8B" w:rsidP="003C1B8B">
            <w:pPr>
              <w:spacing w:before="0" w:after="0"/>
              <w:ind w:right="-37"/>
              <w:contextualSpacing/>
              <w:jc w:val="left"/>
              <w:rPr>
                <w:rFonts w:ascii="Arial" w:hAnsi="Arial" w:cs="Arial"/>
                <w:sz w:val="18"/>
                <w:szCs w:val="18"/>
                <w:lang w:val="en-GB"/>
              </w:rPr>
            </w:pPr>
          </w:p>
          <w:p w14:paraId="0216C2E4" w14:textId="77777777" w:rsidR="003C1B8B" w:rsidRPr="003C1B8B" w:rsidRDefault="003C1B8B" w:rsidP="003C1B8B">
            <w:pPr>
              <w:spacing w:before="0" w:after="0"/>
              <w:ind w:right="-37"/>
              <w:contextualSpacing/>
              <w:jc w:val="left"/>
              <w:rPr>
                <w:rFonts w:ascii="Arial" w:hAnsi="Arial" w:cs="Arial"/>
                <w:sz w:val="18"/>
                <w:szCs w:val="18"/>
                <w:lang w:val="en-GB"/>
              </w:rPr>
            </w:pPr>
            <w:r w:rsidRPr="00AE1EE8">
              <w:rPr>
                <w:rFonts w:ascii="Arial" w:hAnsi="Arial" w:cs="Arial"/>
                <w:b/>
                <w:sz w:val="18"/>
                <w:szCs w:val="18"/>
                <w:lang w:val="en-GB"/>
              </w:rPr>
              <w:t>Transitional activities</w:t>
            </w:r>
            <w:r w:rsidRPr="003C1B8B">
              <w:rPr>
                <w:rFonts w:ascii="Arial" w:hAnsi="Arial" w:cs="Arial"/>
                <w:sz w:val="18"/>
                <w:szCs w:val="18"/>
                <w:lang w:val="en-GB"/>
              </w:rPr>
              <w:t xml:space="preserve"> are activities for which low</w:t>
            </w:r>
            <w:r w:rsidRPr="003C1B8B">
              <w:rPr>
                <w:rFonts w:ascii="Cambria Math" w:hAnsi="Cambria Math" w:cs="Cambria Math"/>
                <w:sz w:val="18"/>
                <w:szCs w:val="18"/>
                <w:lang w:val="en-GB"/>
              </w:rPr>
              <w:t>‐</w:t>
            </w:r>
            <w:r w:rsidRPr="003C1B8B">
              <w:rPr>
                <w:rFonts w:ascii="Arial" w:hAnsi="Arial" w:cs="Arial"/>
                <w:sz w:val="18"/>
                <w:szCs w:val="18"/>
                <w:lang w:val="en-GB"/>
              </w:rPr>
              <w:t>carbon alternatives are not yet available and among others have greenhouse gas emission levels corresponding to the best performance.</w:t>
            </w:r>
          </w:p>
          <w:p w14:paraId="3E3F456C" w14:textId="77777777" w:rsidR="003C1B8B" w:rsidRPr="003C1B8B" w:rsidRDefault="003C1B8B" w:rsidP="003C1B8B">
            <w:pPr>
              <w:spacing w:before="0" w:after="0"/>
              <w:ind w:right="-37"/>
              <w:contextualSpacing/>
              <w:jc w:val="left"/>
              <w:rPr>
                <w:rFonts w:ascii="Arial" w:hAnsi="Arial" w:cs="Arial"/>
                <w:sz w:val="18"/>
                <w:szCs w:val="18"/>
                <w:lang w:val="en-GB"/>
              </w:rPr>
            </w:pPr>
          </w:p>
        </w:tc>
        <w:tc>
          <w:tcPr>
            <w:tcW w:w="124" w:type="pct"/>
            <w:shd w:val="clear" w:color="auto" w:fill="FFFFFF" w:themeFill="background1"/>
          </w:tcPr>
          <w:p w14:paraId="1C571A9A" w14:textId="77777777" w:rsidR="003C1B8B" w:rsidRPr="003C1B8B" w:rsidRDefault="003C1B8B" w:rsidP="003C1B8B">
            <w:pPr>
              <w:spacing w:before="0" w:after="0"/>
              <w:ind w:left="737" w:right="58"/>
              <w:rPr>
                <w:noProof/>
                <w:sz w:val="22"/>
                <w:szCs w:val="22"/>
                <w:lang w:val="en-GB"/>
              </w:rPr>
            </w:pPr>
          </w:p>
        </w:tc>
        <w:tc>
          <w:tcPr>
            <w:tcW w:w="3760" w:type="pct"/>
            <w:gridSpan w:val="6"/>
            <w:shd w:val="clear" w:color="auto" w:fill="auto"/>
          </w:tcPr>
          <w:p w14:paraId="54A452AC" w14:textId="77777777" w:rsidR="003C1B8B" w:rsidRPr="003476AC" w:rsidRDefault="003C1B8B" w:rsidP="003C1B8B">
            <w:pPr>
              <w:spacing w:before="0" w:after="0"/>
              <w:ind w:left="737" w:right="58"/>
              <w:rPr>
                <w:rFonts w:ascii="Arial" w:hAnsi="Arial" w:cs="Arial"/>
                <w:b/>
                <w:bCs/>
                <w:i/>
                <w:color w:val="C00000"/>
                <w:sz w:val="20"/>
                <w:szCs w:val="20"/>
                <w:lang w:val="en-GB"/>
              </w:rPr>
            </w:pPr>
            <w:r w:rsidRPr="003476AC">
              <w:rPr>
                <w:rFonts w:cs="Arial"/>
                <w:b/>
                <w:bCs/>
                <w:noProof/>
                <w:sz w:val="20"/>
                <w:szCs w:val="20"/>
                <w:lang w:val="en-GB"/>
              </w:rPr>
              <w:drawing>
                <wp:anchor distT="0" distB="0" distL="114300" distR="114300" simplePos="0" relativeHeight="251671552" behindDoc="0" locked="0" layoutInCell="1" allowOverlap="1" wp14:anchorId="10194BDC" wp14:editId="357FFEA1">
                  <wp:simplePos x="0" y="0"/>
                  <wp:positionH relativeFrom="leftMargin">
                    <wp:posOffset>20650</wp:posOffset>
                  </wp:positionH>
                  <wp:positionV relativeFrom="page">
                    <wp:posOffset>559</wp:posOffset>
                  </wp:positionV>
                  <wp:extent cx="359410" cy="359410"/>
                  <wp:effectExtent l="0" t="0" r="2540" b="2540"/>
                  <wp:wrapSquare wrapText="bothSides"/>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3476AC">
              <w:rPr>
                <w:rFonts w:ascii="Arial" w:hAnsi="Arial" w:cs="Arial"/>
                <w:b/>
                <w:bCs/>
                <w:spacing w:val="1"/>
                <w:sz w:val="20"/>
                <w:szCs w:val="20"/>
                <w:lang w:val="en-GB"/>
              </w:rPr>
              <w:t>T</w:t>
            </w:r>
            <w:r w:rsidRPr="003476AC">
              <w:rPr>
                <w:rFonts w:ascii="Arial" w:hAnsi="Arial" w:cs="Arial"/>
                <w:b/>
                <w:bCs/>
                <w:sz w:val="20"/>
                <w:szCs w:val="20"/>
                <w:lang w:val="en-GB"/>
              </w:rPr>
              <w:t>o</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w</w:t>
            </w:r>
            <w:r w:rsidRPr="003476AC">
              <w:rPr>
                <w:rFonts w:ascii="Arial" w:hAnsi="Arial" w:cs="Arial"/>
                <w:b/>
                <w:bCs/>
                <w:spacing w:val="1"/>
                <w:sz w:val="20"/>
                <w:szCs w:val="20"/>
                <w:lang w:val="en-GB"/>
              </w:rPr>
              <w:t>h</w:t>
            </w:r>
            <w:r w:rsidRPr="003476AC">
              <w:rPr>
                <w:rFonts w:ascii="Arial" w:hAnsi="Arial" w:cs="Arial"/>
                <w:b/>
                <w:bCs/>
                <w:spacing w:val="-1"/>
                <w:sz w:val="20"/>
                <w:szCs w:val="20"/>
                <w:lang w:val="en-GB"/>
              </w:rPr>
              <w:t>a</w:t>
            </w:r>
            <w:r w:rsidRPr="003476AC">
              <w:rPr>
                <w:rFonts w:ascii="Arial" w:hAnsi="Arial" w:cs="Arial"/>
                <w:b/>
                <w:bCs/>
                <w:sz w:val="20"/>
                <w:szCs w:val="20"/>
                <w:lang w:val="en-GB"/>
              </w:rPr>
              <w:t>t</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m</w:t>
            </w:r>
            <w:r w:rsidRPr="003476AC">
              <w:rPr>
                <w:rFonts w:ascii="Arial" w:hAnsi="Arial" w:cs="Arial"/>
                <w:b/>
                <w:bCs/>
                <w:spacing w:val="1"/>
                <w:sz w:val="20"/>
                <w:szCs w:val="20"/>
                <w:lang w:val="en-GB"/>
              </w:rPr>
              <w:t>i</w:t>
            </w:r>
            <w:r w:rsidRPr="003476AC">
              <w:rPr>
                <w:rFonts w:ascii="Arial" w:hAnsi="Arial" w:cs="Arial"/>
                <w:b/>
                <w:bCs/>
                <w:spacing w:val="-2"/>
                <w:sz w:val="20"/>
                <w:szCs w:val="20"/>
                <w:lang w:val="en-GB"/>
              </w:rPr>
              <w:t>n</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m</w:t>
            </w:r>
            <w:r w:rsidRPr="003476AC">
              <w:rPr>
                <w:rFonts w:ascii="Arial" w:hAnsi="Arial" w:cs="Arial"/>
                <w:b/>
                <w:bCs/>
                <w:spacing w:val="1"/>
                <w:sz w:val="20"/>
                <w:szCs w:val="20"/>
                <w:lang w:val="en-GB"/>
              </w:rPr>
              <w:t>u</w:t>
            </w:r>
            <w:r w:rsidRPr="003476AC">
              <w:rPr>
                <w:rFonts w:ascii="Arial" w:hAnsi="Arial" w:cs="Arial"/>
                <w:b/>
                <w:bCs/>
                <w:sz w:val="20"/>
                <w:szCs w:val="20"/>
                <w:lang w:val="en-GB"/>
              </w:rPr>
              <w:t xml:space="preserve">m </w:t>
            </w:r>
            <w:r w:rsidRPr="003476AC">
              <w:rPr>
                <w:rFonts w:ascii="Arial" w:hAnsi="Arial" w:cs="Arial"/>
                <w:b/>
                <w:bCs/>
                <w:spacing w:val="-1"/>
                <w:sz w:val="20"/>
                <w:szCs w:val="20"/>
                <w:lang w:val="en-GB"/>
              </w:rPr>
              <w:t>e</w:t>
            </w:r>
            <w:r w:rsidRPr="003476AC">
              <w:rPr>
                <w:rFonts w:ascii="Arial" w:hAnsi="Arial" w:cs="Arial"/>
                <w:b/>
                <w:bCs/>
                <w:sz w:val="20"/>
                <w:szCs w:val="20"/>
                <w:lang w:val="en-GB"/>
              </w:rPr>
              <w:t>x</w:t>
            </w:r>
            <w:r w:rsidRPr="003476AC">
              <w:rPr>
                <w:rFonts w:ascii="Arial" w:hAnsi="Arial" w:cs="Arial"/>
                <w:b/>
                <w:bCs/>
                <w:spacing w:val="1"/>
                <w:sz w:val="20"/>
                <w:szCs w:val="20"/>
                <w:lang w:val="en-GB"/>
              </w:rPr>
              <w:t>t</w:t>
            </w:r>
            <w:r w:rsidRPr="003476AC">
              <w:rPr>
                <w:rFonts w:ascii="Arial" w:hAnsi="Arial" w:cs="Arial"/>
                <w:b/>
                <w:bCs/>
                <w:spacing w:val="-1"/>
                <w:sz w:val="20"/>
                <w:szCs w:val="20"/>
                <w:lang w:val="en-GB"/>
              </w:rPr>
              <w:t>e</w:t>
            </w:r>
            <w:r w:rsidRPr="003476AC">
              <w:rPr>
                <w:rFonts w:ascii="Arial" w:hAnsi="Arial" w:cs="Arial"/>
                <w:b/>
                <w:bCs/>
                <w:spacing w:val="1"/>
                <w:sz w:val="20"/>
                <w:szCs w:val="20"/>
                <w:lang w:val="en-GB"/>
              </w:rPr>
              <w:t>n</w:t>
            </w:r>
            <w:r w:rsidRPr="003476AC">
              <w:rPr>
                <w:rFonts w:ascii="Arial" w:hAnsi="Arial" w:cs="Arial"/>
                <w:b/>
                <w:bCs/>
                <w:sz w:val="20"/>
                <w:szCs w:val="20"/>
                <w:lang w:val="en-GB"/>
              </w:rPr>
              <w:t>t</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a</w:t>
            </w:r>
            <w:r w:rsidRPr="003476AC">
              <w:rPr>
                <w:rFonts w:ascii="Arial" w:hAnsi="Arial" w:cs="Arial"/>
                <w:b/>
                <w:bCs/>
                <w:spacing w:val="1"/>
                <w:sz w:val="20"/>
                <w:szCs w:val="20"/>
                <w:lang w:val="en-GB"/>
              </w:rPr>
              <w:t>r</w:t>
            </w:r>
            <w:r w:rsidRPr="003476AC">
              <w:rPr>
                <w:rFonts w:ascii="Arial" w:hAnsi="Arial" w:cs="Arial"/>
                <w:b/>
                <w:bCs/>
                <w:sz w:val="20"/>
                <w:szCs w:val="20"/>
                <w:lang w:val="en-GB"/>
              </w:rPr>
              <w:t>e s</w:t>
            </w:r>
            <w:r w:rsidRPr="003476AC">
              <w:rPr>
                <w:rFonts w:ascii="Arial" w:hAnsi="Arial" w:cs="Arial"/>
                <w:b/>
                <w:bCs/>
                <w:spacing w:val="1"/>
                <w:sz w:val="20"/>
                <w:szCs w:val="20"/>
                <w:lang w:val="en-GB"/>
              </w:rPr>
              <w:t>u</w:t>
            </w:r>
            <w:r w:rsidRPr="003476AC">
              <w:rPr>
                <w:rFonts w:ascii="Arial" w:hAnsi="Arial" w:cs="Arial"/>
                <w:b/>
                <w:bCs/>
                <w:sz w:val="20"/>
                <w:szCs w:val="20"/>
                <w:lang w:val="en-GB"/>
              </w:rPr>
              <w:t>s</w:t>
            </w:r>
            <w:r w:rsidRPr="003476AC">
              <w:rPr>
                <w:rFonts w:ascii="Arial" w:hAnsi="Arial" w:cs="Arial"/>
                <w:b/>
                <w:bCs/>
                <w:spacing w:val="1"/>
                <w:sz w:val="20"/>
                <w:szCs w:val="20"/>
                <w:lang w:val="en-GB"/>
              </w:rPr>
              <w:t>t</w:t>
            </w:r>
            <w:r w:rsidRPr="003476AC">
              <w:rPr>
                <w:rFonts w:ascii="Arial" w:hAnsi="Arial" w:cs="Arial"/>
                <w:b/>
                <w:bCs/>
                <w:spacing w:val="-3"/>
                <w:sz w:val="20"/>
                <w:szCs w:val="20"/>
                <w:lang w:val="en-GB"/>
              </w:rPr>
              <w:t>a</w:t>
            </w:r>
            <w:r w:rsidRPr="003476AC">
              <w:rPr>
                <w:rFonts w:ascii="Arial" w:hAnsi="Arial" w:cs="Arial"/>
                <w:b/>
                <w:bCs/>
                <w:spacing w:val="1"/>
                <w:sz w:val="20"/>
                <w:szCs w:val="20"/>
                <w:lang w:val="en-GB"/>
              </w:rPr>
              <w:t>in</w:t>
            </w:r>
            <w:r w:rsidRPr="003476AC">
              <w:rPr>
                <w:rFonts w:ascii="Arial" w:hAnsi="Arial" w:cs="Arial"/>
                <w:b/>
                <w:bCs/>
                <w:spacing w:val="-1"/>
                <w:sz w:val="20"/>
                <w:szCs w:val="20"/>
                <w:lang w:val="en-GB"/>
              </w:rPr>
              <w:t>a</w:t>
            </w:r>
            <w:r w:rsidRPr="003476AC">
              <w:rPr>
                <w:rFonts w:ascii="Arial" w:hAnsi="Arial" w:cs="Arial"/>
                <w:b/>
                <w:bCs/>
                <w:spacing w:val="1"/>
                <w:sz w:val="20"/>
                <w:szCs w:val="20"/>
                <w:lang w:val="en-GB"/>
              </w:rPr>
              <w:t>bl</w:t>
            </w:r>
            <w:r w:rsidRPr="003476AC">
              <w:rPr>
                <w:rFonts w:ascii="Arial" w:hAnsi="Arial" w:cs="Arial"/>
                <w:b/>
                <w:bCs/>
                <w:sz w:val="20"/>
                <w:szCs w:val="20"/>
                <w:lang w:val="en-GB"/>
              </w:rPr>
              <w:t xml:space="preserve">e </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n</w:t>
            </w:r>
            <w:r w:rsidRPr="003476AC">
              <w:rPr>
                <w:rFonts w:ascii="Arial" w:hAnsi="Arial" w:cs="Arial"/>
                <w:b/>
                <w:bCs/>
                <w:spacing w:val="-1"/>
                <w:sz w:val="20"/>
                <w:szCs w:val="20"/>
                <w:lang w:val="en-GB"/>
              </w:rPr>
              <w:t>ve</w:t>
            </w:r>
            <w:r w:rsidRPr="003476AC">
              <w:rPr>
                <w:rFonts w:ascii="Arial" w:hAnsi="Arial" w:cs="Arial"/>
                <w:b/>
                <w:bCs/>
                <w:sz w:val="20"/>
                <w:szCs w:val="20"/>
                <w:lang w:val="en-GB"/>
              </w:rPr>
              <w:t>s</w:t>
            </w:r>
            <w:r w:rsidRPr="003476AC">
              <w:rPr>
                <w:rFonts w:ascii="Arial" w:hAnsi="Arial" w:cs="Arial"/>
                <w:b/>
                <w:bCs/>
                <w:spacing w:val="1"/>
                <w:sz w:val="20"/>
                <w:szCs w:val="20"/>
                <w:lang w:val="en-GB"/>
              </w:rPr>
              <w:t>t</w:t>
            </w:r>
            <w:r w:rsidRPr="003476AC">
              <w:rPr>
                <w:rFonts w:ascii="Arial" w:hAnsi="Arial" w:cs="Arial"/>
                <w:b/>
                <w:bCs/>
                <w:spacing w:val="-1"/>
                <w:sz w:val="20"/>
                <w:szCs w:val="20"/>
                <w:lang w:val="en-GB"/>
              </w:rPr>
              <w:t>me</w:t>
            </w:r>
            <w:r w:rsidRPr="003476AC">
              <w:rPr>
                <w:rFonts w:ascii="Arial" w:hAnsi="Arial" w:cs="Arial"/>
                <w:b/>
                <w:bCs/>
                <w:spacing w:val="1"/>
                <w:sz w:val="20"/>
                <w:szCs w:val="20"/>
                <w:lang w:val="en-GB"/>
              </w:rPr>
              <w:t>nt</w:t>
            </w:r>
            <w:r w:rsidRPr="003476AC">
              <w:rPr>
                <w:rFonts w:ascii="Arial" w:hAnsi="Arial" w:cs="Arial"/>
                <w:b/>
                <w:bCs/>
                <w:sz w:val="20"/>
                <w:szCs w:val="20"/>
                <w:lang w:val="en-GB"/>
              </w:rPr>
              <w:t>s</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w</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t</w:t>
            </w:r>
            <w:r w:rsidRPr="003476AC">
              <w:rPr>
                <w:rFonts w:ascii="Arial" w:hAnsi="Arial" w:cs="Arial"/>
                <w:b/>
                <w:bCs/>
                <w:sz w:val="20"/>
                <w:szCs w:val="20"/>
                <w:lang w:val="en-GB"/>
              </w:rPr>
              <w:t>h</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a</w:t>
            </w:r>
            <w:r w:rsidRPr="003476AC">
              <w:rPr>
                <w:rFonts w:ascii="Arial" w:hAnsi="Arial" w:cs="Arial"/>
                <w:b/>
                <w:bCs/>
                <w:sz w:val="20"/>
                <w:szCs w:val="20"/>
                <w:lang w:val="en-GB"/>
              </w:rPr>
              <w:t>n</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e</w:t>
            </w:r>
            <w:r w:rsidRPr="003476AC">
              <w:rPr>
                <w:rFonts w:ascii="Arial" w:hAnsi="Arial" w:cs="Arial"/>
                <w:b/>
                <w:bCs/>
                <w:spacing w:val="1"/>
                <w:sz w:val="20"/>
                <w:szCs w:val="20"/>
                <w:lang w:val="en-GB"/>
              </w:rPr>
              <w:t>n</w:t>
            </w:r>
            <w:r w:rsidRPr="003476AC">
              <w:rPr>
                <w:rFonts w:ascii="Arial" w:hAnsi="Arial" w:cs="Arial"/>
                <w:b/>
                <w:bCs/>
                <w:spacing w:val="-1"/>
                <w:sz w:val="20"/>
                <w:szCs w:val="20"/>
                <w:lang w:val="en-GB"/>
              </w:rPr>
              <w:t>vi</w:t>
            </w:r>
            <w:r w:rsidRPr="003476AC">
              <w:rPr>
                <w:rFonts w:ascii="Arial" w:hAnsi="Arial" w:cs="Arial"/>
                <w:b/>
                <w:bCs/>
                <w:spacing w:val="1"/>
                <w:sz w:val="20"/>
                <w:szCs w:val="20"/>
                <w:lang w:val="en-GB"/>
              </w:rPr>
              <w:t>ro</w:t>
            </w:r>
            <w:r w:rsidRPr="003476AC">
              <w:rPr>
                <w:rFonts w:ascii="Arial" w:hAnsi="Arial" w:cs="Arial"/>
                <w:b/>
                <w:bCs/>
                <w:spacing w:val="-2"/>
                <w:sz w:val="20"/>
                <w:szCs w:val="20"/>
                <w:lang w:val="en-GB"/>
              </w:rPr>
              <w:t>n</w:t>
            </w:r>
            <w:r w:rsidRPr="003476AC">
              <w:rPr>
                <w:rFonts w:ascii="Arial" w:hAnsi="Arial" w:cs="Arial"/>
                <w:b/>
                <w:bCs/>
                <w:spacing w:val="-1"/>
                <w:sz w:val="20"/>
                <w:szCs w:val="20"/>
                <w:lang w:val="en-GB"/>
              </w:rPr>
              <w:t>me</w:t>
            </w:r>
            <w:r w:rsidRPr="003476AC">
              <w:rPr>
                <w:rFonts w:ascii="Arial" w:hAnsi="Arial" w:cs="Arial"/>
                <w:b/>
                <w:bCs/>
                <w:spacing w:val="1"/>
                <w:sz w:val="20"/>
                <w:szCs w:val="20"/>
                <w:lang w:val="en-GB"/>
              </w:rPr>
              <w:t>nt</w:t>
            </w:r>
            <w:r w:rsidRPr="003476AC">
              <w:rPr>
                <w:rFonts w:ascii="Arial" w:hAnsi="Arial" w:cs="Arial"/>
                <w:b/>
                <w:bCs/>
                <w:spacing w:val="-1"/>
                <w:sz w:val="20"/>
                <w:szCs w:val="20"/>
                <w:lang w:val="en-GB"/>
              </w:rPr>
              <w:t>a</w:t>
            </w:r>
            <w:r w:rsidRPr="003476AC">
              <w:rPr>
                <w:rFonts w:ascii="Arial" w:hAnsi="Arial" w:cs="Arial"/>
                <w:b/>
                <w:bCs/>
                <w:sz w:val="20"/>
                <w:szCs w:val="20"/>
                <w:lang w:val="en-GB"/>
              </w:rPr>
              <w:t xml:space="preserve">l </w:t>
            </w:r>
            <w:r w:rsidRPr="003476AC">
              <w:rPr>
                <w:rFonts w:ascii="Arial" w:hAnsi="Arial" w:cs="Arial"/>
                <w:b/>
                <w:bCs/>
                <w:spacing w:val="1"/>
                <w:sz w:val="20"/>
                <w:szCs w:val="20"/>
                <w:lang w:val="en-GB"/>
              </w:rPr>
              <w:t>obj</w:t>
            </w:r>
            <w:r w:rsidRPr="003476AC">
              <w:rPr>
                <w:rFonts w:ascii="Arial" w:hAnsi="Arial" w:cs="Arial"/>
                <w:b/>
                <w:bCs/>
                <w:spacing w:val="-1"/>
                <w:sz w:val="20"/>
                <w:szCs w:val="20"/>
                <w:lang w:val="en-GB"/>
              </w:rPr>
              <w:t>e</w:t>
            </w:r>
            <w:r w:rsidRPr="003476AC">
              <w:rPr>
                <w:rFonts w:ascii="Arial" w:hAnsi="Arial" w:cs="Arial"/>
                <w:b/>
                <w:bCs/>
                <w:sz w:val="20"/>
                <w:szCs w:val="20"/>
                <w:lang w:val="en-GB"/>
              </w:rPr>
              <w:t>c</w:t>
            </w:r>
            <w:r w:rsidRPr="003476AC">
              <w:rPr>
                <w:rFonts w:ascii="Arial" w:hAnsi="Arial" w:cs="Arial"/>
                <w:b/>
                <w:bCs/>
                <w:spacing w:val="-2"/>
                <w:sz w:val="20"/>
                <w:szCs w:val="20"/>
                <w:lang w:val="en-GB"/>
              </w:rPr>
              <w:t>t</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v</w:t>
            </w:r>
            <w:r w:rsidRPr="003476AC">
              <w:rPr>
                <w:rFonts w:ascii="Arial" w:hAnsi="Arial" w:cs="Arial"/>
                <w:b/>
                <w:bCs/>
                <w:sz w:val="20"/>
                <w:szCs w:val="20"/>
                <w:lang w:val="en-GB"/>
              </w:rPr>
              <w:t>e</w:t>
            </w:r>
            <w:r w:rsidRPr="003476AC">
              <w:rPr>
                <w:rFonts w:ascii="Arial" w:hAnsi="Arial" w:cs="Arial"/>
                <w:b/>
                <w:bCs/>
                <w:spacing w:val="9"/>
                <w:sz w:val="20"/>
                <w:szCs w:val="20"/>
                <w:lang w:val="en-GB"/>
              </w:rPr>
              <w:t xml:space="preserve"> </w:t>
            </w:r>
            <w:r w:rsidRPr="003476AC">
              <w:rPr>
                <w:rFonts w:ascii="Arial" w:hAnsi="Arial" w:cs="Arial"/>
                <w:b/>
                <w:bCs/>
                <w:spacing w:val="-1"/>
                <w:sz w:val="20"/>
                <w:szCs w:val="20"/>
                <w:lang w:val="en-GB"/>
              </w:rPr>
              <w:t>a</w:t>
            </w:r>
            <w:r w:rsidRPr="003476AC">
              <w:rPr>
                <w:rFonts w:ascii="Arial" w:hAnsi="Arial" w:cs="Arial"/>
                <w:b/>
                <w:bCs/>
                <w:spacing w:val="1"/>
                <w:sz w:val="20"/>
                <w:szCs w:val="20"/>
                <w:lang w:val="en-GB"/>
              </w:rPr>
              <w:t>li</w:t>
            </w:r>
            <w:r w:rsidRPr="003476AC">
              <w:rPr>
                <w:rFonts w:ascii="Arial" w:hAnsi="Arial" w:cs="Arial"/>
                <w:b/>
                <w:bCs/>
                <w:spacing w:val="-1"/>
                <w:sz w:val="20"/>
                <w:szCs w:val="20"/>
                <w:lang w:val="en-GB"/>
              </w:rPr>
              <w:t>g</w:t>
            </w:r>
            <w:r w:rsidRPr="003476AC">
              <w:rPr>
                <w:rFonts w:ascii="Arial" w:hAnsi="Arial" w:cs="Arial"/>
                <w:b/>
                <w:bCs/>
                <w:spacing w:val="1"/>
                <w:sz w:val="20"/>
                <w:szCs w:val="20"/>
                <w:lang w:val="en-GB"/>
              </w:rPr>
              <w:t>n</w:t>
            </w:r>
            <w:r w:rsidRPr="003476AC">
              <w:rPr>
                <w:rFonts w:ascii="Arial" w:hAnsi="Arial" w:cs="Arial"/>
                <w:b/>
                <w:bCs/>
                <w:spacing w:val="-1"/>
                <w:sz w:val="20"/>
                <w:szCs w:val="20"/>
                <w:lang w:val="en-GB"/>
              </w:rPr>
              <w:t>e</w:t>
            </w:r>
            <w:r w:rsidRPr="003476AC">
              <w:rPr>
                <w:rFonts w:ascii="Arial" w:hAnsi="Arial" w:cs="Arial"/>
                <w:b/>
                <w:bCs/>
                <w:sz w:val="20"/>
                <w:szCs w:val="20"/>
                <w:lang w:val="en-GB"/>
              </w:rPr>
              <w:t>d</w:t>
            </w:r>
            <w:r w:rsidRPr="003476AC">
              <w:rPr>
                <w:rFonts w:ascii="Arial" w:hAnsi="Arial" w:cs="Arial"/>
                <w:b/>
                <w:bCs/>
                <w:spacing w:val="10"/>
                <w:sz w:val="20"/>
                <w:szCs w:val="20"/>
                <w:lang w:val="en-GB"/>
              </w:rPr>
              <w:t xml:space="preserve"> </w:t>
            </w:r>
            <w:r w:rsidRPr="003476AC">
              <w:rPr>
                <w:rFonts w:ascii="Arial" w:hAnsi="Arial" w:cs="Arial"/>
                <w:b/>
                <w:bCs/>
                <w:spacing w:val="1"/>
                <w:sz w:val="20"/>
                <w:szCs w:val="20"/>
                <w:lang w:val="en-GB"/>
              </w:rPr>
              <w:t>w</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t</w:t>
            </w:r>
            <w:r w:rsidRPr="003476AC">
              <w:rPr>
                <w:rFonts w:ascii="Arial" w:hAnsi="Arial" w:cs="Arial"/>
                <w:b/>
                <w:bCs/>
                <w:sz w:val="20"/>
                <w:szCs w:val="20"/>
                <w:lang w:val="en-GB"/>
              </w:rPr>
              <w:t>h</w:t>
            </w:r>
            <w:r w:rsidRPr="003476AC">
              <w:rPr>
                <w:rFonts w:ascii="Arial" w:hAnsi="Arial" w:cs="Arial"/>
                <w:b/>
                <w:bCs/>
                <w:spacing w:val="8"/>
                <w:sz w:val="20"/>
                <w:szCs w:val="20"/>
                <w:lang w:val="en-GB"/>
              </w:rPr>
              <w:t xml:space="preserve"> </w:t>
            </w:r>
            <w:r w:rsidRPr="003476AC">
              <w:rPr>
                <w:rFonts w:ascii="Arial" w:hAnsi="Arial" w:cs="Arial"/>
                <w:b/>
                <w:bCs/>
                <w:spacing w:val="1"/>
                <w:sz w:val="20"/>
                <w:szCs w:val="20"/>
                <w:lang w:val="en-GB"/>
              </w:rPr>
              <w:t>th</w:t>
            </w:r>
            <w:r w:rsidRPr="003476AC">
              <w:rPr>
                <w:rFonts w:ascii="Arial" w:hAnsi="Arial" w:cs="Arial"/>
                <w:b/>
                <w:bCs/>
                <w:sz w:val="20"/>
                <w:szCs w:val="20"/>
                <w:lang w:val="en-GB"/>
              </w:rPr>
              <w:t>e</w:t>
            </w:r>
            <w:r w:rsidRPr="003476AC">
              <w:rPr>
                <w:rFonts w:ascii="Arial" w:hAnsi="Arial" w:cs="Arial"/>
                <w:b/>
                <w:bCs/>
                <w:spacing w:val="9"/>
                <w:sz w:val="20"/>
                <w:szCs w:val="20"/>
                <w:lang w:val="en-GB"/>
              </w:rPr>
              <w:t xml:space="preserve"> </w:t>
            </w:r>
            <w:r w:rsidRPr="003476AC">
              <w:rPr>
                <w:rFonts w:ascii="Arial" w:hAnsi="Arial" w:cs="Arial"/>
                <w:b/>
                <w:bCs/>
                <w:spacing w:val="1"/>
                <w:sz w:val="20"/>
                <w:szCs w:val="20"/>
                <w:lang w:val="en-GB"/>
              </w:rPr>
              <w:t>E</w:t>
            </w:r>
            <w:r w:rsidRPr="003476AC">
              <w:rPr>
                <w:rFonts w:ascii="Arial" w:hAnsi="Arial" w:cs="Arial"/>
                <w:b/>
                <w:bCs/>
                <w:sz w:val="20"/>
                <w:szCs w:val="20"/>
                <w:lang w:val="en-GB"/>
              </w:rPr>
              <w:t>U</w:t>
            </w:r>
            <w:r w:rsidRPr="003476AC">
              <w:rPr>
                <w:rFonts w:ascii="Arial" w:hAnsi="Arial" w:cs="Arial"/>
                <w:b/>
                <w:bCs/>
                <w:spacing w:val="9"/>
                <w:sz w:val="20"/>
                <w:szCs w:val="20"/>
                <w:lang w:val="en-GB"/>
              </w:rPr>
              <w:t xml:space="preserve"> </w:t>
            </w:r>
            <w:r w:rsidRPr="003476AC">
              <w:rPr>
                <w:rFonts w:ascii="Arial" w:hAnsi="Arial" w:cs="Arial"/>
                <w:b/>
                <w:bCs/>
                <w:spacing w:val="1"/>
                <w:sz w:val="20"/>
                <w:szCs w:val="20"/>
                <w:lang w:val="en-GB"/>
              </w:rPr>
              <w:t>T</w:t>
            </w:r>
            <w:r w:rsidRPr="003476AC">
              <w:rPr>
                <w:rFonts w:ascii="Arial" w:hAnsi="Arial" w:cs="Arial"/>
                <w:b/>
                <w:bCs/>
                <w:spacing w:val="-1"/>
                <w:sz w:val="20"/>
                <w:szCs w:val="20"/>
                <w:lang w:val="en-GB"/>
              </w:rPr>
              <w:t>a</w:t>
            </w:r>
            <w:r w:rsidRPr="003476AC">
              <w:rPr>
                <w:rFonts w:ascii="Arial" w:hAnsi="Arial" w:cs="Arial"/>
                <w:b/>
                <w:bCs/>
                <w:sz w:val="20"/>
                <w:szCs w:val="20"/>
                <w:lang w:val="en-GB"/>
              </w:rPr>
              <w:t>x</w:t>
            </w:r>
            <w:r w:rsidRPr="003476AC">
              <w:rPr>
                <w:rFonts w:ascii="Arial" w:hAnsi="Arial" w:cs="Arial"/>
                <w:b/>
                <w:bCs/>
                <w:spacing w:val="1"/>
                <w:sz w:val="20"/>
                <w:szCs w:val="20"/>
                <w:lang w:val="en-GB"/>
              </w:rPr>
              <w:t>ono</w:t>
            </w:r>
            <w:r w:rsidRPr="003476AC">
              <w:rPr>
                <w:rFonts w:ascii="Arial" w:hAnsi="Arial" w:cs="Arial"/>
                <w:b/>
                <w:bCs/>
                <w:spacing w:val="-1"/>
                <w:sz w:val="20"/>
                <w:szCs w:val="20"/>
                <w:lang w:val="en-GB"/>
              </w:rPr>
              <w:t>my</w:t>
            </w:r>
            <w:r w:rsidRPr="003476AC">
              <w:rPr>
                <w:rFonts w:ascii="Arial" w:hAnsi="Arial" w:cs="Arial"/>
                <w:b/>
                <w:bCs/>
                <w:sz w:val="20"/>
                <w:szCs w:val="20"/>
                <w:lang w:val="en-GB"/>
              </w:rPr>
              <w:t>?</w:t>
            </w:r>
            <w:r w:rsidRPr="003476AC">
              <w:rPr>
                <w:rFonts w:ascii="Arial" w:hAnsi="Arial" w:cs="Arial"/>
                <w:b/>
                <w:bCs/>
                <w:spacing w:val="9"/>
                <w:sz w:val="20"/>
                <w:szCs w:val="20"/>
                <w:lang w:val="en-GB"/>
              </w:rPr>
              <w:t xml:space="preserve"> </w:t>
            </w:r>
          </w:p>
          <w:p w14:paraId="3F046A53" w14:textId="77777777" w:rsidR="003C1B8B" w:rsidRPr="003476AC" w:rsidRDefault="003C1B8B" w:rsidP="003C1B8B">
            <w:pPr>
              <w:spacing w:before="0" w:after="0"/>
              <w:ind w:right="58"/>
              <w:rPr>
                <w:rFonts w:ascii="Arial" w:hAnsi="Arial" w:cs="Arial"/>
                <w:bCs/>
                <w:i/>
                <w:color w:val="C00000"/>
                <w:sz w:val="20"/>
                <w:szCs w:val="20"/>
                <w:lang w:val="en-GB"/>
              </w:rPr>
            </w:pPr>
          </w:p>
          <w:p w14:paraId="276FC3D3" w14:textId="77777777" w:rsidR="003C1B8B" w:rsidRPr="003476AC" w:rsidRDefault="003C1B8B" w:rsidP="003C1B8B">
            <w:pPr>
              <w:spacing w:before="0" w:after="0"/>
              <w:ind w:right="58"/>
              <w:rPr>
                <w:rFonts w:ascii="Arial" w:hAnsi="Arial" w:cs="Arial"/>
                <w:sz w:val="20"/>
                <w:szCs w:val="20"/>
                <w:lang w:val="en-GB"/>
              </w:rPr>
            </w:pPr>
            <w:r w:rsidRPr="003476AC">
              <w:rPr>
                <w:rFonts w:ascii="Arial" w:hAnsi="Arial" w:cs="Arial"/>
                <w:sz w:val="20"/>
                <w:szCs w:val="20"/>
                <w:lang w:val="en-GB"/>
              </w:rPr>
              <w:t>The Fund does not currently commit to investing more than 0% of its Net Asset Value in environmentally sustainable environmental activities within the meaning of the EU Taxonomy.</w:t>
            </w:r>
          </w:p>
          <w:p w14:paraId="05B84F0C" w14:textId="77777777" w:rsidR="003C1B8B" w:rsidRPr="003476AC" w:rsidRDefault="003C1B8B" w:rsidP="003C1B8B">
            <w:pPr>
              <w:spacing w:before="0" w:after="0"/>
              <w:ind w:right="58"/>
              <w:rPr>
                <w:rFonts w:ascii="Arial" w:hAnsi="Arial" w:cs="Arial"/>
                <w:sz w:val="20"/>
                <w:szCs w:val="20"/>
                <w:lang w:val="en-GB"/>
              </w:rPr>
            </w:pPr>
          </w:p>
        </w:tc>
      </w:tr>
      <w:tr w:rsidR="00AE1EE8" w:rsidRPr="003C1B8B" w14:paraId="7E8C1370" w14:textId="77777777" w:rsidTr="00303F74">
        <w:trPr>
          <w:trHeight w:val="977"/>
        </w:trPr>
        <w:tc>
          <w:tcPr>
            <w:tcW w:w="1116" w:type="pct"/>
            <w:vMerge/>
            <w:shd w:val="clear" w:color="auto" w:fill="D9D9D9" w:themeFill="background1" w:themeFillShade="D9"/>
          </w:tcPr>
          <w:p w14:paraId="5ACED1A2" w14:textId="77777777" w:rsidR="00AE1EE8" w:rsidRDefault="00AE1EE8" w:rsidP="003C1B8B">
            <w:pPr>
              <w:spacing w:before="0" w:after="0"/>
              <w:ind w:right="-37"/>
              <w:contextualSpacing/>
              <w:jc w:val="left"/>
              <w:rPr>
                <w:rFonts w:cs="Arial"/>
                <w:bCs/>
                <w:sz w:val="18"/>
                <w:szCs w:val="18"/>
                <w:lang w:val="en-GB"/>
              </w:rPr>
            </w:pPr>
          </w:p>
        </w:tc>
        <w:tc>
          <w:tcPr>
            <w:tcW w:w="124" w:type="pct"/>
            <w:shd w:val="clear" w:color="auto" w:fill="FFFFFF" w:themeFill="background1"/>
          </w:tcPr>
          <w:p w14:paraId="4B4D0F57" w14:textId="77777777" w:rsidR="00AE1EE8" w:rsidRPr="003C1B8B" w:rsidRDefault="00AE1EE8" w:rsidP="003C1B8B">
            <w:pPr>
              <w:spacing w:before="0" w:after="0"/>
              <w:ind w:left="737" w:right="58"/>
              <w:rPr>
                <w:noProof/>
                <w:sz w:val="22"/>
                <w:szCs w:val="22"/>
                <w:lang w:val="en-GB"/>
              </w:rPr>
            </w:pPr>
          </w:p>
        </w:tc>
        <w:tc>
          <w:tcPr>
            <w:tcW w:w="3760" w:type="pct"/>
            <w:gridSpan w:val="6"/>
            <w:shd w:val="clear" w:color="auto" w:fill="auto"/>
          </w:tcPr>
          <w:p w14:paraId="5647D224" w14:textId="26E3D429" w:rsidR="00AE1EE8" w:rsidRPr="003476AC" w:rsidRDefault="00AE1EE8" w:rsidP="00AE1EE8">
            <w:pPr>
              <w:spacing w:before="0" w:after="160" w:line="259" w:lineRule="auto"/>
              <w:ind w:left="340" w:right="58"/>
              <w:rPr>
                <w:rFonts w:ascii="Arial" w:hAnsi="Arial" w:cs="Arial"/>
                <w:sz w:val="20"/>
                <w:szCs w:val="20"/>
                <w:lang w:val="en-GB"/>
              </w:rPr>
            </w:pPr>
            <w:r w:rsidRPr="003476AC">
              <w:rPr>
                <w:rFonts w:cs="Arial"/>
                <w:b/>
                <w:bCs/>
                <w:i/>
                <w:iCs/>
                <w:noProof/>
                <w:sz w:val="20"/>
                <w:szCs w:val="20"/>
                <w:lang w:val="en-GB"/>
              </w:rPr>
              <mc:AlternateContent>
                <mc:Choice Requires="wps">
                  <w:drawing>
                    <wp:anchor distT="0" distB="0" distL="114300" distR="114300" simplePos="0" relativeHeight="251704320" behindDoc="0" locked="0" layoutInCell="1" allowOverlap="1" wp14:anchorId="35BDECD7" wp14:editId="5233B332">
                      <wp:simplePos x="0" y="0"/>
                      <wp:positionH relativeFrom="column">
                        <wp:posOffset>-5715</wp:posOffset>
                      </wp:positionH>
                      <wp:positionV relativeFrom="page">
                        <wp:posOffset>7620</wp:posOffset>
                      </wp:positionV>
                      <wp:extent cx="130175" cy="130175"/>
                      <wp:effectExtent l="0" t="0" r="3175" b="3175"/>
                      <wp:wrapNone/>
                      <wp:docPr id="3" name="Oval 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DE144" id="Oval 3" o:spid="_x0000_s1026" style="position:absolute;margin-left:-.45pt;margin-top:.6pt;width:10.25pt;height:1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" fillcolor="#d0cece" stroked="f" strokeweight="1pt">
                      <v:stroke joinstyle="miter"/>
                      <w10:wrap anchory="page"/>
                    </v:oval>
                  </w:pict>
                </mc:Fallback>
              </mc:AlternateContent>
            </w:r>
            <w:r w:rsidRPr="003476AC">
              <w:rPr>
                <w:rFonts w:ascii="Arial" w:hAnsi="Arial" w:cs="Arial"/>
                <w:b/>
                <w:bCs/>
                <w:sz w:val="20"/>
                <w:szCs w:val="20"/>
                <w:lang w:val="en-GB"/>
              </w:rPr>
              <w:t>Does the financial product invest in fossil gas and/or nuclear energy related activities that comply with the EU Taxonomy</w:t>
            </w:r>
            <w:r w:rsidRPr="003476AC">
              <w:rPr>
                <w:rFonts w:ascii="Arial" w:hAnsi="Arial" w:cs="Arial"/>
                <w:b/>
                <w:bCs/>
                <w:sz w:val="20"/>
                <w:szCs w:val="20"/>
                <w:vertAlign w:val="superscript"/>
                <w:lang w:val="en-GB"/>
              </w:rPr>
              <w:footnoteReference w:id="1"/>
            </w:r>
            <w:r w:rsidRPr="003476AC">
              <w:rPr>
                <w:rFonts w:ascii="Arial" w:hAnsi="Arial" w:cs="Arial"/>
                <w:b/>
                <w:bCs/>
                <w:sz w:val="20"/>
                <w:szCs w:val="20"/>
                <w:lang w:val="en-GB"/>
              </w:rPr>
              <w:t>?</w:t>
            </w:r>
            <w:r w:rsidRPr="003476AC">
              <w:rPr>
                <w:rFonts w:ascii="Arial" w:hAnsi="Arial" w:cs="Arial"/>
                <w:sz w:val="20"/>
                <w:szCs w:val="20"/>
                <w:lang w:val="en-GB"/>
              </w:rPr>
              <w:t xml:space="preserve"> </w:t>
            </w:r>
          </w:p>
          <w:p w14:paraId="1C558B9E" w14:textId="77777777" w:rsidR="00AE1EE8" w:rsidRPr="003476AC" w:rsidRDefault="00F12B41" w:rsidP="00AE1EE8">
            <w:pPr>
              <w:spacing w:before="0" w:after="160" w:line="259" w:lineRule="auto"/>
              <w:ind w:left="340" w:right="58"/>
              <w:rPr>
                <w:rFonts w:ascii="Arial" w:hAnsi="Arial" w:cs="Arial"/>
                <w:sz w:val="20"/>
                <w:szCs w:val="20"/>
                <w:lang w:val="en-GB"/>
              </w:rPr>
            </w:pPr>
            <w:sdt>
              <w:sdtPr>
                <w:rPr>
                  <w:rFonts w:cs="Arial"/>
                  <w:sz w:val="20"/>
                  <w:szCs w:val="20"/>
                  <w:lang w:val="en-GB"/>
                </w:rPr>
                <w:id w:val="143242414"/>
                <w14:checkbox>
                  <w14:checked w14:val="0"/>
                  <w14:checkedState w14:val="2612" w14:font="MS Gothic"/>
                  <w14:uncheckedState w14:val="2610" w14:font="MS Gothic"/>
                </w14:checkbox>
              </w:sdtPr>
              <w:sdtEndPr/>
              <w:sdtContent>
                <w:r w:rsidR="00AE1EE8" w:rsidRPr="003476AC">
                  <w:rPr>
                    <w:rFonts w:ascii="Segoe UI Symbol" w:hAnsi="Segoe UI Symbol" w:cs="Segoe UI Symbol"/>
                    <w:sz w:val="20"/>
                    <w:szCs w:val="20"/>
                    <w:lang w:val="en-GB"/>
                  </w:rPr>
                  <w:t>☐</w:t>
                </w:r>
              </w:sdtContent>
            </w:sdt>
            <w:r w:rsidR="00AE1EE8" w:rsidRPr="003476AC">
              <w:rPr>
                <w:rFonts w:ascii="Arial" w:hAnsi="Arial" w:cs="Arial"/>
                <w:sz w:val="20"/>
                <w:szCs w:val="20"/>
                <w:lang w:val="en-GB"/>
              </w:rPr>
              <w:t xml:space="preserve">Yes: </w:t>
            </w:r>
            <w:r w:rsidR="00AE1EE8" w:rsidRPr="003476AC">
              <w:rPr>
                <w:rFonts w:ascii="Arial" w:hAnsi="Arial" w:cs="Arial"/>
                <w:color w:val="C00000"/>
                <w:sz w:val="20"/>
                <w:szCs w:val="20"/>
                <w:lang w:val="en-GB"/>
              </w:rPr>
              <w:t xml:space="preserve"> </w:t>
            </w:r>
          </w:p>
          <w:p w14:paraId="18D9EC64" w14:textId="77777777" w:rsidR="00AE1EE8" w:rsidRPr="003476AC" w:rsidRDefault="00F12B41" w:rsidP="00AE1EE8">
            <w:pPr>
              <w:spacing w:before="0" w:after="160" w:line="259" w:lineRule="auto"/>
              <w:ind w:left="624" w:right="58"/>
              <w:rPr>
                <w:rFonts w:ascii="Arial" w:hAnsi="Arial" w:cs="Arial"/>
                <w:sz w:val="20"/>
                <w:szCs w:val="20"/>
                <w:lang w:val="en-GB"/>
              </w:rPr>
            </w:pPr>
            <w:sdt>
              <w:sdtPr>
                <w:rPr>
                  <w:rFonts w:cs="Arial"/>
                  <w:sz w:val="20"/>
                  <w:szCs w:val="20"/>
                  <w:lang w:val="en-GB"/>
                </w:rPr>
                <w:id w:val="1840582414"/>
                <w14:checkbox>
                  <w14:checked w14:val="0"/>
                  <w14:checkedState w14:val="2612" w14:font="MS Gothic"/>
                  <w14:uncheckedState w14:val="2610" w14:font="MS Gothic"/>
                </w14:checkbox>
              </w:sdtPr>
              <w:sdtEndPr/>
              <w:sdtContent>
                <w:r w:rsidR="00AE1EE8" w:rsidRPr="003476AC">
                  <w:rPr>
                    <w:rFonts w:ascii="Segoe UI Symbol" w:eastAsia="MS Gothic" w:hAnsi="Segoe UI Symbol" w:cs="Segoe UI Symbol"/>
                    <w:sz w:val="20"/>
                    <w:szCs w:val="20"/>
                    <w:lang w:val="en-GB"/>
                  </w:rPr>
                  <w:t>☐</w:t>
                </w:r>
              </w:sdtContent>
            </w:sdt>
            <w:r w:rsidR="00AE1EE8" w:rsidRPr="003476AC">
              <w:rPr>
                <w:rFonts w:ascii="Arial" w:hAnsi="Arial" w:cs="Arial"/>
                <w:sz w:val="20"/>
                <w:szCs w:val="20"/>
                <w:lang w:val="en-GB"/>
              </w:rPr>
              <w:t xml:space="preserve"> In fossil gas  </w:t>
            </w:r>
            <w:sdt>
              <w:sdtPr>
                <w:rPr>
                  <w:rFonts w:cs="Arial"/>
                  <w:sz w:val="20"/>
                  <w:szCs w:val="20"/>
                  <w:lang w:val="en-GB"/>
                </w:rPr>
                <w:id w:val="-1667240537"/>
                <w14:checkbox>
                  <w14:checked w14:val="0"/>
                  <w14:checkedState w14:val="2612" w14:font="MS Gothic"/>
                  <w14:uncheckedState w14:val="2610" w14:font="MS Gothic"/>
                </w14:checkbox>
              </w:sdtPr>
              <w:sdtEndPr/>
              <w:sdtContent>
                <w:r w:rsidR="00AE1EE8" w:rsidRPr="003476AC">
                  <w:rPr>
                    <w:rFonts w:ascii="Segoe UI Symbol" w:hAnsi="Segoe UI Symbol" w:cs="Segoe UI Symbol"/>
                    <w:sz w:val="20"/>
                    <w:szCs w:val="20"/>
                    <w:lang w:val="en-GB"/>
                  </w:rPr>
                  <w:t>☐</w:t>
                </w:r>
              </w:sdtContent>
            </w:sdt>
            <w:r w:rsidR="00AE1EE8" w:rsidRPr="003476AC">
              <w:rPr>
                <w:rFonts w:ascii="Arial" w:hAnsi="Arial" w:cs="Arial"/>
                <w:sz w:val="20"/>
                <w:szCs w:val="20"/>
                <w:lang w:val="en-GB"/>
              </w:rPr>
              <w:t xml:space="preserve"> In nuclear energy </w:t>
            </w:r>
          </w:p>
          <w:p w14:paraId="7B4E7072" w14:textId="77777777" w:rsidR="00AE1EE8" w:rsidRPr="003476AC" w:rsidRDefault="00F12B41" w:rsidP="00AE1EE8">
            <w:pPr>
              <w:spacing w:before="0" w:after="0"/>
              <w:ind w:left="737" w:right="58"/>
              <w:rPr>
                <w:rFonts w:ascii="Arial" w:eastAsia="Calibri" w:hAnsi="Arial" w:cs="Arial"/>
                <w:sz w:val="20"/>
                <w:szCs w:val="20"/>
                <w:lang w:val="en-GB"/>
              </w:rPr>
            </w:pPr>
            <w:sdt>
              <w:sdtPr>
                <w:rPr>
                  <w:rFonts w:cs="Arial"/>
                  <w:sz w:val="20"/>
                  <w:szCs w:val="20"/>
                  <w:lang w:val="en-GB"/>
                </w:rPr>
                <w:id w:val="-1078283866"/>
                <w14:checkbox>
                  <w14:checked w14:val="1"/>
                  <w14:checkedState w14:val="2612" w14:font="MS Gothic"/>
                  <w14:uncheckedState w14:val="2610" w14:font="MS Gothic"/>
                </w14:checkbox>
              </w:sdtPr>
              <w:sdtEndPr/>
              <w:sdtContent>
                <w:r w:rsidR="00AE1EE8" w:rsidRPr="003476AC">
                  <w:rPr>
                    <w:rFonts w:ascii="Segoe UI Symbol" w:eastAsia="Calibri" w:hAnsi="Segoe UI Symbol" w:cs="Segoe UI Symbol"/>
                    <w:sz w:val="20"/>
                    <w:szCs w:val="20"/>
                    <w:lang w:val="en-GB"/>
                  </w:rPr>
                  <w:t>☒</w:t>
                </w:r>
              </w:sdtContent>
            </w:sdt>
            <w:r w:rsidR="00AE1EE8" w:rsidRPr="003476AC">
              <w:rPr>
                <w:rFonts w:ascii="Arial" w:eastAsia="Calibri" w:hAnsi="Arial" w:cs="Arial"/>
                <w:sz w:val="20"/>
                <w:szCs w:val="20"/>
                <w:lang w:val="en-GB"/>
              </w:rPr>
              <w:t xml:space="preserve"> No</w:t>
            </w:r>
          </w:p>
          <w:p w14:paraId="0B3CC77E" w14:textId="77777777" w:rsidR="00AE1EE8" w:rsidRPr="003476AC" w:rsidRDefault="00AE1EE8" w:rsidP="00AE1EE8">
            <w:pPr>
              <w:spacing w:before="0" w:after="0"/>
              <w:ind w:left="737" w:right="58"/>
              <w:rPr>
                <w:rFonts w:ascii="Arial" w:hAnsi="Arial" w:cs="Arial"/>
                <w:b/>
                <w:bCs/>
                <w:noProof/>
                <w:sz w:val="20"/>
                <w:szCs w:val="20"/>
                <w:lang w:val="en-GB"/>
              </w:rPr>
            </w:pPr>
          </w:p>
          <w:p w14:paraId="66524E20" w14:textId="77777777" w:rsidR="00AE1EE8" w:rsidRPr="003476AC" w:rsidRDefault="00AE1EE8" w:rsidP="003C1B8B">
            <w:pPr>
              <w:spacing w:before="0" w:after="0"/>
              <w:ind w:left="737" w:right="58"/>
              <w:rPr>
                <w:rFonts w:ascii="Arial" w:hAnsi="Arial" w:cs="Arial"/>
                <w:b/>
                <w:bCs/>
                <w:noProof/>
                <w:sz w:val="20"/>
                <w:szCs w:val="20"/>
                <w:lang w:val="en-GB"/>
              </w:rPr>
            </w:pPr>
          </w:p>
        </w:tc>
      </w:tr>
      <w:tr w:rsidR="00AE1EE8" w:rsidRPr="003C1B8B" w14:paraId="4B48F07A" w14:textId="77777777" w:rsidTr="00AE1EE8">
        <w:trPr>
          <w:trHeight w:val="977"/>
        </w:trPr>
        <w:tc>
          <w:tcPr>
            <w:tcW w:w="1116" w:type="pct"/>
            <w:vMerge/>
            <w:shd w:val="clear" w:color="auto" w:fill="D9D9D9" w:themeFill="background1" w:themeFillShade="D9"/>
          </w:tcPr>
          <w:p w14:paraId="413F912A" w14:textId="77777777" w:rsidR="00AE1EE8" w:rsidRDefault="00AE1EE8" w:rsidP="003C1B8B">
            <w:pPr>
              <w:spacing w:before="0" w:after="0"/>
              <w:ind w:right="-37"/>
              <w:contextualSpacing/>
              <w:jc w:val="left"/>
              <w:rPr>
                <w:rFonts w:cs="Arial"/>
                <w:bCs/>
                <w:sz w:val="18"/>
                <w:szCs w:val="18"/>
                <w:lang w:val="en-GB"/>
              </w:rPr>
            </w:pPr>
          </w:p>
        </w:tc>
        <w:tc>
          <w:tcPr>
            <w:tcW w:w="124" w:type="pct"/>
            <w:shd w:val="clear" w:color="auto" w:fill="FFFFFF" w:themeFill="background1"/>
          </w:tcPr>
          <w:p w14:paraId="3EB0DF22" w14:textId="77777777" w:rsidR="00AE1EE8" w:rsidRPr="003C1B8B" w:rsidRDefault="00AE1EE8" w:rsidP="003C1B8B">
            <w:pPr>
              <w:spacing w:before="0" w:after="0"/>
              <w:ind w:left="737" w:right="58"/>
              <w:rPr>
                <w:noProof/>
                <w:sz w:val="22"/>
                <w:szCs w:val="22"/>
                <w:lang w:val="en-GB"/>
              </w:rPr>
            </w:pPr>
          </w:p>
        </w:tc>
        <w:tc>
          <w:tcPr>
            <w:tcW w:w="3760" w:type="pct"/>
            <w:gridSpan w:val="6"/>
            <w:shd w:val="clear" w:color="auto" w:fill="FBE4D5" w:themeFill="accent2" w:themeFillTint="33"/>
          </w:tcPr>
          <w:p w14:paraId="0ED50770" w14:textId="77777777" w:rsidR="00AE1EE8" w:rsidRPr="004A0DD3" w:rsidRDefault="00AE1EE8" w:rsidP="00AE1EE8">
            <w:pPr>
              <w:spacing w:before="0" w:after="0"/>
              <w:ind w:right="58"/>
              <w:rPr>
                <w:b/>
                <w:bCs/>
                <w:noProof/>
                <w:sz w:val="22"/>
                <w:szCs w:val="22"/>
                <w:lang w:val="en-GB"/>
              </w:rPr>
            </w:pPr>
            <w:r w:rsidRPr="00363D81">
              <w:rPr>
                <w:rFonts w:ascii="Arial" w:hAnsi="Arial" w:cs="Arial"/>
                <w:b/>
                <w:bCs/>
                <w:i/>
                <w:iCs/>
                <w:sz w:val="20"/>
                <w:szCs w:val="20"/>
              </w:rPr>
              <w:t>The two graphs below show in green the minimum percentage of investments that are aligned with the EU Taxonomy. As there is no appropriate methodology to determine the Taxonomy-alignment of sovereign bonds*, 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p w14:paraId="1D8AFC14" w14:textId="77777777" w:rsidR="00AE1EE8" w:rsidRPr="0040107A" w:rsidRDefault="00AE1EE8" w:rsidP="00AE1EE8">
            <w:pPr>
              <w:rPr>
                <w:b/>
                <w:bCs/>
                <w:i/>
                <w:iCs/>
                <w:sz w:val="20"/>
                <w:szCs w:val="20"/>
              </w:rPr>
            </w:pPr>
            <w:r w:rsidRPr="001970E9">
              <w:rPr>
                <w:i/>
                <w:noProof/>
                <w:sz w:val="20"/>
              </w:rPr>
              <w:drawing>
                <wp:inline distT="0" distB="0" distL="0" distR="0" wp14:anchorId="7EFCD17C" wp14:editId="43FD6B3F">
                  <wp:extent cx="2493010" cy="172529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970E9">
              <w:rPr>
                <w:i/>
                <w:noProof/>
              </w:rPr>
              <w:drawing>
                <wp:inline distT="0" distB="0" distL="0" distR="0" wp14:anchorId="6C082A9F" wp14:editId="105814B2">
                  <wp:extent cx="2560320" cy="1725295"/>
                  <wp:effectExtent l="0" t="0" r="11430" b="825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7F53B11" w14:textId="77777777" w:rsidR="00AE1EE8" w:rsidRPr="0045282C" w:rsidRDefault="00AE1EE8" w:rsidP="00AE1EE8">
            <w:pPr>
              <w:contextualSpacing/>
              <w:rPr>
                <w:i/>
                <w:iCs/>
                <w:sz w:val="20"/>
                <w:szCs w:val="20"/>
              </w:rPr>
            </w:pPr>
          </w:p>
          <w:p w14:paraId="15E7F709" w14:textId="77777777" w:rsidR="00AE1EE8" w:rsidRPr="003476AC" w:rsidRDefault="00AE1EE8" w:rsidP="00AE1EE8">
            <w:pPr>
              <w:pStyle w:val="ListParagraph"/>
              <w:numPr>
                <w:ilvl w:val="0"/>
                <w:numId w:val="21"/>
              </w:numPr>
              <w:spacing w:before="0" w:after="0"/>
              <w:jc w:val="left"/>
              <w:rPr>
                <w:rFonts w:ascii="Arial" w:hAnsi="Arial" w:cs="Arial"/>
                <w:i/>
                <w:iCs/>
                <w:sz w:val="20"/>
                <w:szCs w:val="20"/>
              </w:rPr>
            </w:pPr>
            <w:r w:rsidRPr="003476AC">
              <w:rPr>
                <w:rFonts w:ascii="Arial" w:eastAsia="Calibri" w:hAnsi="Arial" w:cs="Arial"/>
                <w:i/>
                <w:spacing w:val="-1"/>
                <w:sz w:val="20"/>
                <w:szCs w:val="20"/>
              </w:rPr>
              <w:t>Fo</w:t>
            </w:r>
            <w:r w:rsidRPr="003476AC">
              <w:rPr>
                <w:rFonts w:ascii="Arial" w:eastAsia="Calibri" w:hAnsi="Arial" w:cs="Arial"/>
                <w:i/>
                <w:sz w:val="20"/>
                <w:szCs w:val="20"/>
              </w:rPr>
              <w:t>r</w:t>
            </w:r>
            <w:r w:rsidRPr="003476AC">
              <w:rPr>
                <w:rFonts w:ascii="Arial" w:eastAsia="Calibri" w:hAnsi="Arial" w:cs="Arial"/>
                <w:i/>
                <w:spacing w:val="1"/>
                <w:sz w:val="20"/>
                <w:szCs w:val="20"/>
              </w:rPr>
              <w:t xml:space="preserve"> </w:t>
            </w:r>
            <w:r w:rsidRPr="003476AC">
              <w:rPr>
                <w:rFonts w:ascii="Arial" w:eastAsia="Calibri" w:hAnsi="Arial" w:cs="Arial"/>
                <w:i/>
                <w:sz w:val="20"/>
                <w:szCs w:val="20"/>
              </w:rPr>
              <w:t>t</w:t>
            </w:r>
            <w:r w:rsidRPr="003476AC">
              <w:rPr>
                <w:rFonts w:ascii="Arial" w:eastAsia="Calibri" w:hAnsi="Arial" w:cs="Arial"/>
                <w:i/>
                <w:spacing w:val="1"/>
                <w:sz w:val="20"/>
                <w:szCs w:val="20"/>
              </w:rPr>
              <w:t>h</w:t>
            </w:r>
            <w:r w:rsidRPr="003476AC">
              <w:rPr>
                <w:rFonts w:ascii="Arial" w:eastAsia="Calibri" w:hAnsi="Arial" w:cs="Arial"/>
                <w:i/>
                <w:sz w:val="20"/>
                <w:szCs w:val="20"/>
              </w:rPr>
              <w:t>e</w:t>
            </w:r>
            <w:r w:rsidRPr="003476AC">
              <w:rPr>
                <w:rFonts w:ascii="Arial" w:eastAsia="Calibri" w:hAnsi="Arial" w:cs="Arial"/>
                <w:i/>
                <w:spacing w:val="1"/>
                <w:sz w:val="20"/>
                <w:szCs w:val="20"/>
              </w:rPr>
              <w:t xml:space="preserve"> purp</w:t>
            </w:r>
            <w:r w:rsidRPr="003476AC">
              <w:rPr>
                <w:rFonts w:ascii="Arial" w:eastAsia="Calibri" w:hAnsi="Arial" w:cs="Arial"/>
                <w:i/>
                <w:spacing w:val="-1"/>
                <w:sz w:val="20"/>
                <w:szCs w:val="20"/>
              </w:rPr>
              <w:t>o</w:t>
            </w:r>
            <w:r w:rsidRPr="003476AC">
              <w:rPr>
                <w:rFonts w:ascii="Arial" w:eastAsia="Calibri" w:hAnsi="Arial" w:cs="Arial"/>
                <w:i/>
                <w:sz w:val="20"/>
                <w:szCs w:val="20"/>
              </w:rPr>
              <w:t>se</w:t>
            </w:r>
            <w:r w:rsidRPr="003476AC">
              <w:rPr>
                <w:rFonts w:ascii="Arial" w:eastAsia="Calibri" w:hAnsi="Arial" w:cs="Arial"/>
                <w:i/>
                <w:spacing w:val="1"/>
                <w:sz w:val="20"/>
                <w:szCs w:val="20"/>
              </w:rPr>
              <w:t xml:space="preserve"> </w:t>
            </w:r>
            <w:r w:rsidRPr="003476AC">
              <w:rPr>
                <w:rFonts w:ascii="Arial" w:eastAsia="Calibri" w:hAnsi="Arial" w:cs="Arial"/>
                <w:i/>
                <w:spacing w:val="-1"/>
                <w:sz w:val="20"/>
                <w:szCs w:val="20"/>
              </w:rPr>
              <w:t>o</w:t>
            </w:r>
            <w:r w:rsidRPr="003476AC">
              <w:rPr>
                <w:rFonts w:ascii="Arial" w:eastAsia="Calibri" w:hAnsi="Arial" w:cs="Arial"/>
                <w:i/>
                <w:sz w:val="20"/>
                <w:szCs w:val="20"/>
              </w:rPr>
              <w:t>f t</w:t>
            </w:r>
            <w:r w:rsidRPr="003476AC">
              <w:rPr>
                <w:rFonts w:ascii="Arial" w:eastAsia="Calibri" w:hAnsi="Arial" w:cs="Arial"/>
                <w:i/>
                <w:spacing w:val="1"/>
                <w:sz w:val="20"/>
                <w:szCs w:val="20"/>
              </w:rPr>
              <w:t>h</w:t>
            </w:r>
            <w:r w:rsidRPr="003476AC">
              <w:rPr>
                <w:rFonts w:ascii="Arial" w:eastAsia="Calibri" w:hAnsi="Arial" w:cs="Arial"/>
                <w:i/>
                <w:sz w:val="20"/>
                <w:szCs w:val="20"/>
              </w:rPr>
              <w:t>ese</w:t>
            </w:r>
            <w:r w:rsidRPr="003476AC">
              <w:rPr>
                <w:rFonts w:ascii="Arial" w:eastAsia="Calibri" w:hAnsi="Arial" w:cs="Arial"/>
                <w:i/>
                <w:spacing w:val="1"/>
                <w:sz w:val="20"/>
                <w:szCs w:val="20"/>
              </w:rPr>
              <w:t xml:space="preserve"> </w:t>
            </w:r>
            <w:r w:rsidRPr="003476AC">
              <w:rPr>
                <w:rFonts w:ascii="Arial" w:eastAsia="Calibri" w:hAnsi="Arial" w:cs="Arial"/>
                <w:i/>
                <w:spacing w:val="-1"/>
                <w:sz w:val="20"/>
                <w:szCs w:val="20"/>
              </w:rPr>
              <w:t>g</w:t>
            </w:r>
            <w:r w:rsidRPr="003476AC">
              <w:rPr>
                <w:rFonts w:ascii="Arial" w:eastAsia="Calibri" w:hAnsi="Arial" w:cs="Arial"/>
                <w:i/>
                <w:spacing w:val="1"/>
                <w:sz w:val="20"/>
                <w:szCs w:val="20"/>
              </w:rPr>
              <w:t>r</w:t>
            </w:r>
            <w:r w:rsidRPr="003476AC">
              <w:rPr>
                <w:rFonts w:ascii="Arial" w:eastAsia="Calibri" w:hAnsi="Arial" w:cs="Arial"/>
                <w:i/>
                <w:spacing w:val="-1"/>
                <w:sz w:val="20"/>
                <w:szCs w:val="20"/>
              </w:rPr>
              <w:t>a</w:t>
            </w:r>
            <w:r w:rsidRPr="003476AC">
              <w:rPr>
                <w:rFonts w:ascii="Arial" w:eastAsia="Calibri" w:hAnsi="Arial" w:cs="Arial"/>
                <w:i/>
                <w:spacing w:val="1"/>
                <w:sz w:val="20"/>
                <w:szCs w:val="20"/>
              </w:rPr>
              <w:t>p</w:t>
            </w:r>
            <w:r w:rsidRPr="003476AC">
              <w:rPr>
                <w:rFonts w:ascii="Arial" w:eastAsia="Calibri" w:hAnsi="Arial" w:cs="Arial"/>
                <w:i/>
                <w:spacing w:val="-1"/>
                <w:sz w:val="20"/>
                <w:szCs w:val="20"/>
              </w:rPr>
              <w:t>h</w:t>
            </w:r>
            <w:r w:rsidRPr="003476AC">
              <w:rPr>
                <w:rFonts w:ascii="Arial" w:eastAsia="Calibri" w:hAnsi="Arial" w:cs="Arial"/>
                <w:i/>
                <w:sz w:val="20"/>
                <w:szCs w:val="20"/>
              </w:rPr>
              <w:t xml:space="preserve">s, </w:t>
            </w:r>
            <w:r w:rsidRPr="003476AC">
              <w:rPr>
                <w:rFonts w:ascii="Arial" w:eastAsia="Calibri" w:hAnsi="Arial" w:cs="Arial"/>
                <w:i/>
                <w:spacing w:val="1"/>
                <w:sz w:val="20"/>
                <w:szCs w:val="20"/>
              </w:rPr>
              <w:t>‘</w:t>
            </w:r>
            <w:r w:rsidRPr="003476AC">
              <w:rPr>
                <w:rFonts w:ascii="Arial" w:eastAsia="Calibri" w:hAnsi="Arial" w:cs="Arial"/>
                <w:i/>
                <w:sz w:val="20"/>
                <w:szCs w:val="20"/>
              </w:rPr>
              <w:t>s</w:t>
            </w:r>
            <w:r w:rsidRPr="003476AC">
              <w:rPr>
                <w:rFonts w:ascii="Arial" w:eastAsia="Calibri" w:hAnsi="Arial" w:cs="Arial"/>
                <w:i/>
                <w:spacing w:val="-1"/>
                <w:sz w:val="20"/>
                <w:szCs w:val="20"/>
              </w:rPr>
              <w:t>ov</w:t>
            </w:r>
            <w:r w:rsidRPr="003476AC">
              <w:rPr>
                <w:rFonts w:ascii="Arial" w:eastAsia="Calibri" w:hAnsi="Arial" w:cs="Arial"/>
                <w:i/>
                <w:sz w:val="20"/>
                <w:szCs w:val="20"/>
              </w:rPr>
              <w:t>e</w:t>
            </w:r>
            <w:r w:rsidRPr="003476AC">
              <w:rPr>
                <w:rFonts w:ascii="Arial" w:eastAsia="Calibri" w:hAnsi="Arial" w:cs="Arial"/>
                <w:i/>
                <w:spacing w:val="1"/>
                <w:sz w:val="20"/>
                <w:szCs w:val="20"/>
              </w:rPr>
              <w:t>r</w:t>
            </w:r>
            <w:r w:rsidRPr="003476AC">
              <w:rPr>
                <w:rFonts w:ascii="Arial" w:eastAsia="Calibri" w:hAnsi="Arial" w:cs="Arial"/>
                <w:i/>
                <w:sz w:val="20"/>
                <w:szCs w:val="20"/>
              </w:rPr>
              <w:t>e</w:t>
            </w:r>
            <w:r w:rsidRPr="003476AC">
              <w:rPr>
                <w:rFonts w:ascii="Arial" w:eastAsia="Calibri" w:hAnsi="Arial" w:cs="Arial"/>
                <w:i/>
                <w:spacing w:val="-1"/>
                <w:sz w:val="20"/>
                <w:szCs w:val="20"/>
              </w:rPr>
              <w:t>i</w:t>
            </w:r>
            <w:r w:rsidRPr="003476AC">
              <w:rPr>
                <w:rFonts w:ascii="Arial" w:eastAsia="Calibri" w:hAnsi="Arial" w:cs="Arial"/>
                <w:i/>
                <w:spacing w:val="1"/>
                <w:sz w:val="20"/>
                <w:szCs w:val="20"/>
              </w:rPr>
              <w:t>g</w:t>
            </w:r>
            <w:r w:rsidRPr="003476AC">
              <w:rPr>
                <w:rFonts w:ascii="Arial" w:eastAsia="Calibri" w:hAnsi="Arial" w:cs="Arial"/>
                <w:i/>
                <w:sz w:val="20"/>
                <w:szCs w:val="20"/>
              </w:rPr>
              <w:t>n</w:t>
            </w:r>
            <w:r w:rsidRPr="003476AC">
              <w:rPr>
                <w:rFonts w:ascii="Arial" w:eastAsia="Calibri" w:hAnsi="Arial" w:cs="Arial"/>
                <w:i/>
                <w:spacing w:val="1"/>
                <w:sz w:val="20"/>
                <w:szCs w:val="20"/>
              </w:rPr>
              <w:t xml:space="preserve"> b</w:t>
            </w:r>
            <w:r w:rsidRPr="003476AC">
              <w:rPr>
                <w:rFonts w:ascii="Arial" w:eastAsia="Calibri" w:hAnsi="Arial" w:cs="Arial"/>
                <w:i/>
                <w:spacing w:val="-1"/>
                <w:sz w:val="20"/>
                <w:szCs w:val="20"/>
              </w:rPr>
              <w:t>o</w:t>
            </w:r>
            <w:r w:rsidRPr="003476AC">
              <w:rPr>
                <w:rFonts w:ascii="Arial" w:eastAsia="Calibri" w:hAnsi="Arial" w:cs="Arial"/>
                <w:i/>
                <w:spacing w:val="1"/>
                <w:sz w:val="20"/>
                <w:szCs w:val="20"/>
              </w:rPr>
              <w:t>nd</w:t>
            </w:r>
            <w:r w:rsidRPr="003476AC">
              <w:rPr>
                <w:rFonts w:ascii="Arial" w:eastAsia="Calibri" w:hAnsi="Arial" w:cs="Arial"/>
                <w:i/>
                <w:spacing w:val="-3"/>
                <w:sz w:val="20"/>
                <w:szCs w:val="20"/>
              </w:rPr>
              <w:t>s</w:t>
            </w:r>
            <w:r w:rsidRPr="003476AC">
              <w:rPr>
                <w:rFonts w:ascii="Arial" w:eastAsia="Calibri" w:hAnsi="Arial" w:cs="Arial"/>
                <w:i/>
                <w:sz w:val="20"/>
                <w:szCs w:val="20"/>
              </w:rPr>
              <w:t>’</w:t>
            </w:r>
            <w:r w:rsidRPr="003476AC">
              <w:rPr>
                <w:rFonts w:ascii="Arial" w:eastAsia="Calibri" w:hAnsi="Arial" w:cs="Arial"/>
                <w:i/>
                <w:spacing w:val="1"/>
                <w:sz w:val="20"/>
                <w:szCs w:val="20"/>
              </w:rPr>
              <w:t xml:space="preserve"> </w:t>
            </w:r>
            <w:r w:rsidRPr="003476AC">
              <w:rPr>
                <w:rFonts w:ascii="Arial" w:eastAsia="Calibri" w:hAnsi="Arial" w:cs="Arial"/>
                <w:i/>
                <w:sz w:val="20"/>
                <w:szCs w:val="20"/>
              </w:rPr>
              <w:t>c</w:t>
            </w:r>
            <w:r w:rsidRPr="003476AC">
              <w:rPr>
                <w:rFonts w:ascii="Arial" w:eastAsia="Calibri" w:hAnsi="Arial" w:cs="Arial"/>
                <w:i/>
                <w:spacing w:val="-1"/>
                <w:sz w:val="20"/>
                <w:szCs w:val="20"/>
              </w:rPr>
              <w:t>o</w:t>
            </w:r>
            <w:r w:rsidRPr="003476AC">
              <w:rPr>
                <w:rFonts w:ascii="Arial" w:eastAsia="Calibri" w:hAnsi="Arial" w:cs="Arial"/>
                <w:i/>
                <w:spacing w:val="1"/>
                <w:sz w:val="20"/>
                <w:szCs w:val="20"/>
              </w:rPr>
              <w:t>n</w:t>
            </w:r>
            <w:r w:rsidRPr="003476AC">
              <w:rPr>
                <w:rFonts w:ascii="Arial" w:eastAsia="Calibri" w:hAnsi="Arial" w:cs="Arial"/>
                <w:i/>
                <w:sz w:val="20"/>
                <w:szCs w:val="20"/>
              </w:rPr>
              <w:t>s</w:t>
            </w:r>
            <w:r w:rsidRPr="003476AC">
              <w:rPr>
                <w:rFonts w:ascii="Arial" w:eastAsia="Calibri" w:hAnsi="Arial" w:cs="Arial"/>
                <w:i/>
                <w:spacing w:val="-1"/>
                <w:sz w:val="20"/>
                <w:szCs w:val="20"/>
              </w:rPr>
              <w:t>i</w:t>
            </w:r>
            <w:r w:rsidRPr="003476AC">
              <w:rPr>
                <w:rFonts w:ascii="Arial" w:eastAsia="Calibri" w:hAnsi="Arial" w:cs="Arial"/>
                <w:i/>
                <w:sz w:val="20"/>
                <w:szCs w:val="20"/>
              </w:rPr>
              <w:t xml:space="preserve">st </w:t>
            </w:r>
            <w:r w:rsidRPr="003476AC">
              <w:rPr>
                <w:rFonts w:ascii="Arial" w:eastAsia="Calibri" w:hAnsi="Arial" w:cs="Arial"/>
                <w:i/>
                <w:spacing w:val="-1"/>
                <w:sz w:val="20"/>
                <w:szCs w:val="20"/>
              </w:rPr>
              <w:t>o</w:t>
            </w:r>
            <w:r w:rsidRPr="003476AC">
              <w:rPr>
                <w:rFonts w:ascii="Arial" w:eastAsia="Calibri" w:hAnsi="Arial" w:cs="Arial"/>
                <w:i/>
                <w:sz w:val="20"/>
                <w:szCs w:val="20"/>
              </w:rPr>
              <w:t>f</w:t>
            </w:r>
            <w:r w:rsidRPr="003476AC">
              <w:rPr>
                <w:rFonts w:ascii="Arial" w:eastAsia="Calibri" w:hAnsi="Arial" w:cs="Arial"/>
                <w:i/>
                <w:spacing w:val="41"/>
                <w:sz w:val="20"/>
                <w:szCs w:val="20"/>
              </w:rPr>
              <w:t xml:space="preserve"> </w:t>
            </w:r>
            <w:r w:rsidRPr="003476AC">
              <w:rPr>
                <w:rFonts w:ascii="Arial" w:eastAsia="Calibri" w:hAnsi="Arial" w:cs="Arial"/>
                <w:i/>
                <w:spacing w:val="1"/>
                <w:sz w:val="20"/>
                <w:szCs w:val="20"/>
              </w:rPr>
              <w:t>a</w:t>
            </w:r>
            <w:r w:rsidRPr="003476AC">
              <w:rPr>
                <w:rFonts w:ascii="Arial" w:eastAsia="Calibri" w:hAnsi="Arial" w:cs="Arial"/>
                <w:i/>
                <w:spacing w:val="-1"/>
                <w:sz w:val="20"/>
                <w:szCs w:val="20"/>
              </w:rPr>
              <w:t>l</w:t>
            </w:r>
            <w:r w:rsidRPr="003476AC">
              <w:rPr>
                <w:rFonts w:ascii="Arial" w:eastAsia="Calibri" w:hAnsi="Arial" w:cs="Arial"/>
                <w:i/>
                <w:sz w:val="20"/>
                <w:szCs w:val="20"/>
              </w:rPr>
              <w:t>l</w:t>
            </w:r>
            <w:r w:rsidRPr="003476AC">
              <w:rPr>
                <w:rFonts w:ascii="Arial" w:eastAsia="Calibri" w:hAnsi="Arial" w:cs="Arial"/>
                <w:i/>
                <w:spacing w:val="2"/>
                <w:sz w:val="20"/>
                <w:szCs w:val="20"/>
              </w:rPr>
              <w:t xml:space="preserve"> </w:t>
            </w:r>
            <w:r w:rsidRPr="003476AC">
              <w:rPr>
                <w:rFonts w:ascii="Arial" w:eastAsia="Calibri" w:hAnsi="Arial" w:cs="Arial"/>
                <w:i/>
                <w:sz w:val="20"/>
                <w:szCs w:val="20"/>
              </w:rPr>
              <w:t>s</w:t>
            </w:r>
            <w:r w:rsidRPr="003476AC">
              <w:rPr>
                <w:rFonts w:ascii="Arial" w:eastAsia="Calibri" w:hAnsi="Arial" w:cs="Arial"/>
                <w:i/>
                <w:spacing w:val="-1"/>
                <w:sz w:val="20"/>
                <w:szCs w:val="20"/>
              </w:rPr>
              <w:t>ov</w:t>
            </w:r>
            <w:r w:rsidRPr="003476AC">
              <w:rPr>
                <w:rFonts w:ascii="Arial" w:eastAsia="Calibri" w:hAnsi="Arial" w:cs="Arial"/>
                <w:i/>
                <w:sz w:val="20"/>
                <w:szCs w:val="20"/>
              </w:rPr>
              <w:t>e</w:t>
            </w:r>
            <w:r w:rsidRPr="003476AC">
              <w:rPr>
                <w:rFonts w:ascii="Arial" w:eastAsia="Calibri" w:hAnsi="Arial" w:cs="Arial"/>
                <w:i/>
                <w:spacing w:val="1"/>
                <w:sz w:val="20"/>
                <w:szCs w:val="20"/>
              </w:rPr>
              <w:t>r</w:t>
            </w:r>
            <w:r w:rsidRPr="003476AC">
              <w:rPr>
                <w:rFonts w:ascii="Arial" w:eastAsia="Calibri" w:hAnsi="Arial" w:cs="Arial"/>
                <w:i/>
                <w:sz w:val="20"/>
                <w:szCs w:val="20"/>
              </w:rPr>
              <w:t>e</w:t>
            </w:r>
            <w:r w:rsidRPr="003476AC">
              <w:rPr>
                <w:rFonts w:ascii="Arial" w:eastAsia="Calibri" w:hAnsi="Arial" w:cs="Arial"/>
                <w:i/>
                <w:spacing w:val="-1"/>
                <w:sz w:val="20"/>
                <w:szCs w:val="20"/>
              </w:rPr>
              <w:t>i</w:t>
            </w:r>
            <w:r w:rsidRPr="003476AC">
              <w:rPr>
                <w:rFonts w:ascii="Arial" w:eastAsia="Calibri" w:hAnsi="Arial" w:cs="Arial"/>
                <w:i/>
                <w:spacing w:val="1"/>
                <w:sz w:val="20"/>
                <w:szCs w:val="20"/>
              </w:rPr>
              <w:t>g</w:t>
            </w:r>
            <w:r w:rsidRPr="003476AC">
              <w:rPr>
                <w:rFonts w:ascii="Arial" w:eastAsia="Calibri" w:hAnsi="Arial" w:cs="Arial"/>
                <w:i/>
                <w:sz w:val="20"/>
                <w:szCs w:val="20"/>
              </w:rPr>
              <w:t>n</w:t>
            </w:r>
            <w:r w:rsidRPr="003476AC">
              <w:rPr>
                <w:rFonts w:ascii="Arial" w:eastAsia="Calibri" w:hAnsi="Arial" w:cs="Arial"/>
                <w:i/>
                <w:spacing w:val="1"/>
                <w:sz w:val="20"/>
                <w:szCs w:val="20"/>
              </w:rPr>
              <w:t xml:space="preserve"> </w:t>
            </w:r>
            <w:r w:rsidRPr="003476AC">
              <w:rPr>
                <w:rFonts w:ascii="Arial" w:eastAsia="Calibri" w:hAnsi="Arial" w:cs="Arial"/>
                <w:i/>
                <w:sz w:val="20"/>
                <w:szCs w:val="20"/>
              </w:rPr>
              <w:t>e</w:t>
            </w:r>
            <w:r w:rsidRPr="003476AC">
              <w:rPr>
                <w:rFonts w:ascii="Arial" w:eastAsia="Calibri" w:hAnsi="Arial" w:cs="Arial"/>
                <w:i/>
                <w:spacing w:val="-1"/>
                <w:sz w:val="20"/>
                <w:szCs w:val="20"/>
              </w:rPr>
              <w:t>x</w:t>
            </w:r>
            <w:r w:rsidRPr="003476AC">
              <w:rPr>
                <w:rFonts w:ascii="Arial" w:eastAsia="Calibri" w:hAnsi="Arial" w:cs="Arial"/>
                <w:i/>
                <w:spacing w:val="1"/>
                <w:sz w:val="20"/>
                <w:szCs w:val="20"/>
              </w:rPr>
              <w:t>p</w:t>
            </w:r>
            <w:r w:rsidRPr="003476AC">
              <w:rPr>
                <w:rFonts w:ascii="Arial" w:eastAsia="Calibri" w:hAnsi="Arial" w:cs="Arial"/>
                <w:i/>
                <w:spacing w:val="-1"/>
                <w:sz w:val="20"/>
                <w:szCs w:val="20"/>
              </w:rPr>
              <w:t>o</w:t>
            </w:r>
            <w:r w:rsidRPr="003476AC">
              <w:rPr>
                <w:rFonts w:ascii="Arial" w:eastAsia="Calibri" w:hAnsi="Arial" w:cs="Arial"/>
                <w:i/>
                <w:sz w:val="20"/>
                <w:szCs w:val="20"/>
              </w:rPr>
              <w:t>s</w:t>
            </w:r>
            <w:r w:rsidRPr="003476AC">
              <w:rPr>
                <w:rFonts w:ascii="Arial" w:eastAsia="Calibri" w:hAnsi="Arial" w:cs="Arial"/>
                <w:i/>
                <w:spacing w:val="1"/>
                <w:sz w:val="20"/>
                <w:szCs w:val="20"/>
              </w:rPr>
              <w:t>ur</w:t>
            </w:r>
            <w:r w:rsidRPr="003476AC">
              <w:rPr>
                <w:rFonts w:ascii="Arial" w:eastAsia="Calibri" w:hAnsi="Arial" w:cs="Arial"/>
                <w:i/>
                <w:sz w:val="20"/>
                <w:szCs w:val="20"/>
              </w:rPr>
              <w:t>es</w:t>
            </w:r>
          </w:p>
          <w:p w14:paraId="226D0441" w14:textId="77777777" w:rsidR="00AE1EE8" w:rsidRPr="00AE1EE8" w:rsidRDefault="00AE1EE8" w:rsidP="00AE1EE8">
            <w:pPr>
              <w:spacing w:before="0" w:after="160" w:line="259" w:lineRule="auto"/>
              <w:ind w:left="340" w:right="58"/>
              <w:rPr>
                <w:rFonts w:cs="Arial"/>
                <w:b/>
                <w:bCs/>
                <w:i/>
                <w:iCs/>
                <w:noProof/>
                <w:sz w:val="20"/>
                <w:szCs w:val="20"/>
                <w:lang w:val="en-GB"/>
              </w:rPr>
            </w:pPr>
          </w:p>
        </w:tc>
      </w:tr>
      <w:tr w:rsidR="00303F74" w:rsidRPr="003C1B8B" w14:paraId="4D62AA9F" w14:textId="77777777" w:rsidTr="00303F74">
        <w:trPr>
          <w:trHeight w:val="1686"/>
        </w:trPr>
        <w:tc>
          <w:tcPr>
            <w:tcW w:w="1116" w:type="pct"/>
            <w:vMerge/>
            <w:shd w:val="clear" w:color="auto" w:fill="D9D9D9" w:themeFill="background1" w:themeFillShade="D9"/>
          </w:tcPr>
          <w:p w14:paraId="15968176" w14:textId="77777777" w:rsidR="00303F74" w:rsidRPr="003C1B8B" w:rsidRDefault="00303F74" w:rsidP="00303F74">
            <w:pPr>
              <w:spacing w:before="0" w:after="0"/>
              <w:ind w:right="-37"/>
              <w:contextualSpacing/>
              <w:jc w:val="left"/>
              <w:rPr>
                <w:rFonts w:ascii="Arial" w:hAnsi="Arial" w:cs="Arial"/>
                <w:i/>
                <w:color w:val="C00000"/>
                <w:sz w:val="18"/>
                <w:szCs w:val="18"/>
                <w:lang w:val="en-GB"/>
              </w:rPr>
            </w:pPr>
          </w:p>
        </w:tc>
        <w:tc>
          <w:tcPr>
            <w:tcW w:w="124" w:type="pct"/>
            <w:shd w:val="clear" w:color="auto" w:fill="FFFFFF" w:themeFill="background1"/>
          </w:tcPr>
          <w:p w14:paraId="49F157D8" w14:textId="77777777" w:rsidR="00303F74" w:rsidRPr="003C1B8B" w:rsidRDefault="00303F74" w:rsidP="00303F74">
            <w:pPr>
              <w:spacing w:before="0" w:after="0"/>
              <w:ind w:left="737" w:right="58"/>
              <w:rPr>
                <w:noProof/>
                <w:sz w:val="22"/>
                <w:szCs w:val="22"/>
                <w:lang w:val="en-GB"/>
              </w:rPr>
            </w:pPr>
          </w:p>
        </w:tc>
        <w:tc>
          <w:tcPr>
            <w:tcW w:w="3760" w:type="pct"/>
            <w:gridSpan w:val="6"/>
          </w:tcPr>
          <w:p w14:paraId="6E5CDE1F" w14:textId="77777777" w:rsidR="00303F74" w:rsidRPr="003476AC" w:rsidRDefault="00303F74" w:rsidP="00303F74">
            <w:pPr>
              <w:spacing w:before="0" w:after="0"/>
              <w:rPr>
                <w:rFonts w:ascii="Arial" w:hAnsi="Arial" w:cs="Arial"/>
                <w:b/>
                <w:i/>
                <w:iCs/>
                <w:sz w:val="20"/>
                <w:szCs w:val="20"/>
                <w:lang w:val="en-GB"/>
              </w:rPr>
            </w:pPr>
            <w:r w:rsidRPr="003476AC">
              <w:rPr>
                <w:rFonts w:cs="Arial"/>
                <w:b/>
                <w:i/>
                <w:iCs/>
                <w:noProof/>
                <w:sz w:val="20"/>
                <w:szCs w:val="20"/>
                <w:lang w:val="en-GB"/>
              </w:rPr>
              <mc:AlternateContent>
                <mc:Choice Requires="wps">
                  <w:drawing>
                    <wp:anchor distT="0" distB="0" distL="114300" distR="114300" simplePos="0" relativeHeight="251700224" behindDoc="0" locked="0" layoutInCell="1" allowOverlap="1" wp14:anchorId="0A5839D0" wp14:editId="75AE9370">
                      <wp:simplePos x="0" y="0"/>
                      <wp:positionH relativeFrom="column">
                        <wp:posOffset>-4445</wp:posOffset>
                      </wp:positionH>
                      <wp:positionV relativeFrom="page">
                        <wp:posOffset>2540</wp:posOffset>
                      </wp:positionV>
                      <wp:extent cx="130175" cy="130175"/>
                      <wp:effectExtent l="0" t="0" r="3175" b="3175"/>
                      <wp:wrapNone/>
                      <wp:docPr id="8" name="Oval 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txbx>
                              <w:txbxContent>
                                <w:p w14:paraId="2F899B07" w14:textId="77777777" w:rsidR="00303F74" w:rsidRDefault="00303F74" w:rsidP="003C1B8B">
                                  <w:pPr>
                                    <w:jc w:val="center"/>
                                  </w:pPr>
                                </w:p>
                                <w:p w14:paraId="4D0D2D70" w14:textId="77777777" w:rsidR="00303F74" w:rsidRDefault="00303F74" w:rsidP="003C1B8B">
                                  <w:pPr>
                                    <w:jc w:val="center"/>
                                  </w:pPr>
                                </w:p>
                                <w:p w14:paraId="0D950FFC" w14:textId="77777777" w:rsidR="00303F74" w:rsidRDefault="00303F74" w:rsidP="003C1B8B">
                                  <w:pPr>
                                    <w:jc w:val="center"/>
                                  </w:pPr>
                                  <w:r>
                                    <w:t xml:space="preserve"> ]</w:t>
                                  </w:r>
                                </w:p>
                                <w:p w14:paraId="2A92F869" w14:textId="77777777" w:rsidR="00303F74" w:rsidRDefault="00303F74" w:rsidP="003C1B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839D0" id="Oval 8" o:spid="_x0000_s1026" style="position:absolute;left:0;text-align:left;margin-left:-.35pt;margin-top:.2pt;width:10.25pt;height:1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" fillcolor="#d0cece" stroked="f" strokeweight="1pt">
                      <v:stroke joinstyle="miter"/>
                      <v:textbox>
                        <w:txbxContent>
                          <w:p w14:paraId="2F899B07" w14:textId="77777777" w:rsidR="00303F74" w:rsidRDefault="00303F74" w:rsidP="003C1B8B">
                            <w:pPr>
                              <w:jc w:val="center"/>
                            </w:pPr>
                          </w:p>
                          <w:p w14:paraId="4D0D2D70" w14:textId="77777777" w:rsidR="00303F74" w:rsidRDefault="00303F74" w:rsidP="003C1B8B">
                            <w:pPr>
                              <w:jc w:val="center"/>
                            </w:pPr>
                          </w:p>
                          <w:p w14:paraId="0D950FFC" w14:textId="77777777" w:rsidR="00303F74" w:rsidRDefault="00303F74" w:rsidP="003C1B8B">
                            <w:pPr>
                              <w:jc w:val="center"/>
                            </w:pPr>
                            <w:r>
                              <w:t xml:space="preserve"> ]</w:t>
                            </w:r>
                          </w:p>
                          <w:p w14:paraId="2A92F869" w14:textId="77777777" w:rsidR="00303F74" w:rsidRDefault="00303F74" w:rsidP="003C1B8B">
                            <w:pPr>
                              <w:jc w:val="center"/>
                            </w:pPr>
                          </w:p>
                        </w:txbxContent>
                      </v:textbox>
                      <w10:wrap anchory="page"/>
                    </v:oval>
                  </w:pict>
                </mc:Fallback>
              </mc:AlternateContent>
            </w:r>
            <w:r w:rsidR="00A84E85" w:rsidRPr="003476AC">
              <w:rPr>
                <w:rFonts w:ascii="Arial" w:hAnsi="Arial" w:cs="Arial"/>
                <w:b/>
                <w:i/>
                <w:iCs/>
                <w:sz w:val="20"/>
                <w:szCs w:val="20"/>
                <w:lang w:val="en-GB"/>
              </w:rPr>
              <w:t xml:space="preserve">     </w:t>
            </w:r>
            <w:r w:rsidRPr="003476AC">
              <w:rPr>
                <w:rFonts w:ascii="Arial" w:hAnsi="Arial" w:cs="Arial"/>
                <w:b/>
                <w:i/>
                <w:iCs/>
                <w:sz w:val="20"/>
                <w:szCs w:val="20"/>
                <w:lang w:val="en-GB"/>
              </w:rPr>
              <w:t>What is the minimum share of investments in transitional and enabling activities?</w:t>
            </w:r>
          </w:p>
          <w:p w14:paraId="676E6AA2" w14:textId="77777777" w:rsidR="00AE1EE8" w:rsidRPr="003476AC" w:rsidRDefault="00AE1EE8" w:rsidP="00303F74">
            <w:pPr>
              <w:spacing w:before="0" w:after="0"/>
              <w:rPr>
                <w:rFonts w:ascii="Arial" w:hAnsi="Arial" w:cs="Arial"/>
                <w:b/>
                <w:i/>
                <w:iCs/>
                <w:sz w:val="20"/>
                <w:szCs w:val="20"/>
                <w:lang w:val="en-GB"/>
              </w:rPr>
            </w:pPr>
          </w:p>
          <w:p w14:paraId="569C8337" w14:textId="11FDA431" w:rsidR="00AE1EE8" w:rsidRPr="003476AC" w:rsidRDefault="00AE1EE8" w:rsidP="00303F74">
            <w:pPr>
              <w:spacing w:before="0" w:after="0"/>
              <w:rPr>
                <w:rFonts w:ascii="Arial" w:hAnsi="Arial" w:cs="Arial"/>
                <w:b/>
                <w:sz w:val="20"/>
                <w:szCs w:val="20"/>
                <w:lang w:val="en-GB"/>
              </w:rPr>
            </w:pPr>
            <w:r w:rsidRPr="003476AC">
              <w:rPr>
                <w:rFonts w:ascii="Arial" w:hAnsi="Arial" w:cs="Arial"/>
                <w:sz w:val="20"/>
                <w:szCs w:val="20"/>
                <w:lang w:val="en-GB"/>
              </w:rPr>
              <w:t>The Fund does not currently commit to investing more than 0% of its assets in transitional and enabling activities.</w:t>
            </w:r>
          </w:p>
        </w:tc>
      </w:tr>
      <w:tr w:rsidR="00303F74" w:rsidRPr="003C1B8B" w14:paraId="40BE1A1D" w14:textId="77777777" w:rsidTr="00303F74">
        <w:trPr>
          <w:trHeight w:val="1836"/>
        </w:trPr>
        <w:tc>
          <w:tcPr>
            <w:tcW w:w="1116" w:type="pct"/>
            <w:vMerge/>
            <w:shd w:val="clear" w:color="auto" w:fill="D9D9D9" w:themeFill="background1" w:themeFillShade="D9"/>
          </w:tcPr>
          <w:p w14:paraId="487762A8" w14:textId="77777777" w:rsidR="00303F74" w:rsidRPr="003C1B8B" w:rsidRDefault="00303F74" w:rsidP="00303F74">
            <w:pPr>
              <w:spacing w:before="0" w:after="0"/>
              <w:ind w:right="-37"/>
              <w:contextualSpacing/>
              <w:jc w:val="left"/>
              <w:rPr>
                <w:rFonts w:ascii="Arial" w:hAnsi="Arial" w:cs="Arial"/>
                <w:i/>
                <w:color w:val="C00000"/>
                <w:sz w:val="18"/>
                <w:szCs w:val="18"/>
                <w:lang w:val="en-GB"/>
              </w:rPr>
            </w:pPr>
          </w:p>
        </w:tc>
        <w:tc>
          <w:tcPr>
            <w:tcW w:w="124" w:type="pct"/>
            <w:shd w:val="clear" w:color="auto" w:fill="FFFFFF" w:themeFill="background1"/>
          </w:tcPr>
          <w:p w14:paraId="2710B21C" w14:textId="77777777" w:rsidR="00303F74" w:rsidRPr="003C1B8B" w:rsidRDefault="00303F74" w:rsidP="00303F74">
            <w:pPr>
              <w:spacing w:before="0" w:after="0"/>
              <w:ind w:left="737" w:right="58"/>
              <w:rPr>
                <w:noProof/>
                <w:sz w:val="22"/>
                <w:szCs w:val="22"/>
                <w:lang w:val="en-GB"/>
              </w:rPr>
            </w:pPr>
          </w:p>
        </w:tc>
        <w:tc>
          <w:tcPr>
            <w:tcW w:w="3760" w:type="pct"/>
            <w:gridSpan w:val="6"/>
            <w:shd w:val="clear" w:color="auto" w:fill="FFFFFF" w:themeFill="background1"/>
          </w:tcPr>
          <w:p w14:paraId="468D95F1" w14:textId="77777777" w:rsidR="00303F74" w:rsidRPr="003476AC" w:rsidRDefault="00303F74" w:rsidP="00303F74">
            <w:pPr>
              <w:spacing w:before="0" w:after="0"/>
              <w:ind w:left="737"/>
              <w:jc w:val="left"/>
              <w:rPr>
                <w:rFonts w:ascii="Arial" w:hAnsi="Arial" w:cs="Arial"/>
                <w:b/>
                <w:bCs/>
                <w:i/>
                <w:iCs/>
                <w:noProof/>
                <w:sz w:val="20"/>
                <w:szCs w:val="20"/>
                <w:lang w:val="en-GB"/>
              </w:rPr>
            </w:pPr>
            <w:r w:rsidRPr="003476AC">
              <w:rPr>
                <w:rFonts w:cs="Arial"/>
                <w:b/>
                <w:bCs/>
                <w:noProof/>
                <w:sz w:val="20"/>
                <w:szCs w:val="20"/>
                <w:highlight w:val="yellow"/>
                <w:lang w:val="en-GB"/>
              </w:rPr>
              <w:drawing>
                <wp:anchor distT="0" distB="0" distL="114300" distR="114300" simplePos="0" relativeHeight="251693056" behindDoc="0" locked="0" layoutInCell="1" allowOverlap="1" wp14:anchorId="455B1657" wp14:editId="5274DBC0">
                  <wp:simplePos x="0" y="0"/>
                  <wp:positionH relativeFrom="leftMargin">
                    <wp:posOffset>20650</wp:posOffset>
                  </wp:positionH>
                  <wp:positionV relativeFrom="page">
                    <wp:posOffset>1549</wp:posOffset>
                  </wp:positionV>
                  <wp:extent cx="359410" cy="359410"/>
                  <wp:effectExtent l="0" t="0" r="2540" b="2540"/>
                  <wp:wrapSquare wrapText="bothSides"/>
                  <wp:docPr id="19"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3476AC">
              <w:rPr>
                <w:rFonts w:ascii="Arial" w:hAnsi="Arial" w:cs="Arial"/>
                <w:b/>
                <w:bCs/>
                <w:spacing w:val="1"/>
                <w:sz w:val="20"/>
                <w:szCs w:val="20"/>
                <w:lang w:val="en-GB"/>
              </w:rPr>
              <w:t>Wh</w:t>
            </w:r>
            <w:r w:rsidRPr="003476AC">
              <w:rPr>
                <w:rFonts w:ascii="Arial" w:hAnsi="Arial" w:cs="Arial"/>
                <w:b/>
                <w:bCs/>
                <w:spacing w:val="-1"/>
                <w:sz w:val="20"/>
                <w:szCs w:val="20"/>
                <w:lang w:val="en-GB"/>
              </w:rPr>
              <w:t>a</w:t>
            </w:r>
            <w:r w:rsidRPr="003476AC">
              <w:rPr>
                <w:rFonts w:ascii="Arial" w:hAnsi="Arial" w:cs="Arial"/>
                <w:b/>
                <w:bCs/>
                <w:sz w:val="20"/>
                <w:szCs w:val="20"/>
                <w:lang w:val="en-GB"/>
              </w:rPr>
              <w:t>t</w:t>
            </w:r>
            <w:r w:rsidRPr="003476AC">
              <w:rPr>
                <w:rFonts w:ascii="Arial" w:hAnsi="Arial" w:cs="Arial"/>
                <w:b/>
                <w:bCs/>
                <w:spacing w:val="3"/>
                <w:sz w:val="20"/>
                <w:szCs w:val="20"/>
                <w:lang w:val="en-GB"/>
              </w:rPr>
              <w:t xml:space="preserve"> </w:t>
            </w:r>
            <w:r w:rsidRPr="003476AC">
              <w:rPr>
                <w:rFonts w:ascii="Arial" w:hAnsi="Arial" w:cs="Arial"/>
                <w:b/>
                <w:bCs/>
                <w:spacing w:val="1"/>
                <w:sz w:val="20"/>
                <w:szCs w:val="20"/>
                <w:lang w:val="en-GB"/>
              </w:rPr>
              <w:t>i</w:t>
            </w:r>
            <w:r w:rsidRPr="003476AC">
              <w:rPr>
                <w:rFonts w:ascii="Arial" w:hAnsi="Arial" w:cs="Arial"/>
                <w:b/>
                <w:bCs/>
                <w:sz w:val="20"/>
                <w:szCs w:val="20"/>
                <w:lang w:val="en-GB"/>
              </w:rPr>
              <w:t xml:space="preserve">s </w:t>
            </w:r>
            <w:r w:rsidRPr="003476AC">
              <w:rPr>
                <w:rFonts w:ascii="Arial" w:hAnsi="Arial" w:cs="Arial"/>
                <w:b/>
                <w:bCs/>
                <w:spacing w:val="1"/>
                <w:sz w:val="20"/>
                <w:szCs w:val="20"/>
                <w:lang w:val="en-GB"/>
              </w:rPr>
              <w:t>th</w:t>
            </w:r>
            <w:r w:rsidRPr="003476AC">
              <w:rPr>
                <w:rFonts w:ascii="Arial" w:hAnsi="Arial" w:cs="Arial"/>
                <w:b/>
                <w:bCs/>
                <w:sz w:val="20"/>
                <w:szCs w:val="20"/>
                <w:lang w:val="en-GB"/>
              </w:rPr>
              <w:t>e</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mi</w:t>
            </w:r>
            <w:r w:rsidRPr="003476AC">
              <w:rPr>
                <w:rFonts w:ascii="Arial" w:hAnsi="Arial" w:cs="Arial"/>
                <w:b/>
                <w:bCs/>
                <w:spacing w:val="1"/>
                <w:sz w:val="20"/>
                <w:szCs w:val="20"/>
                <w:lang w:val="en-GB"/>
              </w:rPr>
              <w:t>ni</w:t>
            </w:r>
            <w:r w:rsidRPr="003476AC">
              <w:rPr>
                <w:rFonts w:ascii="Arial" w:hAnsi="Arial" w:cs="Arial"/>
                <w:b/>
                <w:bCs/>
                <w:spacing w:val="-1"/>
                <w:sz w:val="20"/>
                <w:szCs w:val="20"/>
                <w:lang w:val="en-GB"/>
              </w:rPr>
              <w:t>m</w:t>
            </w:r>
            <w:r w:rsidRPr="003476AC">
              <w:rPr>
                <w:rFonts w:ascii="Arial" w:hAnsi="Arial" w:cs="Arial"/>
                <w:b/>
                <w:bCs/>
                <w:spacing w:val="-2"/>
                <w:sz w:val="20"/>
                <w:szCs w:val="20"/>
                <w:lang w:val="en-GB"/>
              </w:rPr>
              <w:t>u</w:t>
            </w:r>
            <w:r w:rsidRPr="003476AC">
              <w:rPr>
                <w:rFonts w:ascii="Arial" w:hAnsi="Arial" w:cs="Arial"/>
                <w:b/>
                <w:bCs/>
                <w:sz w:val="20"/>
                <w:szCs w:val="20"/>
                <w:lang w:val="en-GB"/>
              </w:rPr>
              <w:t>m</w:t>
            </w:r>
            <w:r w:rsidRPr="003476AC">
              <w:rPr>
                <w:rFonts w:ascii="Arial" w:hAnsi="Arial" w:cs="Arial"/>
                <w:b/>
                <w:bCs/>
                <w:spacing w:val="2"/>
                <w:sz w:val="20"/>
                <w:szCs w:val="20"/>
                <w:lang w:val="en-GB"/>
              </w:rPr>
              <w:t xml:space="preserve"> </w:t>
            </w:r>
            <w:r w:rsidRPr="003476AC">
              <w:rPr>
                <w:rFonts w:ascii="Arial" w:hAnsi="Arial" w:cs="Arial"/>
                <w:b/>
                <w:bCs/>
                <w:sz w:val="20"/>
                <w:szCs w:val="20"/>
                <w:lang w:val="en-GB"/>
              </w:rPr>
              <w:t>s</w:t>
            </w:r>
            <w:r w:rsidRPr="003476AC">
              <w:rPr>
                <w:rFonts w:ascii="Arial" w:hAnsi="Arial" w:cs="Arial"/>
                <w:b/>
                <w:bCs/>
                <w:spacing w:val="1"/>
                <w:sz w:val="20"/>
                <w:szCs w:val="20"/>
                <w:lang w:val="en-GB"/>
              </w:rPr>
              <w:t>h</w:t>
            </w:r>
            <w:r w:rsidRPr="003476AC">
              <w:rPr>
                <w:rFonts w:ascii="Arial" w:hAnsi="Arial" w:cs="Arial"/>
                <w:b/>
                <w:bCs/>
                <w:spacing w:val="-1"/>
                <w:sz w:val="20"/>
                <w:szCs w:val="20"/>
                <w:lang w:val="en-GB"/>
              </w:rPr>
              <w:t>a</w:t>
            </w:r>
            <w:r w:rsidRPr="003476AC">
              <w:rPr>
                <w:rFonts w:ascii="Arial" w:hAnsi="Arial" w:cs="Arial"/>
                <w:b/>
                <w:bCs/>
                <w:spacing w:val="1"/>
                <w:sz w:val="20"/>
                <w:szCs w:val="20"/>
                <w:lang w:val="en-GB"/>
              </w:rPr>
              <w:t>r</w:t>
            </w:r>
            <w:r w:rsidRPr="003476AC">
              <w:rPr>
                <w:rFonts w:ascii="Arial" w:hAnsi="Arial" w:cs="Arial"/>
                <w:b/>
                <w:bCs/>
                <w:sz w:val="20"/>
                <w:szCs w:val="20"/>
                <w:lang w:val="en-GB"/>
              </w:rPr>
              <w:t>e</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o</w:t>
            </w:r>
            <w:r w:rsidRPr="003476AC">
              <w:rPr>
                <w:rFonts w:ascii="Arial" w:hAnsi="Arial" w:cs="Arial"/>
                <w:b/>
                <w:bCs/>
                <w:sz w:val="20"/>
                <w:szCs w:val="20"/>
                <w:lang w:val="en-GB"/>
              </w:rPr>
              <w:t>f</w:t>
            </w:r>
            <w:r w:rsidRPr="003476AC">
              <w:rPr>
                <w:rFonts w:ascii="Arial" w:hAnsi="Arial" w:cs="Arial"/>
                <w:b/>
                <w:bCs/>
                <w:spacing w:val="3"/>
                <w:sz w:val="20"/>
                <w:szCs w:val="20"/>
                <w:lang w:val="en-GB"/>
              </w:rPr>
              <w:t xml:space="preserve"> </w:t>
            </w:r>
            <w:r w:rsidRPr="003476AC">
              <w:rPr>
                <w:rFonts w:ascii="Arial" w:hAnsi="Arial" w:cs="Arial"/>
                <w:b/>
                <w:bCs/>
                <w:spacing w:val="-2"/>
                <w:sz w:val="20"/>
                <w:szCs w:val="20"/>
                <w:lang w:val="en-GB"/>
              </w:rPr>
              <w:t>s</w:t>
            </w:r>
            <w:r w:rsidRPr="003476AC">
              <w:rPr>
                <w:rFonts w:ascii="Arial" w:hAnsi="Arial" w:cs="Arial"/>
                <w:b/>
                <w:bCs/>
                <w:spacing w:val="1"/>
                <w:sz w:val="20"/>
                <w:szCs w:val="20"/>
                <w:lang w:val="en-GB"/>
              </w:rPr>
              <w:t>u</w:t>
            </w:r>
            <w:r w:rsidRPr="003476AC">
              <w:rPr>
                <w:rFonts w:ascii="Arial" w:hAnsi="Arial" w:cs="Arial"/>
                <w:b/>
                <w:bCs/>
                <w:sz w:val="20"/>
                <w:szCs w:val="20"/>
                <w:lang w:val="en-GB"/>
              </w:rPr>
              <w:t>s</w:t>
            </w:r>
            <w:r w:rsidRPr="003476AC">
              <w:rPr>
                <w:rFonts w:ascii="Arial" w:hAnsi="Arial" w:cs="Arial"/>
                <w:b/>
                <w:bCs/>
                <w:spacing w:val="1"/>
                <w:sz w:val="20"/>
                <w:szCs w:val="20"/>
                <w:lang w:val="en-GB"/>
              </w:rPr>
              <w:t>t</w:t>
            </w:r>
            <w:r w:rsidRPr="003476AC">
              <w:rPr>
                <w:rFonts w:ascii="Arial" w:hAnsi="Arial" w:cs="Arial"/>
                <w:b/>
                <w:bCs/>
                <w:spacing w:val="-1"/>
                <w:sz w:val="20"/>
                <w:szCs w:val="20"/>
                <w:lang w:val="en-GB"/>
              </w:rPr>
              <w:t>a</w:t>
            </w:r>
            <w:r w:rsidRPr="003476AC">
              <w:rPr>
                <w:rFonts w:ascii="Arial" w:hAnsi="Arial" w:cs="Arial"/>
                <w:b/>
                <w:bCs/>
                <w:spacing w:val="1"/>
                <w:sz w:val="20"/>
                <w:szCs w:val="20"/>
                <w:lang w:val="en-GB"/>
              </w:rPr>
              <w:t>in</w:t>
            </w:r>
            <w:r w:rsidRPr="003476AC">
              <w:rPr>
                <w:rFonts w:ascii="Arial" w:hAnsi="Arial" w:cs="Arial"/>
                <w:b/>
                <w:bCs/>
                <w:spacing w:val="-3"/>
                <w:sz w:val="20"/>
                <w:szCs w:val="20"/>
                <w:lang w:val="en-GB"/>
              </w:rPr>
              <w:t>a</w:t>
            </w:r>
            <w:r w:rsidRPr="003476AC">
              <w:rPr>
                <w:rFonts w:ascii="Arial" w:hAnsi="Arial" w:cs="Arial"/>
                <w:b/>
                <w:bCs/>
                <w:spacing w:val="1"/>
                <w:sz w:val="20"/>
                <w:szCs w:val="20"/>
                <w:lang w:val="en-GB"/>
              </w:rPr>
              <w:t>bl</w:t>
            </w:r>
            <w:r w:rsidRPr="003476AC">
              <w:rPr>
                <w:rFonts w:ascii="Arial" w:hAnsi="Arial" w:cs="Arial"/>
                <w:b/>
                <w:bCs/>
                <w:sz w:val="20"/>
                <w:szCs w:val="20"/>
                <w:lang w:val="en-GB"/>
              </w:rPr>
              <w:t>e</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in</w:t>
            </w:r>
            <w:r w:rsidRPr="003476AC">
              <w:rPr>
                <w:rFonts w:ascii="Arial" w:hAnsi="Arial" w:cs="Arial"/>
                <w:b/>
                <w:bCs/>
                <w:spacing w:val="-1"/>
                <w:sz w:val="20"/>
                <w:szCs w:val="20"/>
                <w:lang w:val="en-GB"/>
              </w:rPr>
              <w:t>ve</w:t>
            </w:r>
            <w:r w:rsidRPr="003476AC">
              <w:rPr>
                <w:rFonts w:ascii="Arial" w:hAnsi="Arial" w:cs="Arial"/>
                <w:b/>
                <w:bCs/>
                <w:sz w:val="20"/>
                <w:szCs w:val="20"/>
                <w:lang w:val="en-GB"/>
              </w:rPr>
              <w:t>s</w:t>
            </w:r>
            <w:r w:rsidRPr="003476AC">
              <w:rPr>
                <w:rFonts w:ascii="Arial" w:hAnsi="Arial" w:cs="Arial"/>
                <w:b/>
                <w:bCs/>
                <w:spacing w:val="1"/>
                <w:sz w:val="20"/>
                <w:szCs w:val="20"/>
                <w:lang w:val="en-GB"/>
              </w:rPr>
              <w:t>t</w:t>
            </w:r>
            <w:r w:rsidRPr="003476AC">
              <w:rPr>
                <w:rFonts w:ascii="Arial" w:hAnsi="Arial" w:cs="Arial"/>
                <w:b/>
                <w:bCs/>
                <w:spacing w:val="-1"/>
                <w:sz w:val="20"/>
                <w:szCs w:val="20"/>
                <w:lang w:val="en-GB"/>
              </w:rPr>
              <w:t>me</w:t>
            </w:r>
            <w:r w:rsidRPr="003476AC">
              <w:rPr>
                <w:rFonts w:ascii="Arial" w:hAnsi="Arial" w:cs="Arial"/>
                <w:b/>
                <w:bCs/>
                <w:spacing w:val="1"/>
                <w:sz w:val="20"/>
                <w:szCs w:val="20"/>
                <w:lang w:val="en-GB"/>
              </w:rPr>
              <w:t>nt</w:t>
            </w:r>
            <w:r w:rsidRPr="003476AC">
              <w:rPr>
                <w:rFonts w:ascii="Arial" w:hAnsi="Arial" w:cs="Arial"/>
                <w:b/>
                <w:bCs/>
                <w:sz w:val="20"/>
                <w:szCs w:val="20"/>
                <w:lang w:val="en-GB"/>
              </w:rPr>
              <w:t>s</w:t>
            </w:r>
            <w:r w:rsidRPr="003476AC">
              <w:rPr>
                <w:rFonts w:ascii="Arial" w:hAnsi="Arial" w:cs="Arial"/>
                <w:b/>
                <w:bCs/>
                <w:spacing w:val="1"/>
                <w:sz w:val="20"/>
                <w:szCs w:val="20"/>
                <w:lang w:val="en-GB"/>
              </w:rPr>
              <w:t xml:space="preserve"> w</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t</w:t>
            </w:r>
            <w:r w:rsidRPr="003476AC">
              <w:rPr>
                <w:rFonts w:ascii="Arial" w:hAnsi="Arial" w:cs="Arial"/>
                <w:b/>
                <w:bCs/>
                <w:sz w:val="20"/>
                <w:szCs w:val="20"/>
                <w:lang w:val="en-GB"/>
              </w:rPr>
              <w:t>h</w:t>
            </w:r>
            <w:r w:rsidRPr="003476AC">
              <w:rPr>
                <w:rFonts w:ascii="Arial" w:hAnsi="Arial" w:cs="Arial"/>
                <w:b/>
                <w:bCs/>
                <w:spacing w:val="1"/>
                <w:sz w:val="20"/>
                <w:szCs w:val="20"/>
                <w:lang w:val="en-GB"/>
              </w:rPr>
              <w:t xml:space="preserve"> </w:t>
            </w:r>
            <w:r w:rsidRPr="003476AC">
              <w:rPr>
                <w:rFonts w:ascii="Arial" w:hAnsi="Arial" w:cs="Arial"/>
                <w:b/>
                <w:bCs/>
                <w:spacing w:val="-1"/>
                <w:sz w:val="20"/>
                <w:szCs w:val="20"/>
                <w:lang w:val="en-GB"/>
              </w:rPr>
              <w:t>a</w:t>
            </w:r>
            <w:r w:rsidRPr="003476AC">
              <w:rPr>
                <w:rFonts w:ascii="Arial" w:hAnsi="Arial" w:cs="Arial"/>
                <w:b/>
                <w:bCs/>
                <w:sz w:val="20"/>
                <w:szCs w:val="20"/>
                <w:lang w:val="en-GB"/>
              </w:rPr>
              <w:t xml:space="preserve">n </w:t>
            </w:r>
            <w:r w:rsidRPr="003476AC">
              <w:rPr>
                <w:rFonts w:ascii="Arial" w:hAnsi="Arial" w:cs="Arial"/>
                <w:b/>
                <w:bCs/>
                <w:spacing w:val="-1"/>
                <w:sz w:val="20"/>
                <w:szCs w:val="20"/>
                <w:lang w:val="en-GB"/>
              </w:rPr>
              <w:t>e</w:t>
            </w:r>
            <w:r w:rsidRPr="003476AC">
              <w:rPr>
                <w:rFonts w:ascii="Arial" w:hAnsi="Arial" w:cs="Arial"/>
                <w:b/>
                <w:bCs/>
                <w:spacing w:val="1"/>
                <w:sz w:val="20"/>
                <w:szCs w:val="20"/>
                <w:lang w:val="en-GB"/>
              </w:rPr>
              <w:t>n</w:t>
            </w:r>
            <w:r w:rsidRPr="003476AC">
              <w:rPr>
                <w:rFonts w:ascii="Arial" w:hAnsi="Arial" w:cs="Arial"/>
                <w:b/>
                <w:bCs/>
                <w:spacing w:val="-1"/>
                <w:sz w:val="20"/>
                <w:szCs w:val="20"/>
                <w:lang w:val="en-GB"/>
              </w:rPr>
              <w:t>v</w:t>
            </w:r>
            <w:r w:rsidRPr="003476AC">
              <w:rPr>
                <w:rFonts w:ascii="Arial" w:hAnsi="Arial" w:cs="Arial"/>
                <w:b/>
                <w:bCs/>
                <w:spacing w:val="1"/>
                <w:sz w:val="20"/>
                <w:szCs w:val="20"/>
                <w:lang w:val="en-GB"/>
              </w:rPr>
              <w:t>iron</w:t>
            </w:r>
            <w:r w:rsidRPr="003476AC">
              <w:rPr>
                <w:rFonts w:ascii="Arial" w:hAnsi="Arial" w:cs="Arial"/>
                <w:b/>
                <w:bCs/>
                <w:spacing w:val="-1"/>
                <w:sz w:val="20"/>
                <w:szCs w:val="20"/>
                <w:lang w:val="en-GB"/>
              </w:rPr>
              <w:t>me</w:t>
            </w:r>
            <w:r w:rsidRPr="003476AC">
              <w:rPr>
                <w:rFonts w:ascii="Arial" w:hAnsi="Arial" w:cs="Arial"/>
                <w:b/>
                <w:bCs/>
                <w:spacing w:val="1"/>
                <w:sz w:val="20"/>
                <w:szCs w:val="20"/>
                <w:lang w:val="en-GB"/>
              </w:rPr>
              <w:t>nt</w:t>
            </w:r>
            <w:r w:rsidRPr="003476AC">
              <w:rPr>
                <w:rFonts w:ascii="Arial" w:hAnsi="Arial" w:cs="Arial"/>
                <w:b/>
                <w:bCs/>
                <w:spacing w:val="-1"/>
                <w:sz w:val="20"/>
                <w:szCs w:val="20"/>
                <w:lang w:val="en-GB"/>
              </w:rPr>
              <w:t>a</w:t>
            </w:r>
            <w:r w:rsidRPr="003476AC">
              <w:rPr>
                <w:rFonts w:ascii="Arial" w:hAnsi="Arial" w:cs="Arial"/>
                <w:b/>
                <w:bCs/>
                <w:sz w:val="20"/>
                <w:szCs w:val="20"/>
                <w:lang w:val="en-GB"/>
              </w:rPr>
              <w:t>l</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o</w:t>
            </w:r>
            <w:r w:rsidRPr="003476AC">
              <w:rPr>
                <w:rFonts w:ascii="Arial" w:hAnsi="Arial" w:cs="Arial"/>
                <w:b/>
                <w:bCs/>
                <w:spacing w:val="-2"/>
                <w:sz w:val="20"/>
                <w:szCs w:val="20"/>
                <w:lang w:val="en-GB"/>
              </w:rPr>
              <w:t>b</w:t>
            </w:r>
            <w:r w:rsidRPr="003476AC">
              <w:rPr>
                <w:rFonts w:ascii="Arial" w:hAnsi="Arial" w:cs="Arial"/>
                <w:b/>
                <w:bCs/>
                <w:spacing w:val="1"/>
                <w:sz w:val="20"/>
                <w:szCs w:val="20"/>
                <w:lang w:val="en-GB"/>
              </w:rPr>
              <w:t>j</w:t>
            </w:r>
            <w:r w:rsidRPr="003476AC">
              <w:rPr>
                <w:rFonts w:ascii="Arial" w:hAnsi="Arial" w:cs="Arial"/>
                <w:b/>
                <w:bCs/>
                <w:spacing w:val="-1"/>
                <w:sz w:val="20"/>
                <w:szCs w:val="20"/>
                <w:lang w:val="en-GB"/>
              </w:rPr>
              <w:t>e</w:t>
            </w:r>
            <w:r w:rsidRPr="003476AC">
              <w:rPr>
                <w:rFonts w:ascii="Arial" w:hAnsi="Arial" w:cs="Arial"/>
                <w:b/>
                <w:bCs/>
                <w:sz w:val="20"/>
                <w:szCs w:val="20"/>
                <w:lang w:val="en-GB"/>
              </w:rPr>
              <w:t>c</w:t>
            </w:r>
            <w:r w:rsidRPr="003476AC">
              <w:rPr>
                <w:rFonts w:ascii="Arial" w:hAnsi="Arial" w:cs="Arial"/>
                <w:b/>
                <w:bCs/>
                <w:spacing w:val="1"/>
                <w:sz w:val="20"/>
                <w:szCs w:val="20"/>
                <w:lang w:val="en-GB"/>
              </w:rPr>
              <w:t>ti</w:t>
            </w:r>
            <w:r w:rsidRPr="003476AC">
              <w:rPr>
                <w:rFonts w:ascii="Arial" w:hAnsi="Arial" w:cs="Arial"/>
                <w:b/>
                <w:bCs/>
                <w:spacing w:val="-1"/>
                <w:sz w:val="20"/>
                <w:szCs w:val="20"/>
                <w:lang w:val="en-GB"/>
              </w:rPr>
              <w:t>v</w:t>
            </w:r>
            <w:r w:rsidRPr="003476AC">
              <w:rPr>
                <w:rFonts w:ascii="Arial" w:hAnsi="Arial" w:cs="Arial"/>
                <w:b/>
                <w:bCs/>
                <w:sz w:val="20"/>
                <w:szCs w:val="20"/>
                <w:lang w:val="en-GB"/>
              </w:rPr>
              <w:t xml:space="preserve">e </w:t>
            </w:r>
            <w:r w:rsidRPr="003476AC">
              <w:rPr>
                <w:rFonts w:ascii="Arial" w:hAnsi="Arial" w:cs="Arial"/>
                <w:b/>
                <w:bCs/>
                <w:spacing w:val="1"/>
                <w:sz w:val="20"/>
                <w:szCs w:val="20"/>
                <w:lang w:val="en-GB"/>
              </w:rPr>
              <w:t>th</w:t>
            </w:r>
            <w:r w:rsidRPr="003476AC">
              <w:rPr>
                <w:rFonts w:ascii="Arial" w:hAnsi="Arial" w:cs="Arial"/>
                <w:b/>
                <w:bCs/>
                <w:spacing w:val="-1"/>
                <w:sz w:val="20"/>
                <w:szCs w:val="20"/>
                <w:lang w:val="en-GB"/>
              </w:rPr>
              <w:t>a</w:t>
            </w:r>
            <w:r w:rsidRPr="003476AC">
              <w:rPr>
                <w:rFonts w:ascii="Arial" w:hAnsi="Arial" w:cs="Arial"/>
                <w:b/>
                <w:bCs/>
                <w:sz w:val="20"/>
                <w:szCs w:val="20"/>
                <w:lang w:val="en-GB"/>
              </w:rPr>
              <w:t>t</w:t>
            </w:r>
            <w:r w:rsidRPr="003476AC">
              <w:rPr>
                <w:rFonts w:ascii="Arial" w:hAnsi="Arial" w:cs="Arial"/>
                <w:b/>
                <w:bCs/>
                <w:spacing w:val="1"/>
                <w:sz w:val="20"/>
                <w:szCs w:val="20"/>
                <w:lang w:val="en-GB"/>
              </w:rPr>
              <w:t xml:space="preserve"> </w:t>
            </w:r>
            <w:r w:rsidRPr="003476AC">
              <w:rPr>
                <w:rFonts w:ascii="Arial" w:hAnsi="Arial" w:cs="Arial"/>
                <w:b/>
                <w:bCs/>
                <w:spacing w:val="-1"/>
                <w:sz w:val="20"/>
                <w:szCs w:val="20"/>
                <w:lang w:val="en-GB"/>
              </w:rPr>
              <w:t>a</w:t>
            </w:r>
            <w:r w:rsidRPr="003476AC">
              <w:rPr>
                <w:rFonts w:ascii="Arial" w:hAnsi="Arial" w:cs="Arial"/>
                <w:b/>
                <w:bCs/>
                <w:spacing w:val="1"/>
                <w:sz w:val="20"/>
                <w:szCs w:val="20"/>
                <w:lang w:val="en-GB"/>
              </w:rPr>
              <w:t>r</w:t>
            </w:r>
            <w:r w:rsidRPr="003476AC">
              <w:rPr>
                <w:rFonts w:ascii="Arial" w:hAnsi="Arial" w:cs="Arial"/>
                <w:b/>
                <w:bCs/>
                <w:sz w:val="20"/>
                <w:szCs w:val="20"/>
                <w:lang w:val="en-GB"/>
              </w:rPr>
              <w:t xml:space="preserve">e </w:t>
            </w:r>
            <w:r w:rsidRPr="003476AC">
              <w:rPr>
                <w:rFonts w:ascii="Arial" w:hAnsi="Arial" w:cs="Arial"/>
                <w:b/>
                <w:bCs/>
                <w:spacing w:val="1"/>
                <w:sz w:val="20"/>
                <w:szCs w:val="20"/>
                <w:lang w:val="en-GB"/>
              </w:rPr>
              <w:t>no</w:t>
            </w:r>
            <w:r w:rsidRPr="003476AC">
              <w:rPr>
                <w:rFonts w:ascii="Arial" w:hAnsi="Arial" w:cs="Arial"/>
                <w:b/>
                <w:bCs/>
                <w:sz w:val="20"/>
                <w:szCs w:val="20"/>
                <w:lang w:val="en-GB"/>
              </w:rPr>
              <w:t>t</w:t>
            </w:r>
            <w:r w:rsidRPr="003476AC">
              <w:rPr>
                <w:rFonts w:ascii="Arial" w:hAnsi="Arial" w:cs="Arial"/>
                <w:b/>
                <w:bCs/>
                <w:spacing w:val="1"/>
                <w:sz w:val="20"/>
                <w:szCs w:val="20"/>
                <w:lang w:val="en-GB"/>
              </w:rPr>
              <w:t xml:space="preserve"> </w:t>
            </w:r>
            <w:r w:rsidRPr="003476AC">
              <w:rPr>
                <w:rFonts w:ascii="Arial" w:hAnsi="Arial" w:cs="Arial"/>
                <w:b/>
                <w:bCs/>
                <w:spacing w:val="-1"/>
                <w:sz w:val="20"/>
                <w:szCs w:val="20"/>
                <w:lang w:val="en-GB"/>
              </w:rPr>
              <w:t>a</w:t>
            </w:r>
            <w:r w:rsidRPr="003476AC">
              <w:rPr>
                <w:rFonts w:ascii="Arial" w:hAnsi="Arial" w:cs="Arial"/>
                <w:b/>
                <w:bCs/>
                <w:spacing w:val="1"/>
                <w:sz w:val="20"/>
                <w:szCs w:val="20"/>
                <w:lang w:val="en-GB"/>
              </w:rPr>
              <w:t>li</w:t>
            </w:r>
            <w:r w:rsidRPr="003476AC">
              <w:rPr>
                <w:rFonts w:ascii="Arial" w:hAnsi="Arial" w:cs="Arial"/>
                <w:b/>
                <w:bCs/>
                <w:spacing w:val="-1"/>
                <w:sz w:val="20"/>
                <w:szCs w:val="20"/>
                <w:lang w:val="en-GB"/>
              </w:rPr>
              <w:t>g</w:t>
            </w:r>
            <w:r w:rsidRPr="003476AC">
              <w:rPr>
                <w:rFonts w:ascii="Arial" w:hAnsi="Arial" w:cs="Arial"/>
                <w:b/>
                <w:bCs/>
                <w:spacing w:val="1"/>
                <w:sz w:val="20"/>
                <w:szCs w:val="20"/>
                <w:lang w:val="en-GB"/>
              </w:rPr>
              <w:t>n</w:t>
            </w:r>
            <w:r w:rsidRPr="003476AC">
              <w:rPr>
                <w:rFonts w:ascii="Arial" w:hAnsi="Arial" w:cs="Arial"/>
                <w:b/>
                <w:bCs/>
                <w:spacing w:val="-1"/>
                <w:sz w:val="20"/>
                <w:szCs w:val="20"/>
                <w:lang w:val="en-GB"/>
              </w:rPr>
              <w:t>e</w:t>
            </w:r>
            <w:r w:rsidRPr="003476AC">
              <w:rPr>
                <w:rFonts w:ascii="Arial" w:hAnsi="Arial" w:cs="Arial"/>
                <w:b/>
                <w:bCs/>
                <w:sz w:val="20"/>
                <w:szCs w:val="20"/>
                <w:lang w:val="en-GB"/>
              </w:rPr>
              <w:t>d</w:t>
            </w:r>
            <w:r w:rsidRPr="003476AC">
              <w:rPr>
                <w:rFonts w:ascii="Arial" w:hAnsi="Arial" w:cs="Arial"/>
                <w:b/>
                <w:bCs/>
                <w:spacing w:val="1"/>
                <w:sz w:val="20"/>
                <w:szCs w:val="20"/>
                <w:lang w:val="en-GB"/>
              </w:rPr>
              <w:t xml:space="preserve"> </w:t>
            </w:r>
            <w:r w:rsidRPr="003476AC">
              <w:rPr>
                <w:rFonts w:ascii="Arial" w:hAnsi="Arial" w:cs="Arial"/>
                <w:b/>
                <w:bCs/>
                <w:spacing w:val="-1"/>
                <w:sz w:val="20"/>
                <w:szCs w:val="20"/>
                <w:lang w:val="en-GB"/>
              </w:rPr>
              <w:t>wi</w:t>
            </w:r>
            <w:r w:rsidRPr="003476AC">
              <w:rPr>
                <w:rFonts w:ascii="Arial" w:hAnsi="Arial" w:cs="Arial"/>
                <w:b/>
                <w:bCs/>
                <w:spacing w:val="1"/>
                <w:sz w:val="20"/>
                <w:szCs w:val="20"/>
                <w:lang w:val="en-GB"/>
              </w:rPr>
              <w:t>t</w:t>
            </w:r>
            <w:r w:rsidRPr="003476AC">
              <w:rPr>
                <w:rFonts w:ascii="Arial" w:hAnsi="Arial" w:cs="Arial"/>
                <w:b/>
                <w:bCs/>
                <w:sz w:val="20"/>
                <w:szCs w:val="20"/>
                <w:lang w:val="en-GB"/>
              </w:rPr>
              <w:t>h</w:t>
            </w:r>
            <w:r w:rsidRPr="003476AC">
              <w:rPr>
                <w:rFonts w:ascii="Arial" w:hAnsi="Arial" w:cs="Arial"/>
                <w:b/>
                <w:bCs/>
                <w:spacing w:val="1"/>
                <w:sz w:val="20"/>
                <w:szCs w:val="20"/>
                <w:lang w:val="en-GB"/>
              </w:rPr>
              <w:t xml:space="preserve"> th</w:t>
            </w:r>
            <w:r w:rsidRPr="003476AC">
              <w:rPr>
                <w:rFonts w:ascii="Arial" w:hAnsi="Arial" w:cs="Arial"/>
                <w:b/>
                <w:bCs/>
                <w:sz w:val="20"/>
                <w:szCs w:val="20"/>
                <w:lang w:val="en-GB"/>
              </w:rPr>
              <w:t>e</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E</w:t>
            </w:r>
            <w:r w:rsidRPr="003476AC">
              <w:rPr>
                <w:rFonts w:ascii="Arial" w:hAnsi="Arial" w:cs="Arial"/>
                <w:b/>
                <w:bCs/>
                <w:sz w:val="20"/>
                <w:szCs w:val="20"/>
                <w:lang w:val="en-GB"/>
              </w:rPr>
              <w:t xml:space="preserve">U </w:t>
            </w:r>
            <w:r w:rsidRPr="003476AC">
              <w:rPr>
                <w:rFonts w:ascii="Arial" w:hAnsi="Arial" w:cs="Arial"/>
                <w:b/>
                <w:bCs/>
                <w:spacing w:val="1"/>
                <w:sz w:val="20"/>
                <w:szCs w:val="20"/>
                <w:lang w:val="en-GB"/>
              </w:rPr>
              <w:t>T</w:t>
            </w:r>
            <w:r w:rsidRPr="003476AC">
              <w:rPr>
                <w:rFonts w:ascii="Arial" w:hAnsi="Arial" w:cs="Arial"/>
                <w:b/>
                <w:bCs/>
                <w:spacing w:val="-1"/>
                <w:sz w:val="20"/>
                <w:szCs w:val="20"/>
                <w:lang w:val="en-GB"/>
              </w:rPr>
              <w:t>a</w:t>
            </w:r>
            <w:r w:rsidRPr="003476AC">
              <w:rPr>
                <w:rFonts w:ascii="Arial" w:hAnsi="Arial" w:cs="Arial"/>
                <w:b/>
                <w:bCs/>
                <w:sz w:val="20"/>
                <w:szCs w:val="20"/>
                <w:lang w:val="en-GB"/>
              </w:rPr>
              <w:t>x</w:t>
            </w:r>
            <w:r w:rsidRPr="003476AC">
              <w:rPr>
                <w:rFonts w:ascii="Arial" w:hAnsi="Arial" w:cs="Arial"/>
                <w:b/>
                <w:bCs/>
                <w:spacing w:val="1"/>
                <w:sz w:val="20"/>
                <w:szCs w:val="20"/>
                <w:lang w:val="en-GB"/>
              </w:rPr>
              <w:t>o</w:t>
            </w:r>
            <w:r w:rsidRPr="003476AC">
              <w:rPr>
                <w:rFonts w:ascii="Arial" w:hAnsi="Arial" w:cs="Arial"/>
                <w:b/>
                <w:bCs/>
                <w:spacing w:val="-2"/>
                <w:sz w:val="20"/>
                <w:szCs w:val="20"/>
                <w:lang w:val="en-GB"/>
              </w:rPr>
              <w:t>n</w:t>
            </w:r>
            <w:r w:rsidRPr="003476AC">
              <w:rPr>
                <w:rFonts w:ascii="Arial" w:hAnsi="Arial" w:cs="Arial"/>
                <w:b/>
                <w:bCs/>
                <w:spacing w:val="1"/>
                <w:sz w:val="20"/>
                <w:szCs w:val="20"/>
                <w:lang w:val="en-GB"/>
              </w:rPr>
              <w:t>o</w:t>
            </w:r>
            <w:r w:rsidRPr="003476AC">
              <w:rPr>
                <w:rFonts w:ascii="Arial" w:hAnsi="Arial" w:cs="Arial"/>
                <w:b/>
                <w:bCs/>
                <w:spacing w:val="-1"/>
                <w:sz w:val="20"/>
                <w:szCs w:val="20"/>
                <w:lang w:val="en-GB"/>
              </w:rPr>
              <w:t>my</w:t>
            </w:r>
            <w:r w:rsidRPr="003476AC">
              <w:rPr>
                <w:rFonts w:ascii="Arial" w:hAnsi="Arial" w:cs="Arial"/>
                <w:b/>
                <w:bCs/>
                <w:sz w:val="20"/>
                <w:szCs w:val="20"/>
                <w:lang w:val="en-GB"/>
              </w:rPr>
              <w:t>?</w:t>
            </w:r>
            <w:r w:rsidRPr="003476AC">
              <w:rPr>
                <w:rFonts w:ascii="Arial" w:hAnsi="Arial" w:cs="Arial"/>
                <w:b/>
                <w:bCs/>
                <w:spacing w:val="21"/>
                <w:sz w:val="20"/>
                <w:szCs w:val="20"/>
                <w:lang w:val="en-GB"/>
              </w:rPr>
              <w:t xml:space="preserve"> </w:t>
            </w:r>
          </w:p>
        </w:tc>
      </w:tr>
      <w:tr w:rsidR="00303F74" w:rsidRPr="003C1B8B" w14:paraId="2E49CDD4" w14:textId="77777777" w:rsidTr="00303F74">
        <w:trPr>
          <w:trHeight w:val="1707"/>
        </w:trPr>
        <w:tc>
          <w:tcPr>
            <w:tcW w:w="1116" w:type="pct"/>
            <w:vMerge/>
            <w:shd w:val="clear" w:color="auto" w:fill="D9D9D9" w:themeFill="background1" w:themeFillShade="D9"/>
          </w:tcPr>
          <w:p w14:paraId="57FCA306" w14:textId="77777777" w:rsidR="00303F74" w:rsidRPr="003C1B8B" w:rsidRDefault="00303F74" w:rsidP="00303F74">
            <w:pPr>
              <w:spacing w:before="0" w:after="0"/>
              <w:ind w:right="-37"/>
              <w:contextualSpacing/>
              <w:jc w:val="left"/>
              <w:rPr>
                <w:rFonts w:ascii="Arial" w:hAnsi="Arial" w:cs="Arial"/>
                <w:i/>
                <w:color w:val="C00000"/>
                <w:sz w:val="18"/>
                <w:szCs w:val="18"/>
                <w:lang w:val="en-GB"/>
              </w:rPr>
            </w:pPr>
          </w:p>
        </w:tc>
        <w:tc>
          <w:tcPr>
            <w:tcW w:w="124" w:type="pct"/>
            <w:shd w:val="clear" w:color="auto" w:fill="FFFFFF" w:themeFill="background1"/>
          </w:tcPr>
          <w:p w14:paraId="12070AE1" w14:textId="77777777" w:rsidR="00303F74" w:rsidRPr="003C1B8B" w:rsidRDefault="00303F74" w:rsidP="00303F74">
            <w:pPr>
              <w:spacing w:before="0" w:after="0"/>
              <w:ind w:left="737" w:right="58"/>
              <w:rPr>
                <w:noProof/>
                <w:sz w:val="22"/>
                <w:szCs w:val="22"/>
                <w:lang w:val="en-GB"/>
              </w:rPr>
            </w:pPr>
          </w:p>
        </w:tc>
        <w:tc>
          <w:tcPr>
            <w:tcW w:w="3760" w:type="pct"/>
            <w:gridSpan w:val="6"/>
            <w:shd w:val="clear" w:color="auto" w:fill="FFFFFF" w:themeFill="background1"/>
          </w:tcPr>
          <w:p w14:paraId="33390A38" w14:textId="77777777" w:rsidR="00303F74" w:rsidRPr="003476AC" w:rsidRDefault="00303F74" w:rsidP="00303F74">
            <w:pPr>
              <w:spacing w:before="0" w:after="0"/>
              <w:ind w:left="737"/>
              <w:jc w:val="left"/>
              <w:rPr>
                <w:rFonts w:ascii="Arial" w:hAnsi="Arial" w:cs="Arial"/>
                <w:i/>
                <w:iCs/>
                <w:sz w:val="20"/>
                <w:szCs w:val="20"/>
                <w:lang w:val="en-GB"/>
              </w:rPr>
            </w:pPr>
            <w:r w:rsidRPr="003476AC">
              <w:rPr>
                <w:rFonts w:ascii="Arial" w:hAnsi="Arial" w:cs="Arial"/>
                <w:i/>
                <w:iCs/>
                <w:sz w:val="20"/>
                <w:szCs w:val="20"/>
                <w:lang w:val="en-GB"/>
              </w:rPr>
              <w:t>Not applicable.</w:t>
            </w:r>
          </w:p>
        </w:tc>
      </w:tr>
      <w:tr w:rsidR="00303F74" w:rsidRPr="003C1B8B" w14:paraId="514920AA" w14:textId="77777777" w:rsidTr="00303F74">
        <w:trPr>
          <w:trHeight w:val="553"/>
        </w:trPr>
        <w:tc>
          <w:tcPr>
            <w:tcW w:w="1116" w:type="pct"/>
            <w:vMerge/>
            <w:shd w:val="clear" w:color="auto" w:fill="D9D9D9" w:themeFill="background1" w:themeFillShade="D9"/>
          </w:tcPr>
          <w:p w14:paraId="6069FC6E" w14:textId="77777777" w:rsidR="00303F74" w:rsidRPr="003C1B8B" w:rsidRDefault="00303F74" w:rsidP="00303F74">
            <w:pPr>
              <w:spacing w:before="0" w:after="0"/>
              <w:ind w:right="-37"/>
              <w:contextualSpacing/>
              <w:jc w:val="left"/>
              <w:rPr>
                <w:rFonts w:ascii="Arial" w:hAnsi="Arial" w:cs="Arial"/>
                <w:i/>
                <w:color w:val="C00000"/>
                <w:sz w:val="18"/>
                <w:szCs w:val="18"/>
                <w:lang w:val="en-GB"/>
              </w:rPr>
            </w:pPr>
          </w:p>
        </w:tc>
        <w:tc>
          <w:tcPr>
            <w:tcW w:w="124" w:type="pct"/>
            <w:shd w:val="clear" w:color="auto" w:fill="FFFFFF" w:themeFill="background1"/>
          </w:tcPr>
          <w:p w14:paraId="5D05ED90" w14:textId="77777777" w:rsidR="00303F74" w:rsidRPr="003C1B8B" w:rsidRDefault="00303F74" w:rsidP="00303F74">
            <w:pPr>
              <w:spacing w:before="0" w:after="0"/>
              <w:ind w:left="737" w:right="58"/>
              <w:rPr>
                <w:noProof/>
                <w:sz w:val="22"/>
                <w:szCs w:val="22"/>
                <w:lang w:val="en-GB"/>
              </w:rPr>
            </w:pPr>
          </w:p>
        </w:tc>
        <w:tc>
          <w:tcPr>
            <w:tcW w:w="3760" w:type="pct"/>
            <w:gridSpan w:val="6"/>
          </w:tcPr>
          <w:p w14:paraId="477792D7" w14:textId="77777777" w:rsidR="00303F74" w:rsidRPr="003476AC" w:rsidRDefault="00303F74" w:rsidP="00303F74">
            <w:pPr>
              <w:spacing w:before="0" w:after="0"/>
              <w:ind w:right="58"/>
              <w:rPr>
                <w:rFonts w:ascii="Arial" w:hAnsi="Arial" w:cs="Arial"/>
                <w:b/>
                <w:bCs/>
                <w:i/>
                <w:iCs/>
                <w:noProof/>
                <w:sz w:val="20"/>
                <w:szCs w:val="20"/>
                <w:lang w:val="en-GB"/>
              </w:rPr>
            </w:pPr>
            <w:r w:rsidRPr="003476AC">
              <w:rPr>
                <w:rFonts w:cs="Arial"/>
                <w:b/>
                <w:bCs/>
                <w:noProof/>
                <w:sz w:val="20"/>
                <w:szCs w:val="20"/>
                <w:lang w:val="en-GB"/>
              </w:rPr>
              <w:drawing>
                <wp:anchor distT="0" distB="0" distL="114300" distR="114300" simplePos="0" relativeHeight="251694080" behindDoc="0" locked="0" layoutInCell="1" allowOverlap="1" wp14:anchorId="681F2DEA" wp14:editId="0F3149B2">
                  <wp:simplePos x="0" y="0"/>
                  <wp:positionH relativeFrom="column">
                    <wp:posOffset>-864</wp:posOffset>
                  </wp:positionH>
                  <wp:positionV relativeFrom="page">
                    <wp:posOffset>1727</wp:posOffset>
                  </wp:positionV>
                  <wp:extent cx="359410" cy="359410"/>
                  <wp:effectExtent l="0" t="0" r="2540" b="2540"/>
                  <wp:wrapSquare wrapText="bothSides"/>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3476AC">
              <w:rPr>
                <w:rFonts w:ascii="Arial" w:hAnsi="Arial" w:cs="Arial"/>
                <w:b/>
                <w:bCs/>
                <w:spacing w:val="1"/>
                <w:sz w:val="20"/>
                <w:szCs w:val="20"/>
                <w:lang w:val="en-GB"/>
              </w:rPr>
              <w:t>Wh</w:t>
            </w:r>
            <w:r w:rsidRPr="003476AC">
              <w:rPr>
                <w:rFonts w:ascii="Arial" w:hAnsi="Arial" w:cs="Arial"/>
                <w:b/>
                <w:bCs/>
                <w:spacing w:val="-1"/>
                <w:sz w:val="20"/>
                <w:szCs w:val="20"/>
                <w:lang w:val="en-GB"/>
              </w:rPr>
              <w:t>a</w:t>
            </w:r>
            <w:r w:rsidRPr="003476AC">
              <w:rPr>
                <w:rFonts w:ascii="Arial" w:hAnsi="Arial" w:cs="Arial"/>
                <w:b/>
                <w:bCs/>
                <w:sz w:val="20"/>
                <w:szCs w:val="20"/>
                <w:lang w:val="en-GB"/>
              </w:rPr>
              <w:t>t</w:t>
            </w:r>
            <w:r w:rsidRPr="003476AC">
              <w:rPr>
                <w:rFonts w:ascii="Arial" w:hAnsi="Arial" w:cs="Arial"/>
                <w:b/>
                <w:bCs/>
                <w:spacing w:val="4"/>
                <w:sz w:val="20"/>
                <w:szCs w:val="20"/>
                <w:lang w:val="en-GB"/>
              </w:rPr>
              <w:t xml:space="preserve"> </w:t>
            </w:r>
            <w:r w:rsidRPr="003476AC">
              <w:rPr>
                <w:rFonts w:ascii="Arial" w:hAnsi="Arial" w:cs="Arial"/>
                <w:b/>
                <w:bCs/>
                <w:spacing w:val="1"/>
                <w:sz w:val="20"/>
                <w:szCs w:val="20"/>
                <w:lang w:val="en-GB"/>
              </w:rPr>
              <w:t>i</w:t>
            </w:r>
            <w:r w:rsidRPr="003476AC">
              <w:rPr>
                <w:rFonts w:ascii="Arial" w:hAnsi="Arial" w:cs="Arial"/>
                <w:b/>
                <w:bCs/>
                <w:sz w:val="20"/>
                <w:szCs w:val="20"/>
                <w:lang w:val="en-GB"/>
              </w:rPr>
              <w:t>s</w:t>
            </w:r>
            <w:r w:rsidRPr="003476AC">
              <w:rPr>
                <w:rFonts w:ascii="Arial" w:hAnsi="Arial" w:cs="Arial"/>
                <w:b/>
                <w:bCs/>
                <w:spacing w:val="3"/>
                <w:sz w:val="20"/>
                <w:szCs w:val="20"/>
                <w:lang w:val="en-GB"/>
              </w:rPr>
              <w:t xml:space="preserve"> </w:t>
            </w:r>
            <w:r w:rsidRPr="003476AC">
              <w:rPr>
                <w:rFonts w:ascii="Arial" w:hAnsi="Arial" w:cs="Arial"/>
                <w:b/>
                <w:bCs/>
                <w:spacing w:val="1"/>
                <w:sz w:val="20"/>
                <w:szCs w:val="20"/>
                <w:lang w:val="en-GB"/>
              </w:rPr>
              <w:t>th</w:t>
            </w:r>
            <w:r w:rsidRPr="003476AC">
              <w:rPr>
                <w:rFonts w:ascii="Arial" w:hAnsi="Arial" w:cs="Arial"/>
                <w:b/>
                <w:bCs/>
                <w:sz w:val="20"/>
                <w:szCs w:val="20"/>
                <w:lang w:val="en-GB"/>
              </w:rPr>
              <w:t>e</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m</w:t>
            </w:r>
            <w:r w:rsidRPr="003476AC">
              <w:rPr>
                <w:rFonts w:ascii="Arial" w:hAnsi="Arial" w:cs="Arial"/>
                <w:b/>
                <w:bCs/>
                <w:spacing w:val="1"/>
                <w:sz w:val="20"/>
                <w:szCs w:val="20"/>
                <w:lang w:val="en-GB"/>
              </w:rPr>
              <w:t>i</w:t>
            </w:r>
            <w:r w:rsidRPr="003476AC">
              <w:rPr>
                <w:rFonts w:ascii="Arial" w:hAnsi="Arial" w:cs="Arial"/>
                <w:b/>
                <w:bCs/>
                <w:spacing w:val="-2"/>
                <w:sz w:val="20"/>
                <w:szCs w:val="20"/>
                <w:lang w:val="en-GB"/>
              </w:rPr>
              <w:t>n</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m</w:t>
            </w:r>
            <w:r w:rsidRPr="003476AC">
              <w:rPr>
                <w:rFonts w:ascii="Arial" w:hAnsi="Arial" w:cs="Arial"/>
                <w:b/>
                <w:bCs/>
                <w:spacing w:val="1"/>
                <w:sz w:val="20"/>
                <w:szCs w:val="20"/>
                <w:lang w:val="en-GB"/>
              </w:rPr>
              <w:t>u</w:t>
            </w:r>
            <w:r w:rsidRPr="003476AC">
              <w:rPr>
                <w:rFonts w:ascii="Arial" w:hAnsi="Arial" w:cs="Arial"/>
                <w:b/>
                <w:bCs/>
                <w:sz w:val="20"/>
                <w:szCs w:val="20"/>
                <w:lang w:val="en-GB"/>
              </w:rPr>
              <w:t>m</w:t>
            </w:r>
            <w:r w:rsidRPr="003476AC">
              <w:rPr>
                <w:rFonts w:ascii="Arial" w:hAnsi="Arial" w:cs="Arial"/>
                <w:b/>
                <w:bCs/>
                <w:spacing w:val="4"/>
                <w:sz w:val="20"/>
                <w:szCs w:val="20"/>
                <w:lang w:val="en-GB"/>
              </w:rPr>
              <w:t xml:space="preserve"> </w:t>
            </w:r>
            <w:r w:rsidRPr="003476AC">
              <w:rPr>
                <w:rFonts w:ascii="Arial" w:hAnsi="Arial" w:cs="Arial"/>
                <w:b/>
                <w:bCs/>
                <w:spacing w:val="-2"/>
                <w:sz w:val="20"/>
                <w:szCs w:val="20"/>
                <w:lang w:val="en-GB"/>
              </w:rPr>
              <w:t>s</w:t>
            </w:r>
            <w:r w:rsidRPr="003476AC">
              <w:rPr>
                <w:rFonts w:ascii="Arial" w:hAnsi="Arial" w:cs="Arial"/>
                <w:b/>
                <w:bCs/>
                <w:spacing w:val="1"/>
                <w:sz w:val="20"/>
                <w:szCs w:val="20"/>
                <w:lang w:val="en-GB"/>
              </w:rPr>
              <w:t>h</w:t>
            </w:r>
            <w:r w:rsidRPr="003476AC">
              <w:rPr>
                <w:rFonts w:ascii="Arial" w:hAnsi="Arial" w:cs="Arial"/>
                <w:b/>
                <w:bCs/>
                <w:spacing w:val="-1"/>
                <w:sz w:val="20"/>
                <w:szCs w:val="20"/>
                <w:lang w:val="en-GB"/>
              </w:rPr>
              <w:t>a</w:t>
            </w:r>
            <w:r w:rsidRPr="003476AC">
              <w:rPr>
                <w:rFonts w:ascii="Arial" w:hAnsi="Arial" w:cs="Arial"/>
                <w:b/>
                <w:bCs/>
                <w:spacing w:val="1"/>
                <w:sz w:val="20"/>
                <w:szCs w:val="20"/>
                <w:lang w:val="en-GB"/>
              </w:rPr>
              <w:t>r</w:t>
            </w:r>
            <w:r w:rsidRPr="003476AC">
              <w:rPr>
                <w:rFonts w:ascii="Arial" w:hAnsi="Arial" w:cs="Arial"/>
                <w:b/>
                <w:bCs/>
                <w:sz w:val="20"/>
                <w:szCs w:val="20"/>
                <w:lang w:val="en-GB"/>
              </w:rPr>
              <w:t>e</w:t>
            </w:r>
            <w:r w:rsidRPr="003476AC">
              <w:rPr>
                <w:rFonts w:ascii="Arial" w:hAnsi="Arial" w:cs="Arial"/>
                <w:b/>
                <w:bCs/>
                <w:spacing w:val="4"/>
                <w:sz w:val="20"/>
                <w:szCs w:val="20"/>
                <w:lang w:val="en-GB"/>
              </w:rPr>
              <w:t xml:space="preserve"> </w:t>
            </w:r>
            <w:r w:rsidRPr="003476AC">
              <w:rPr>
                <w:rFonts w:ascii="Arial" w:hAnsi="Arial" w:cs="Arial"/>
                <w:b/>
                <w:bCs/>
                <w:spacing w:val="1"/>
                <w:sz w:val="20"/>
                <w:szCs w:val="20"/>
                <w:lang w:val="en-GB"/>
              </w:rPr>
              <w:t>o</w:t>
            </w:r>
            <w:r w:rsidRPr="003476AC">
              <w:rPr>
                <w:rFonts w:ascii="Arial" w:hAnsi="Arial" w:cs="Arial"/>
                <w:b/>
                <w:bCs/>
                <w:sz w:val="20"/>
                <w:szCs w:val="20"/>
                <w:lang w:val="en-GB"/>
              </w:rPr>
              <w:t>f</w:t>
            </w:r>
            <w:r w:rsidRPr="003476AC">
              <w:rPr>
                <w:rFonts w:ascii="Arial" w:hAnsi="Arial" w:cs="Arial"/>
                <w:b/>
                <w:bCs/>
                <w:spacing w:val="4"/>
                <w:sz w:val="20"/>
                <w:szCs w:val="20"/>
                <w:lang w:val="en-GB"/>
              </w:rPr>
              <w:t xml:space="preserve"> </w:t>
            </w:r>
            <w:r w:rsidRPr="003476AC">
              <w:rPr>
                <w:rFonts w:ascii="Arial" w:hAnsi="Arial" w:cs="Arial"/>
                <w:b/>
                <w:bCs/>
                <w:spacing w:val="-2"/>
                <w:sz w:val="20"/>
                <w:szCs w:val="20"/>
                <w:lang w:val="en-GB"/>
              </w:rPr>
              <w:t>s</w:t>
            </w:r>
            <w:r w:rsidRPr="003476AC">
              <w:rPr>
                <w:rFonts w:ascii="Arial" w:hAnsi="Arial" w:cs="Arial"/>
                <w:b/>
                <w:bCs/>
                <w:spacing w:val="1"/>
                <w:sz w:val="20"/>
                <w:szCs w:val="20"/>
                <w:lang w:val="en-GB"/>
              </w:rPr>
              <w:t>o</w:t>
            </w:r>
            <w:r w:rsidRPr="003476AC">
              <w:rPr>
                <w:rFonts w:ascii="Arial" w:hAnsi="Arial" w:cs="Arial"/>
                <w:b/>
                <w:bCs/>
                <w:sz w:val="20"/>
                <w:szCs w:val="20"/>
                <w:lang w:val="en-GB"/>
              </w:rPr>
              <w:t>c</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al</w:t>
            </w:r>
            <w:r w:rsidRPr="003476AC">
              <w:rPr>
                <w:rFonts w:ascii="Arial" w:hAnsi="Arial" w:cs="Arial"/>
                <w:b/>
                <w:bCs/>
                <w:spacing w:val="1"/>
                <w:sz w:val="20"/>
                <w:szCs w:val="20"/>
                <w:lang w:val="en-GB"/>
              </w:rPr>
              <w:t>l</w:t>
            </w:r>
            <w:r w:rsidRPr="003476AC">
              <w:rPr>
                <w:rFonts w:ascii="Arial" w:hAnsi="Arial" w:cs="Arial"/>
                <w:b/>
                <w:bCs/>
                <w:sz w:val="20"/>
                <w:szCs w:val="20"/>
                <w:lang w:val="en-GB"/>
              </w:rPr>
              <w:t>y</w:t>
            </w:r>
            <w:r w:rsidRPr="003476AC">
              <w:rPr>
                <w:rFonts w:ascii="Arial" w:hAnsi="Arial" w:cs="Arial"/>
                <w:b/>
                <w:bCs/>
                <w:spacing w:val="4"/>
                <w:sz w:val="20"/>
                <w:szCs w:val="20"/>
                <w:lang w:val="en-GB"/>
              </w:rPr>
              <w:t xml:space="preserve"> </w:t>
            </w:r>
            <w:r w:rsidRPr="003476AC">
              <w:rPr>
                <w:rFonts w:ascii="Arial" w:hAnsi="Arial" w:cs="Arial"/>
                <w:b/>
                <w:bCs/>
                <w:sz w:val="20"/>
                <w:szCs w:val="20"/>
                <w:lang w:val="en-GB"/>
              </w:rPr>
              <w:t>s</w:t>
            </w:r>
            <w:r w:rsidRPr="003476AC">
              <w:rPr>
                <w:rFonts w:ascii="Arial" w:hAnsi="Arial" w:cs="Arial"/>
                <w:b/>
                <w:bCs/>
                <w:spacing w:val="-2"/>
                <w:sz w:val="20"/>
                <w:szCs w:val="20"/>
                <w:lang w:val="en-GB"/>
              </w:rPr>
              <w:t>u</w:t>
            </w:r>
            <w:r w:rsidRPr="003476AC">
              <w:rPr>
                <w:rFonts w:ascii="Arial" w:hAnsi="Arial" w:cs="Arial"/>
                <w:b/>
                <w:bCs/>
                <w:sz w:val="20"/>
                <w:szCs w:val="20"/>
                <w:lang w:val="en-GB"/>
              </w:rPr>
              <w:t>s</w:t>
            </w:r>
            <w:r w:rsidRPr="003476AC">
              <w:rPr>
                <w:rFonts w:ascii="Arial" w:hAnsi="Arial" w:cs="Arial"/>
                <w:b/>
                <w:bCs/>
                <w:spacing w:val="1"/>
                <w:sz w:val="20"/>
                <w:szCs w:val="20"/>
                <w:lang w:val="en-GB"/>
              </w:rPr>
              <w:t>t</w:t>
            </w:r>
            <w:r w:rsidRPr="003476AC">
              <w:rPr>
                <w:rFonts w:ascii="Arial" w:hAnsi="Arial" w:cs="Arial"/>
                <w:b/>
                <w:bCs/>
                <w:spacing w:val="-1"/>
                <w:sz w:val="20"/>
                <w:szCs w:val="20"/>
                <w:lang w:val="en-GB"/>
              </w:rPr>
              <w:t>a</w:t>
            </w:r>
            <w:r w:rsidRPr="003476AC">
              <w:rPr>
                <w:rFonts w:ascii="Arial" w:hAnsi="Arial" w:cs="Arial"/>
                <w:b/>
                <w:bCs/>
                <w:spacing w:val="1"/>
                <w:sz w:val="20"/>
                <w:szCs w:val="20"/>
                <w:lang w:val="en-GB"/>
              </w:rPr>
              <w:t>in</w:t>
            </w:r>
            <w:r w:rsidRPr="003476AC">
              <w:rPr>
                <w:rFonts w:ascii="Arial" w:hAnsi="Arial" w:cs="Arial"/>
                <w:b/>
                <w:bCs/>
                <w:spacing w:val="-3"/>
                <w:sz w:val="20"/>
                <w:szCs w:val="20"/>
                <w:lang w:val="en-GB"/>
              </w:rPr>
              <w:t>a</w:t>
            </w:r>
            <w:r w:rsidRPr="003476AC">
              <w:rPr>
                <w:rFonts w:ascii="Arial" w:hAnsi="Arial" w:cs="Arial"/>
                <w:b/>
                <w:bCs/>
                <w:spacing w:val="1"/>
                <w:sz w:val="20"/>
                <w:szCs w:val="20"/>
                <w:lang w:val="en-GB"/>
              </w:rPr>
              <w:t>bl</w:t>
            </w:r>
            <w:r w:rsidRPr="003476AC">
              <w:rPr>
                <w:rFonts w:ascii="Arial" w:hAnsi="Arial" w:cs="Arial"/>
                <w:b/>
                <w:bCs/>
                <w:sz w:val="20"/>
                <w:szCs w:val="20"/>
                <w:lang w:val="en-GB"/>
              </w:rPr>
              <w:t>e</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in</w:t>
            </w:r>
            <w:r w:rsidRPr="003476AC">
              <w:rPr>
                <w:rFonts w:ascii="Arial" w:hAnsi="Arial" w:cs="Arial"/>
                <w:b/>
                <w:bCs/>
                <w:spacing w:val="-1"/>
                <w:sz w:val="20"/>
                <w:szCs w:val="20"/>
                <w:lang w:val="en-GB"/>
              </w:rPr>
              <w:t>ve</w:t>
            </w:r>
            <w:r w:rsidRPr="003476AC">
              <w:rPr>
                <w:rFonts w:ascii="Arial" w:hAnsi="Arial" w:cs="Arial"/>
                <w:b/>
                <w:bCs/>
                <w:sz w:val="20"/>
                <w:szCs w:val="20"/>
                <w:lang w:val="en-GB"/>
              </w:rPr>
              <w:t>s</w:t>
            </w:r>
            <w:r w:rsidRPr="003476AC">
              <w:rPr>
                <w:rFonts w:ascii="Arial" w:hAnsi="Arial" w:cs="Arial"/>
                <w:b/>
                <w:bCs/>
                <w:spacing w:val="1"/>
                <w:sz w:val="20"/>
                <w:szCs w:val="20"/>
                <w:lang w:val="en-GB"/>
              </w:rPr>
              <w:t>t</w:t>
            </w:r>
            <w:r w:rsidRPr="003476AC">
              <w:rPr>
                <w:rFonts w:ascii="Arial" w:hAnsi="Arial" w:cs="Arial"/>
                <w:b/>
                <w:bCs/>
                <w:spacing w:val="-1"/>
                <w:sz w:val="20"/>
                <w:szCs w:val="20"/>
                <w:lang w:val="en-GB"/>
              </w:rPr>
              <w:t>me</w:t>
            </w:r>
            <w:r w:rsidRPr="003476AC">
              <w:rPr>
                <w:rFonts w:ascii="Arial" w:hAnsi="Arial" w:cs="Arial"/>
                <w:b/>
                <w:bCs/>
                <w:spacing w:val="1"/>
                <w:sz w:val="20"/>
                <w:szCs w:val="20"/>
                <w:lang w:val="en-GB"/>
              </w:rPr>
              <w:t>nt</w:t>
            </w:r>
            <w:r w:rsidRPr="003476AC">
              <w:rPr>
                <w:rFonts w:ascii="Arial" w:hAnsi="Arial" w:cs="Arial"/>
                <w:b/>
                <w:bCs/>
                <w:sz w:val="20"/>
                <w:szCs w:val="20"/>
                <w:lang w:val="en-GB"/>
              </w:rPr>
              <w:t>s?</w:t>
            </w:r>
            <w:r w:rsidRPr="003476AC">
              <w:rPr>
                <w:rFonts w:ascii="Arial" w:hAnsi="Arial" w:cs="Arial"/>
                <w:b/>
                <w:bCs/>
                <w:spacing w:val="21"/>
                <w:sz w:val="20"/>
                <w:szCs w:val="20"/>
                <w:lang w:val="en-GB"/>
              </w:rPr>
              <w:t xml:space="preserve"> </w:t>
            </w:r>
          </w:p>
        </w:tc>
      </w:tr>
      <w:tr w:rsidR="00303F74" w:rsidRPr="003C1B8B" w14:paraId="30177D84" w14:textId="77777777" w:rsidTr="00303F74">
        <w:trPr>
          <w:trHeight w:val="1030"/>
        </w:trPr>
        <w:tc>
          <w:tcPr>
            <w:tcW w:w="1116" w:type="pct"/>
            <w:vMerge/>
            <w:shd w:val="clear" w:color="auto" w:fill="D9D9D9" w:themeFill="background1" w:themeFillShade="D9"/>
          </w:tcPr>
          <w:p w14:paraId="7D76FC6F" w14:textId="77777777" w:rsidR="00303F74" w:rsidRPr="003C1B8B" w:rsidRDefault="00303F74" w:rsidP="00303F74">
            <w:pPr>
              <w:spacing w:before="0" w:after="0"/>
              <w:ind w:right="-37"/>
              <w:contextualSpacing/>
              <w:jc w:val="left"/>
              <w:rPr>
                <w:rFonts w:ascii="Arial" w:hAnsi="Arial" w:cs="Arial"/>
                <w:i/>
                <w:color w:val="C00000"/>
                <w:sz w:val="18"/>
                <w:szCs w:val="18"/>
                <w:lang w:val="en-GB"/>
              </w:rPr>
            </w:pPr>
          </w:p>
        </w:tc>
        <w:tc>
          <w:tcPr>
            <w:tcW w:w="124" w:type="pct"/>
            <w:shd w:val="clear" w:color="auto" w:fill="FFFFFF" w:themeFill="background1"/>
          </w:tcPr>
          <w:p w14:paraId="58BF36FE" w14:textId="77777777" w:rsidR="00303F74" w:rsidRPr="003C1B8B" w:rsidRDefault="00303F74" w:rsidP="00303F74">
            <w:pPr>
              <w:spacing w:before="0" w:after="0"/>
              <w:ind w:left="737" w:right="58"/>
              <w:rPr>
                <w:noProof/>
                <w:sz w:val="22"/>
                <w:szCs w:val="22"/>
                <w:lang w:val="en-GB"/>
              </w:rPr>
            </w:pPr>
          </w:p>
        </w:tc>
        <w:tc>
          <w:tcPr>
            <w:tcW w:w="3760" w:type="pct"/>
            <w:gridSpan w:val="6"/>
          </w:tcPr>
          <w:p w14:paraId="3AAD941A" w14:textId="77777777" w:rsidR="00303F74" w:rsidRPr="003476AC" w:rsidRDefault="00303F74" w:rsidP="00303F74">
            <w:pPr>
              <w:spacing w:before="0" w:after="0"/>
              <w:ind w:left="340" w:right="58"/>
              <w:rPr>
                <w:rFonts w:ascii="Arial" w:hAnsi="Arial" w:cs="Arial"/>
                <w:noProof/>
                <w:sz w:val="20"/>
                <w:szCs w:val="20"/>
                <w:lang w:val="en-GB"/>
              </w:rPr>
            </w:pPr>
            <w:r w:rsidRPr="003476AC">
              <w:rPr>
                <w:rFonts w:ascii="Arial" w:hAnsi="Arial" w:cs="Arial"/>
                <w:i/>
                <w:iCs/>
                <w:sz w:val="20"/>
                <w:szCs w:val="20"/>
                <w:lang w:val="en-GB"/>
              </w:rPr>
              <w:t>Not applicable.</w:t>
            </w:r>
          </w:p>
        </w:tc>
      </w:tr>
      <w:tr w:rsidR="00303F74" w:rsidRPr="003C1B8B" w14:paraId="54795E7B" w14:textId="77777777" w:rsidTr="00303F74">
        <w:trPr>
          <w:trHeight w:val="835"/>
        </w:trPr>
        <w:tc>
          <w:tcPr>
            <w:tcW w:w="1116" w:type="pct"/>
            <w:vMerge w:val="restart"/>
            <w:shd w:val="clear" w:color="auto" w:fill="D9D9D9" w:themeFill="background1" w:themeFillShade="D9"/>
          </w:tcPr>
          <w:p w14:paraId="10370327" w14:textId="77777777" w:rsidR="00303F74" w:rsidRPr="003C1B8B" w:rsidRDefault="00303F74" w:rsidP="00303F74">
            <w:pPr>
              <w:spacing w:before="0" w:after="0"/>
              <w:jc w:val="left"/>
              <w:rPr>
                <w:rFonts w:ascii="Arial" w:hAnsi="Arial" w:cs="Arial"/>
                <w:sz w:val="18"/>
                <w:szCs w:val="18"/>
                <w:lang w:val="en-GB"/>
              </w:rPr>
            </w:pPr>
          </w:p>
          <w:p w14:paraId="2980AC9C" w14:textId="77777777" w:rsidR="00303F74" w:rsidRPr="003C1B8B" w:rsidRDefault="00303F74" w:rsidP="00303F74">
            <w:pPr>
              <w:spacing w:before="0" w:after="0"/>
              <w:jc w:val="left"/>
              <w:rPr>
                <w:rFonts w:ascii="Arial" w:hAnsi="Arial" w:cs="Arial"/>
                <w:sz w:val="18"/>
                <w:szCs w:val="18"/>
                <w:lang w:val="en-GB"/>
              </w:rPr>
            </w:pPr>
            <w:r w:rsidRPr="003C1B8B">
              <w:rPr>
                <w:noProof/>
                <w:sz w:val="18"/>
                <w:szCs w:val="18"/>
                <w:highlight w:val="yellow"/>
                <w:lang w:val="en-GB"/>
              </w:rPr>
              <w:drawing>
                <wp:anchor distT="0" distB="0" distL="114300" distR="114300" simplePos="0" relativeHeight="251691008" behindDoc="0" locked="0" layoutInCell="1" allowOverlap="1" wp14:anchorId="70E4E36A" wp14:editId="17F54ABA">
                  <wp:simplePos x="0" y="0"/>
                  <wp:positionH relativeFrom="leftMargin">
                    <wp:posOffset>67798</wp:posOffset>
                  </wp:positionH>
                  <wp:positionV relativeFrom="page">
                    <wp:posOffset>148605</wp:posOffset>
                  </wp:positionV>
                  <wp:extent cx="299720" cy="299720"/>
                  <wp:effectExtent l="0" t="0" r="5080" b="5080"/>
                  <wp:wrapSquare wrapText="bothSides"/>
                  <wp:docPr id="12"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99720" cy="299720"/>
                          </a:xfrm>
                          <a:prstGeom prst="rect">
                            <a:avLst/>
                          </a:prstGeom>
                        </pic:spPr>
                      </pic:pic>
                    </a:graphicData>
                  </a:graphic>
                  <wp14:sizeRelH relativeFrom="margin">
                    <wp14:pctWidth>0</wp14:pctWidth>
                  </wp14:sizeRelH>
                  <wp14:sizeRelV relativeFrom="margin">
                    <wp14:pctHeight>0</wp14:pctHeight>
                  </wp14:sizeRelV>
                </wp:anchor>
              </w:drawing>
            </w:r>
          </w:p>
          <w:p w14:paraId="486AB46A" w14:textId="77777777" w:rsidR="00303F74" w:rsidRPr="003C1B8B" w:rsidRDefault="00303F74" w:rsidP="00303F74">
            <w:pPr>
              <w:spacing w:before="0" w:after="0"/>
              <w:jc w:val="left"/>
              <w:rPr>
                <w:rFonts w:ascii="Arial" w:hAnsi="Arial" w:cs="Arial"/>
                <w:sz w:val="18"/>
                <w:szCs w:val="18"/>
                <w:lang w:val="en-GB"/>
              </w:rPr>
            </w:pPr>
            <w:r w:rsidRPr="003C1B8B">
              <w:rPr>
                <w:rFonts w:ascii="Arial" w:hAnsi="Arial" w:cs="Arial"/>
                <w:sz w:val="18"/>
                <w:szCs w:val="18"/>
                <w:lang w:val="en-GB"/>
              </w:rPr>
              <w:t xml:space="preserve">are sustainable investments with an environmental objective that </w:t>
            </w:r>
            <w:r w:rsidRPr="003C1B8B">
              <w:rPr>
                <w:rFonts w:ascii="Arial" w:hAnsi="Arial" w:cs="Arial"/>
                <w:bCs/>
                <w:sz w:val="18"/>
                <w:szCs w:val="18"/>
                <w:lang w:val="en-GB"/>
              </w:rPr>
              <w:t>do not take into account the criteria</w:t>
            </w:r>
            <w:r w:rsidRPr="003C1B8B">
              <w:rPr>
                <w:rFonts w:ascii="Arial" w:hAnsi="Arial" w:cs="Arial"/>
                <w:sz w:val="18"/>
                <w:szCs w:val="18"/>
                <w:lang w:val="en-GB"/>
              </w:rPr>
              <w:t xml:space="preserve"> for environmentally sustainable economic activities under the EU Taxonomy.</w:t>
            </w:r>
          </w:p>
        </w:tc>
        <w:tc>
          <w:tcPr>
            <w:tcW w:w="124" w:type="pct"/>
            <w:shd w:val="clear" w:color="auto" w:fill="FFFFFF" w:themeFill="background1"/>
          </w:tcPr>
          <w:p w14:paraId="409814E2" w14:textId="77777777" w:rsidR="00303F74" w:rsidRPr="003C1B8B" w:rsidRDefault="00303F74" w:rsidP="00303F74">
            <w:pPr>
              <w:spacing w:before="0" w:after="0"/>
              <w:ind w:left="340"/>
              <w:jc w:val="left"/>
              <w:rPr>
                <w:rFonts w:ascii="Calibri" w:hAnsi="Calibri"/>
                <w:bCs/>
                <w:i/>
                <w:iCs/>
                <w:noProof/>
                <w:sz w:val="22"/>
                <w:szCs w:val="22"/>
                <w:lang w:val="en-GB"/>
              </w:rPr>
            </w:pPr>
          </w:p>
        </w:tc>
        <w:tc>
          <w:tcPr>
            <w:tcW w:w="3760" w:type="pct"/>
            <w:gridSpan w:val="6"/>
          </w:tcPr>
          <w:p w14:paraId="2565FBCB" w14:textId="77777777" w:rsidR="00303F74" w:rsidRPr="003476AC" w:rsidRDefault="00303F74" w:rsidP="00303F74">
            <w:pPr>
              <w:spacing w:before="0" w:after="0"/>
              <w:ind w:left="340"/>
              <w:jc w:val="left"/>
              <w:rPr>
                <w:rFonts w:ascii="Arial" w:hAnsi="Arial" w:cs="Arial"/>
                <w:b/>
                <w:sz w:val="20"/>
                <w:szCs w:val="20"/>
                <w:lang w:val="en-GB"/>
              </w:rPr>
            </w:pPr>
            <w:r w:rsidRPr="003476AC">
              <w:rPr>
                <w:rFonts w:cs="Arial"/>
                <w:b/>
                <w:noProof/>
                <w:sz w:val="20"/>
                <w:szCs w:val="20"/>
                <w:lang w:val="en-GB"/>
              </w:rPr>
              <w:drawing>
                <wp:anchor distT="0" distB="0" distL="114300" distR="114300" simplePos="0" relativeHeight="251695104" behindDoc="0" locked="0" layoutInCell="1" allowOverlap="1" wp14:anchorId="384086BB" wp14:editId="1E7D8083">
                  <wp:simplePos x="0" y="0"/>
                  <wp:positionH relativeFrom="column">
                    <wp:posOffset>-864</wp:posOffset>
                  </wp:positionH>
                  <wp:positionV relativeFrom="page">
                    <wp:posOffset>1753</wp:posOffset>
                  </wp:positionV>
                  <wp:extent cx="359410" cy="359410"/>
                  <wp:effectExtent l="0" t="0" r="2540" b="2540"/>
                  <wp:wrapSquare wrapText="bothSides"/>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3476AC">
              <w:rPr>
                <w:rFonts w:ascii="Arial" w:hAnsi="Arial" w:cs="Arial"/>
                <w:b/>
                <w:spacing w:val="1"/>
                <w:sz w:val="20"/>
                <w:szCs w:val="20"/>
                <w:lang w:val="en-GB"/>
              </w:rPr>
              <w:t>Wh</w:t>
            </w:r>
            <w:r w:rsidRPr="003476AC">
              <w:rPr>
                <w:rFonts w:ascii="Arial" w:hAnsi="Arial" w:cs="Arial"/>
                <w:b/>
                <w:spacing w:val="-1"/>
                <w:sz w:val="20"/>
                <w:szCs w:val="20"/>
                <w:lang w:val="en-GB"/>
              </w:rPr>
              <w:t>a</w:t>
            </w:r>
            <w:r w:rsidRPr="003476AC">
              <w:rPr>
                <w:rFonts w:ascii="Arial" w:hAnsi="Arial" w:cs="Arial"/>
                <w:b/>
                <w:sz w:val="20"/>
                <w:szCs w:val="20"/>
                <w:lang w:val="en-GB"/>
              </w:rPr>
              <w:t>t</w:t>
            </w:r>
            <w:r w:rsidRPr="003476AC">
              <w:rPr>
                <w:rFonts w:ascii="Arial" w:hAnsi="Arial" w:cs="Arial"/>
                <w:b/>
                <w:spacing w:val="2"/>
                <w:sz w:val="20"/>
                <w:szCs w:val="20"/>
                <w:lang w:val="en-GB"/>
              </w:rPr>
              <w:t xml:space="preserve"> </w:t>
            </w:r>
            <w:r w:rsidRPr="003476AC">
              <w:rPr>
                <w:rFonts w:ascii="Arial" w:hAnsi="Arial" w:cs="Arial"/>
                <w:b/>
                <w:spacing w:val="1"/>
                <w:sz w:val="20"/>
                <w:szCs w:val="20"/>
                <w:lang w:val="en-GB"/>
              </w:rPr>
              <w:t>in</w:t>
            </w:r>
            <w:r w:rsidRPr="003476AC">
              <w:rPr>
                <w:rFonts w:ascii="Arial" w:hAnsi="Arial" w:cs="Arial"/>
                <w:b/>
                <w:spacing w:val="-1"/>
                <w:sz w:val="20"/>
                <w:szCs w:val="20"/>
                <w:lang w:val="en-GB"/>
              </w:rPr>
              <w:t>ve</w:t>
            </w:r>
            <w:r w:rsidRPr="003476AC">
              <w:rPr>
                <w:rFonts w:ascii="Arial" w:hAnsi="Arial" w:cs="Arial"/>
                <w:b/>
                <w:sz w:val="20"/>
                <w:szCs w:val="20"/>
                <w:lang w:val="en-GB"/>
              </w:rPr>
              <w:t>s</w:t>
            </w:r>
            <w:r w:rsidRPr="003476AC">
              <w:rPr>
                <w:rFonts w:ascii="Arial" w:hAnsi="Arial" w:cs="Arial"/>
                <w:b/>
                <w:spacing w:val="1"/>
                <w:sz w:val="20"/>
                <w:szCs w:val="20"/>
                <w:lang w:val="en-GB"/>
              </w:rPr>
              <w:t>t</w:t>
            </w:r>
            <w:r w:rsidRPr="003476AC">
              <w:rPr>
                <w:rFonts w:ascii="Arial" w:hAnsi="Arial" w:cs="Arial"/>
                <w:b/>
                <w:spacing w:val="-1"/>
                <w:sz w:val="20"/>
                <w:szCs w:val="20"/>
                <w:lang w:val="en-GB"/>
              </w:rPr>
              <w:t>me</w:t>
            </w:r>
            <w:r w:rsidRPr="003476AC">
              <w:rPr>
                <w:rFonts w:ascii="Arial" w:hAnsi="Arial" w:cs="Arial"/>
                <w:b/>
                <w:spacing w:val="1"/>
                <w:sz w:val="20"/>
                <w:szCs w:val="20"/>
                <w:lang w:val="en-GB"/>
              </w:rPr>
              <w:t>nt</w:t>
            </w:r>
            <w:r w:rsidRPr="003476AC">
              <w:rPr>
                <w:rFonts w:ascii="Arial" w:hAnsi="Arial" w:cs="Arial"/>
                <w:b/>
                <w:sz w:val="20"/>
                <w:szCs w:val="20"/>
                <w:lang w:val="en-GB"/>
              </w:rPr>
              <w:t>s</w:t>
            </w:r>
            <w:r w:rsidRPr="003476AC">
              <w:rPr>
                <w:rFonts w:ascii="Arial" w:hAnsi="Arial" w:cs="Arial"/>
                <w:b/>
                <w:spacing w:val="2"/>
                <w:sz w:val="20"/>
                <w:szCs w:val="20"/>
                <w:lang w:val="en-GB"/>
              </w:rPr>
              <w:t xml:space="preserve"> </w:t>
            </w:r>
            <w:r w:rsidRPr="003476AC">
              <w:rPr>
                <w:rFonts w:ascii="Arial" w:hAnsi="Arial" w:cs="Arial"/>
                <w:b/>
                <w:spacing w:val="-1"/>
                <w:sz w:val="20"/>
                <w:szCs w:val="20"/>
                <w:lang w:val="en-GB"/>
              </w:rPr>
              <w:t>a</w:t>
            </w:r>
            <w:r w:rsidRPr="003476AC">
              <w:rPr>
                <w:rFonts w:ascii="Arial" w:hAnsi="Arial" w:cs="Arial"/>
                <w:b/>
                <w:spacing w:val="1"/>
                <w:sz w:val="20"/>
                <w:szCs w:val="20"/>
                <w:lang w:val="en-GB"/>
              </w:rPr>
              <w:t>r</w:t>
            </w:r>
            <w:r w:rsidRPr="003476AC">
              <w:rPr>
                <w:rFonts w:ascii="Arial" w:hAnsi="Arial" w:cs="Arial"/>
                <w:b/>
                <w:sz w:val="20"/>
                <w:szCs w:val="20"/>
                <w:lang w:val="en-GB"/>
              </w:rPr>
              <w:t xml:space="preserve">e </w:t>
            </w:r>
            <w:r w:rsidRPr="003476AC">
              <w:rPr>
                <w:rFonts w:ascii="Arial" w:hAnsi="Arial" w:cs="Arial"/>
                <w:b/>
                <w:spacing w:val="-1"/>
                <w:sz w:val="20"/>
                <w:szCs w:val="20"/>
                <w:lang w:val="en-GB"/>
              </w:rPr>
              <w:t>i</w:t>
            </w:r>
            <w:r w:rsidRPr="003476AC">
              <w:rPr>
                <w:rFonts w:ascii="Arial" w:hAnsi="Arial" w:cs="Arial"/>
                <w:b/>
                <w:spacing w:val="1"/>
                <w:sz w:val="20"/>
                <w:szCs w:val="20"/>
                <w:lang w:val="en-GB"/>
              </w:rPr>
              <w:t>n</w:t>
            </w:r>
            <w:r w:rsidRPr="003476AC">
              <w:rPr>
                <w:rFonts w:ascii="Arial" w:hAnsi="Arial" w:cs="Arial"/>
                <w:b/>
                <w:sz w:val="20"/>
                <w:szCs w:val="20"/>
                <w:lang w:val="en-GB"/>
              </w:rPr>
              <w:t>c</w:t>
            </w:r>
            <w:r w:rsidRPr="003476AC">
              <w:rPr>
                <w:rFonts w:ascii="Arial" w:hAnsi="Arial" w:cs="Arial"/>
                <w:b/>
                <w:spacing w:val="1"/>
                <w:sz w:val="20"/>
                <w:szCs w:val="20"/>
                <w:lang w:val="en-GB"/>
              </w:rPr>
              <w:t>l</w:t>
            </w:r>
            <w:r w:rsidRPr="003476AC">
              <w:rPr>
                <w:rFonts w:ascii="Arial" w:hAnsi="Arial" w:cs="Arial"/>
                <w:b/>
                <w:spacing w:val="-2"/>
                <w:sz w:val="20"/>
                <w:szCs w:val="20"/>
                <w:lang w:val="en-GB"/>
              </w:rPr>
              <w:t>u</w:t>
            </w:r>
            <w:r w:rsidRPr="003476AC">
              <w:rPr>
                <w:rFonts w:ascii="Arial" w:hAnsi="Arial" w:cs="Arial"/>
                <w:b/>
                <w:spacing w:val="1"/>
                <w:sz w:val="20"/>
                <w:szCs w:val="20"/>
                <w:lang w:val="en-GB"/>
              </w:rPr>
              <w:t>d</w:t>
            </w:r>
            <w:r w:rsidRPr="003476AC">
              <w:rPr>
                <w:rFonts w:ascii="Arial" w:hAnsi="Arial" w:cs="Arial"/>
                <w:b/>
                <w:spacing w:val="-1"/>
                <w:sz w:val="20"/>
                <w:szCs w:val="20"/>
                <w:lang w:val="en-GB"/>
              </w:rPr>
              <w:t>e</w:t>
            </w:r>
            <w:r w:rsidRPr="003476AC">
              <w:rPr>
                <w:rFonts w:ascii="Arial" w:hAnsi="Arial" w:cs="Arial"/>
                <w:b/>
                <w:sz w:val="20"/>
                <w:szCs w:val="20"/>
                <w:lang w:val="en-GB"/>
              </w:rPr>
              <w:t>d</w:t>
            </w:r>
            <w:r w:rsidRPr="003476AC">
              <w:rPr>
                <w:rFonts w:ascii="Arial" w:hAnsi="Arial" w:cs="Arial"/>
                <w:b/>
                <w:spacing w:val="2"/>
                <w:sz w:val="20"/>
                <w:szCs w:val="20"/>
                <w:lang w:val="en-GB"/>
              </w:rPr>
              <w:t xml:space="preserve"> </w:t>
            </w:r>
            <w:r w:rsidRPr="003476AC">
              <w:rPr>
                <w:rFonts w:ascii="Arial" w:hAnsi="Arial" w:cs="Arial"/>
                <w:b/>
                <w:spacing w:val="1"/>
                <w:sz w:val="20"/>
                <w:szCs w:val="20"/>
                <w:lang w:val="en-GB"/>
              </w:rPr>
              <w:t>und</w:t>
            </w:r>
            <w:r w:rsidRPr="003476AC">
              <w:rPr>
                <w:rFonts w:ascii="Arial" w:hAnsi="Arial" w:cs="Arial"/>
                <w:b/>
                <w:spacing w:val="-3"/>
                <w:sz w:val="20"/>
                <w:szCs w:val="20"/>
                <w:lang w:val="en-GB"/>
              </w:rPr>
              <w:t>e</w:t>
            </w:r>
            <w:r w:rsidRPr="003476AC">
              <w:rPr>
                <w:rFonts w:ascii="Arial" w:hAnsi="Arial" w:cs="Arial"/>
                <w:b/>
                <w:sz w:val="20"/>
                <w:szCs w:val="20"/>
                <w:lang w:val="en-GB"/>
              </w:rPr>
              <w:t>r</w:t>
            </w:r>
            <w:r w:rsidRPr="003476AC">
              <w:rPr>
                <w:rFonts w:ascii="Arial" w:hAnsi="Arial" w:cs="Arial"/>
                <w:b/>
                <w:spacing w:val="2"/>
                <w:sz w:val="20"/>
                <w:szCs w:val="20"/>
                <w:lang w:val="en-GB"/>
              </w:rPr>
              <w:t xml:space="preserve"> </w:t>
            </w:r>
            <w:r w:rsidRPr="003476AC">
              <w:rPr>
                <w:rFonts w:ascii="Arial" w:hAnsi="Arial" w:cs="Arial"/>
                <w:b/>
                <w:spacing w:val="1"/>
                <w:sz w:val="20"/>
                <w:szCs w:val="20"/>
                <w:lang w:val="en-GB"/>
              </w:rPr>
              <w:t>“</w:t>
            </w:r>
            <w:r w:rsidRPr="003476AC">
              <w:rPr>
                <w:rFonts w:ascii="Arial" w:hAnsi="Arial" w:cs="Arial"/>
                <w:b/>
                <w:sz w:val="20"/>
                <w:szCs w:val="20"/>
                <w:lang w:val="en-GB"/>
              </w:rPr>
              <w:t xml:space="preserve">#2 </w:t>
            </w:r>
            <w:r w:rsidRPr="003476AC">
              <w:rPr>
                <w:rFonts w:ascii="Arial" w:hAnsi="Arial" w:cs="Arial"/>
                <w:b/>
                <w:spacing w:val="1"/>
                <w:sz w:val="20"/>
                <w:szCs w:val="20"/>
                <w:lang w:val="en-GB"/>
              </w:rPr>
              <w:t>Oth</w:t>
            </w:r>
            <w:r w:rsidRPr="003476AC">
              <w:rPr>
                <w:rFonts w:ascii="Arial" w:hAnsi="Arial" w:cs="Arial"/>
                <w:b/>
                <w:spacing w:val="-3"/>
                <w:sz w:val="20"/>
                <w:szCs w:val="20"/>
                <w:lang w:val="en-GB"/>
              </w:rPr>
              <w:t>e</w:t>
            </w:r>
            <w:r w:rsidRPr="003476AC">
              <w:rPr>
                <w:rFonts w:ascii="Arial" w:hAnsi="Arial" w:cs="Arial"/>
                <w:b/>
                <w:spacing w:val="1"/>
                <w:sz w:val="20"/>
                <w:szCs w:val="20"/>
                <w:lang w:val="en-GB"/>
              </w:rPr>
              <w:t>r”</w:t>
            </w:r>
            <w:r w:rsidRPr="003476AC">
              <w:rPr>
                <w:rFonts w:ascii="Arial" w:hAnsi="Arial" w:cs="Arial"/>
                <w:b/>
                <w:sz w:val="20"/>
                <w:szCs w:val="20"/>
                <w:lang w:val="en-GB"/>
              </w:rPr>
              <w:t>,</w:t>
            </w:r>
            <w:r w:rsidRPr="003476AC">
              <w:rPr>
                <w:rFonts w:ascii="Arial" w:hAnsi="Arial" w:cs="Arial"/>
                <w:b/>
                <w:spacing w:val="2"/>
                <w:sz w:val="20"/>
                <w:szCs w:val="20"/>
                <w:lang w:val="en-GB"/>
              </w:rPr>
              <w:t xml:space="preserve"> </w:t>
            </w:r>
            <w:r w:rsidRPr="003476AC">
              <w:rPr>
                <w:rFonts w:ascii="Arial" w:hAnsi="Arial" w:cs="Arial"/>
                <w:b/>
                <w:spacing w:val="-1"/>
                <w:sz w:val="20"/>
                <w:szCs w:val="20"/>
                <w:lang w:val="en-GB"/>
              </w:rPr>
              <w:t>w</w:t>
            </w:r>
            <w:r w:rsidRPr="003476AC">
              <w:rPr>
                <w:rFonts w:ascii="Arial" w:hAnsi="Arial" w:cs="Arial"/>
                <w:b/>
                <w:spacing w:val="1"/>
                <w:sz w:val="20"/>
                <w:szCs w:val="20"/>
                <w:lang w:val="en-GB"/>
              </w:rPr>
              <w:t>h</w:t>
            </w:r>
            <w:r w:rsidRPr="003476AC">
              <w:rPr>
                <w:rFonts w:ascii="Arial" w:hAnsi="Arial" w:cs="Arial"/>
                <w:b/>
                <w:spacing w:val="-1"/>
                <w:sz w:val="20"/>
                <w:szCs w:val="20"/>
                <w:lang w:val="en-GB"/>
              </w:rPr>
              <w:t>a</w:t>
            </w:r>
            <w:r w:rsidRPr="003476AC">
              <w:rPr>
                <w:rFonts w:ascii="Arial" w:hAnsi="Arial" w:cs="Arial"/>
                <w:b/>
                <w:sz w:val="20"/>
                <w:szCs w:val="20"/>
                <w:lang w:val="en-GB"/>
              </w:rPr>
              <w:t>t</w:t>
            </w:r>
            <w:r w:rsidRPr="003476AC">
              <w:rPr>
                <w:rFonts w:ascii="Arial" w:hAnsi="Arial" w:cs="Arial"/>
                <w:b/>
                <w:spacing w:val="2"/>
                <w:sz w:val="20"/>
                <w:szCs w:val="20"/>
                <w:lang w:val="en-GB"/>
              </w:rPr>
              <w:t xml:space="preserve"> </w:t>
            </w:r>
            <w:r w:rsidRPr="003476AC">
              <w:rPr>
                <w:rFonts w:ascii="Arial" w:hAnsi="Arial" w:cs="Arial"/>
                <w:b/>
                <w:spacing w:val="1"/>
                <w:sz w:val="20"/>
                <w:szCs w:val="20"/>
                <w:lang w:val="en-GB"/>
              </w:rPr>
              <w:t>i</w:t>
            </w:r>
            <w:r w:rsidRPr="003476AC">
              <w:rPr>
                <w:rFonts w:ascii="Arial" w:hAnsi="Arial" w:cs="Arial"/>
                <w:b/>
                <w:sz w:val="20"/>
                <w:szCs w:val="20"/>
                <w:lang w:val="en-GB"/>
              </w:rPr>
              <w:t>s</w:t>
            </w:r>
            <w:r w:rsidRPr="003476AC">
              <w:rPr>
                <w:rFonts w:ascii="Arial" w:hAnsi="Arial" w:cs="Arial"/>
                <w:b/>
                <w:spacing w:val="1"/>
                <w:sz w:val="20"/>
                <w:szCs w:val="20"/>
                <w:lang w:val="en-GB"/>
              </w:rPr>
              <w:t xml:space="preserve"> </w:t>
            </w:r>
            <w:r w:rsidRPr="003476AC">
              <w:rPr>
                <w:rFonts w:ascii="Arial" w:hAnsi="Arial" w:cs="Arial"/>
                <w:b/>
                <w:spacing w:val="-2"/>
                <w:sz w:val="20"/>
                <w:szCs w:val="20"/>
                <w:lang w:val="en-GB"/>
              </w:rPr>
              <w:t>t</w:t>
            </w:r>
            <w:r w:rsidRPr="003476AC">
              <w:rPr>
                <w:rFonts w:ascii="Arial" w:hAnsi="Arial" w:cs="Arial"/>
                <w:b/>
                <w:spacing w:val="1"/>
                <w:sz w:val="20"/>
                <w:szCs w:val="20"/>
                <w:lang w:val="en-GB"/>
              </w:rPr>
              <w:t>h</w:t>
            </w:r>
            <w:r w:rsidRPr="003476AC">
              <w:rPr>
                <w:rFonts w:ascii="Arial" w:hAnsi="Arial" w:cs="Arial"/>
                <w:b/>
                <w:spacing w:val="-1"/>
                <w:sz w:val="20"/>
                <w:szCs w:val="20"/>
                <w:lang w:val="en-GB"/>
              </w:rPr>
              <w:t>e</w:t>
            </w:r>
            <w:r w:rsidRPr="003476AC">
              <w:rPr>
                <w:rFonts w:ascii="Arial" w:hAnsi="Arial" w:cs="Arial"/>
                <w:b/>
                <w:spacing w:val="1"/>
                <w:sz w:val="20"/>
                <w:szCs w:val="20"/>
                <w:lang w:val="en-GB"/>
              </w:rPr>
              <w:t>i</w:t>
            </w:r>
            <w:r w:rsidRPr="003476AC">
              <w:rPr>
                <w:rFonts w:ascii="Arial" w:hAnsi="Arial" w:cs="Arial"/>
                <w:b/>
                <w:sz w:val="20"/>
                <w:szCs w:val="20"/>
                <w:lang w:val="en-GB"/>
              </w:rPr>
              <w:t>r</w:t>
            </w:r>
            <w:r w:rsidRPr="003476AC">
              <w:rPr>
                <w:rFonts w:ascii="Arial" w:hAnsi="Arial" w:cs="Arial"/>
                <w:b/>
                <w:spacing w:val="2"/>
                <w:sz w:val="20"/>
                <w:szCs w:val="20"/>
                <w:lang w:val="en-GB"/>
              </w:rPr>
              <w:t xml:space="preserve"> </w:t>
            </w:r>
            <w:r w:rsidRPr="003476AC">
              <w:rPr>
                <w:rFonts w:ascii="Arial" w:hAnsi="Arial" w:cs="Arial"/>
                <w:b/>
                <w:spacing w:val="-2"/>
                <w:sz w:val="20"/>
                <w:szCs w:val="20"/>
                <w:lang w:val="en-GB"/>
              </w:rPr>
              <w:t>p</w:t>
            </w:r>
            <w:r w:rsidRPr="003476AC">
              <w:rPr>
                <w:rFonts w:ascii="Arial" w:hAnsi="Arial" w:cs="Arial"/>
                <w:b/>
                <w:spacing w:val="1"/>
                <w:sz w:val="20"/>
                <w:szCs w:val="20"/>
                <w:lang w:val="en-GB"/>
              </w:rPr>
              <w:t>ur</w:t>
            </w:r>
            <w:r w:rsidRPr="003476AC">
              <w:rPr>
                <w:rFonts w:ascii="Arial" w:hAnsi="Arial" w:cs="Arial"/>
                <w:b/>
                <w:spacing w:val="-2"/>
                <w:sz w:val="20"/>
                <w:szCs w:val="20"/>
                <w:lang w:val="en-GB"/>
              </w:rPr>
              <w:t>p</w:t>
            </w:r>
            <w:r w:rsidRPr="003476AC">
              <w:rPr>
                <w:rFonts w:ascii="Arial" w:hAnsi="Arial" w:cs="Arial"/>
                <w:b/>
                <w:spacing w:val="1"/>
                <w:sz w:val="20"/>
                <w:szCs w:val="20"/>
                <w:lang w:val="en-GB"/>
              </w:rPr>
              <w:t>o</w:t>
            </w:r>
            <w:r w:rsidRPr="003476AC">
              <w:rPr>
                <w:rFonts w:ascii="Arial" w:hAnsi="Arial" w:cs="Arial"/>
                <w:b/>
                <w:spacing w:val="-2"/>
                <w:sz w:val="20"/>
                <w:szCs w:val="20"/>
                <w:lang w:val="en-GB"/>
              </w:rPr>
              <w:t>s</w:t>
            </w:r>
            <w:r w:rsidRPr="003476AC">
              <w:rPr>
                <w:rFonts w:ascii="Arial" w:hAnsi="Arial" w:cs="Arial"/>
                <w:b/>
                <w:sz w:val="20"/>
                <w:szCs w:val="20"/>
                <w:lang w:val="en-GB"/>
              </w:rPr>
              <w:t>e</w:t>
            </w:r>
            <w:r w:rsidRPr="003476AC">
              <w:rPr>
                <w:rFonts w:ascii="Arial" w:hAnsi="Arial" w:cs="Arial"/>
                <w:b/>
                <w:spacing w:val="3"/>
                <w:sz w:val="20"/>
                <w:szCs w:val="20"/>
                <w:lang w:val="en-GB"/>
              </w:rPr>
              <w:t xml:space="preserve"> </w:t>
            </w:r>
            <w:r w:rsidRPr="003476AC">
              <w:rPr>
                <w:rFonts w:ascii="Arial" w:hAnsi="Arial" w:cs="Arial"/>
                <w:b/>
                <w:spacing w:val="-1"/>
                <w:sz w:val="20"/>
                <w:szCs w:val="20"/>
                <w:lang w:val="en-GB"/>
              </w:rPr>
              <w:t>a</w:t>
            </w:r>
            <w:r w:rsidRPr="003476AC">
              <w:rPr>
                <w:rFonts w:ascii="Arial" w:hAnsi="Arial" w:cs="Arial"/>
                <w:b/>
                <w:spacing w:val="1"/>
                <w:sz w:val="20"/>
                <w:szCs w:val="20"/>
                <w:lang w:val="en-GB"/>
              </w:rPr>
              <w:t xml:space="preserve">nd </w:t>
            </w:r>
            <w:r w:rsidRPr="003476AC">
              <w:rPr>
                <w:rFonts w:ascii="Arial" w:hAnsi="Arial" w:cs="Arial"/>
                <w:b/>
                <w:spacing w:val="-1"/>
                <w:sz w:val="20"/>
                <w:szCs w:val="20"/>
                <w:lang w:val="en-GB"/>
              </w:rPr>
              <w:t>a</w:t>
            </w:r>
            <w:r w:rsidRPr="003476AC">
              <w:rPr>
                <w:rFonts w:ascii="Arial" w:hAnsi="Arial" w:cs="Arial"/>
                <w:b/>
                <w:spacing w:val="1"/>
                <w:sz w:val="20"/>
                <w:szCs w:val="20"/>
                <w:lang w:val="en-GB"/>
              </w:rPr>
              <w:t>r</w:t>
            </w:r>
            <w:r w:rsidRPr="003476AC">
              <w:rPr>
                <w:rFonts w:ascii="Arial" w:hAnsi="Arial" w:cs="Arial"/>
                <w:b/>
                <w:sz w:val="20"/>
                <w:szCs w:val="20"/>
                <w:lang w:val="en-GB"/>
              </w:rPr>
              <w:t xml:space="preserve">e </w:t>
            </w:r>
            <w:r w:rsidRPr="003476AC">
              <w:rPr>
                <w:rFonts w:ascii="Arial" w:hAnsi="Arial" w:cs="Arial"/>
                <w:b/>
                <w:spacing w:val="1"/>
                <w:sz w:val="20"/>
                <w:szCs w:val="20"/>
                <w:lang w:val="en-GB"/>
              </w:rPr>
              <w:t>th</w:t>
            </w:r>
            <w:r w:rsidRPr="003476AC">
              <w:rPr>
                <w:rFonts w:ascii="Arial" w:hAnsi="Arial" w:cs="Arial"/>
                <w:b/>
                <w:spacing w:val="-1"/>
                <w:sz w:val="20"/>
                <w:szCs w:val="20"/>
                <w:lang w:val="en-GB"/>
              </w:rPr>
              <w:t>e</w:t>
            </w:r>
            <w:r w:rsidRPr="003476AC">
              <w:rPr>
                <w:rFonts w:ascii="Arial" w:hAnsi="Arial" w:cs="Arial"/>
                <w:b/>
                <w:spacing w:val="1"/>
                <w:sz w:val="20"/>
                <w:szCs w:val="20"/>
                <w:lang w:val="en-GB"/>
              </w:rPr>
              <w:t>r</w:t>
            </w:r>
            <w:r w:rsidRPr="003476AC">
              <w:rPr>
                <w:rFonts w:ascii="Arial" w:hAnsi="Arial" w:cs="Arial"/>
                <w:b/>
                <w:sz w:val="20"/>
                <w:szCs w:val="20"/>
                <w:lang w:val="en-GB"/>
              </w:rPr>
              <w:t xml:space="preserve">e </w:t>
            </w:r>
            <w:r w:rsidRPr="003476AC">
              <w:rPr>
                <w:rFonts w:ascii="Arial" w:hAnsi="Arial" w:cs="Arial"/>
                <w:b/>
                <w:spacing w:val="-1"/>
                <w:sz w:val="20"/>
                <w:szCs w:val="20"/>
                <w:lang w:val="en-GB"/>
              </w:rPr>
              <w:t>a</w:t>
            </w:r>
            <w:r w:rsidRPr="003476AC">
              <w:rPr>
                <w:rFonts w:ascii="Arial" w:hAnsi="Arial" w:cs="Arial"/>
                <w:b/>
                <w:spacing w:val="1"/>
                <w:sz w:val="20"/>
                <w:szCs w:val="20"/>
                <w:lang w:val="en-GB"/>
              </w:rPr>
              <w:t>n</w:t>
            </w:r>
            <w:r w:rsidRPr="003476AC">
              <w:rPr>
                <w:rFonts w:ascii="Arial" w:hAnsi="Arial" w:cs="Arial"/>
                <w:b/>
                <w:sz w:val="20"/>
                <w:szCs w:val="20"/>
                <w:lang w:val="en-GB"/>
              </w:rPr>
              <w:t xml:space="preserve">y </w:t>
            </w:r>
            <w:r w:rsidRPr="003476AC">
              <w:rPr>
                <w:rFonts w:ascii="Arial" w:hAnsi="Arial" w:cs="Arial"/>
                <w:b/>
                <w:spacing w:val="-1"/>
                <w:sz w:val="20"/>
                <w:szCs w:val="20"/>
                <w:lang w:val="en-GB"/>
              </w:rPr>
              <w:t>m</w:t>
            </w:r>
            <w:r w:rsidRPr="003476AC">
              <w:rPr>
                <w:rFonts w:ascii="Arial" w:hAnsi="Arial" w:cs="Arial"/>
                <w:b/>
                <w:spacing w:val="1"/>
                <w:sz w:val="20"/>
                <w:szCs w:val="20"/>
                <w:lang w:val="en-GB"/>
              </w:rPr>
              <w:t>i</w:t>
            </w:r>
            <w:r w:rsidRPr="003476AC">
              <w:rPr>
                <w:rFonts w:ascii="Arial" w:hAnsi="Arial" w:cs="Arial"/>
                <w:b/>
                <w:spacing w:val="-2"/>
                <w:sz w:val="20"/>
                <w:szCs w:val="20"/>
                <w:lang w:val="en-GB"/>
              </w:rPr>
              <w:t>n</w:t>
            </w:r>
            <w:r w:rsidRPr="003476AC">
              <w:rPr>
                <w:rFonts w:ascii="Arial" w:hAnsi="Arial" w:cs="Arial"/>
                <w:b/>
                <w:spacing w:val="1"/>
                <w:sz w:val="20"/>
                <w:szCs w:val="20"/>
                <w:lang w:val="en-GB"/>
              </w:rPr>
              <w:t>i</w:t>
            </w:r>
            <w:r w:rsidRPr="003476AC">
              <w:rPr>
                <w:rFonts w:ascii="Arial" w:hAnsi="Arial" w:cs="Arial"/>
                <w:b/>
                <w:spacing w:val="-1"/>
                <w:sz w:val="20"/>
                <w:szCs w:val="20"/>
                <w:lang w:val="en-GB"/>
              </w:rPr>
              <w:t>m</w:t>
            </w:r>
            <w:r w:rsidRPr="003476AC">
              <w:rPr>
                <w:rFonts w:ascii="Arial" w:hAnsi="Arial" w:cs="Arial"/>
                <w:b/>
                <w:spacing w:val="1"/>
                <w:sz w:val="20"/>
                <w:szCs w:val="20"/>
                <w:lang w:val="en-GB"/>
              </w:rPr>
              <w:t>u</w:t>
            </w:r>
            <w:r w:rsidRPr="003476AC">
              <w:rPr>
                <w:rFonts w:ascii="Arial" w:hAnsi="Arial" w:cs="Arial"/>
                <w:b/>
                <w:sz w:val="20"/>
                <w:szCs w:val="20"/>
                <w:lang w:val="en-GB"/>
              </w:rPr>
              <w:t>m</w:t>
            </w:r>
            <w:r w:rsidRPr="003476AC">
              <w:rPr>
                <w:rFonts w:ascii="Arial" w:hAnsi="Arial" w:cs="Arial"/>
                <w:b/>
                <w:spacing w:val="-2"/>
                <w:sz w:val="20"/>
                <w:szCs w:val="20"/>
                <w:lang w:val="en-GB"/>
              </w:rPr>
              <w:t xml:space="preserve"> </w:t>
            </w:r>
            <w:r w:rsidRPr="003476AC">
              <w:rPr>
                <w:rFonts w:ascii="Arial" w:hAnsi="Arial" w:cs="Arial"/>
                <w:b/>
                <w:spacing w:val="-1"/>
                <w:sz w:val="20"/>
                <w:szCs w:val="20"/>
                <w:lang w:val="en-GB"/>
              </w:rPr>
              <w:t>e</w:t>
            </w:r>
            <w:r w:rsidRPr="003476AC">
              <w:rPr>
                <w:rFonts w:ascii="Arial" w:hAnsi="Arial" w:cs="Arial"/>
                <w:b/>
                <w:spacing w:val="1"/>
                <w:sz w:val="20"/>
                <w:szCs w:val="20"/>
                <w:lang w:val="en-GB"/>
              </w:rPr>
              <w:t>n</w:t>
            </w:r>
            <w:r w:rsidRPr="003476AC">
              <w:rPr>
                <w:rFonts w:ascii="Arial" w:hAnsi="Arial" w:cs="Arial"/>
                <w:b/>
                <w:spacing w:val="-1"/>
                <w:sz w:val="20"/>
                <w:szCs w:val="20"/>
                <w:lang w:val="en-GB"/>
              </w:rPr>
              <w:t>v</w:t>
            </w:r>
            <w:r w:rsidRPr="003476AC">
              <w:rPr>
                <w:rFonts w:ascii="Arial" w:hAnsi="Arial" w:cs="Arial"/>
                <w:b/>
                <w:spacing w:val="1"/>
                <w:sz w:val="20"/>
                <w:szCs w:val="20"/>
                <w:lang w:val="en-GB"/>
              </w:rPr>
              <w:t>iron</w:t>
            </w:r>
            <w:r w:rsidRPr="003476AC">
              <w:rPr>
                <w:rFonts w:ascii="Arial" w:hAnsi="Arial" w:cs="Arial"/>
                <w:b/>
                <w:spacing w:val="-1"/>
                <w:sz w:val="20"/>
                <w:szCs w:val="20"/>
                <w:lang w:val="en-GB"/>
              </w:rPr>
              <w:t>me</w:t>
            </w:r>
            <w:r w:rsidRPr="003476AC">
              <w:rPr>
                <w:rFonts w:ascii="Arial" w:hAnsi="Arial" w:cs="Arial"/>
                <w:b/>
                <w:spacing w:val="1"/>
                <w:sz w:val="20"/>
                <w:szCs w:val="20"/>
                <w:lang w:val="en-GB"/>
              </w:rPr>
              <w:t>nt</w:t>
            </w:r>
            <w:r w:rsidRPr="003476AC">
              <w:rPr>
                <w:rFonts w:ascii="Arial" w:hAnsi="Arial" w:cs="Arial"/>
                <w:b/>
                <w:spacing w:val="-1"/>
                <w:sz w:val="20"/>
                <w:szCs w:val="20"/>
                <w:lang w:val="en-GB"/>
              </w:rPr>
              <w:t>a</w:t>
            </w:r>
            <w:r w:rsidRPr="003476AC">
              <w:rPr>
                <w:rFonts w:ascii="Arial" w:hAnsi="Arial" w:cs="Arial"/>
                <w:b/>
                <w:sz w:val="20"/>
                <w:szCs w:val="20"/>
                <w:lang w:val="en-GB"/>
              </w:rPr>
              <w:t xml:space="preserve">l </w:t>
            </w:r>
            <w:r w:rsidRPr="003476AC">
              <w:rPr>
                <w:rFonts w:ascii="Arial" w:hAnsi="Arial" w:cs="Arial"/>
                <w:b/>
                <w:spacing w:val="1"/>
                <w:sz w:val="20"/>
                <w:szCs w:val="20"/>
                <w:lang w:val="en-GB"/>
              </w:rPr>
              <w:t>o</w:t>
            </w:r>
            <w:r w:rsidRPr="003476AC">
              <w:rPr>
                <w:rFonts w:ascii="Arial" w:hAnsi="Arial" w:cs="Arial"/>
                <w:b/>
                <w:sz w:val="20"/>
                <w:szCs w:val="20"/>
                <w:lang w:val="en-GB"/>
              </w:rPr>
              <w:t>r s</w:t>
            </w:r>
            <w:r w:rsidRPr="003476AC">
              <w:rPr>
                <w:rFonts w:ascii="Arial" w:hAnsi="Arial" w:cs="Arial"/>
                <w:b/>
                <w:spacing w:val="1"/>
                <w:sz w:val="20"/>
                <w:szCs w:val="20"/>
                <w:lang w:val="en-GB"/>
              </w:rPr>
              <w:t>o</w:t>
            </w:r>
            <w:r w:rsidRPr="003476AC">
              <w:rPr>
                <w:rFonts w:ascii="Arial" w:hAnsi="Arial" w:cs="Arial"/>
                <w:b/>
                <w:spacing w:val="-2"/>
                <w:sz w:val="20"/>
                <w:szCs w:val="20"/>
                <w:lang w:val="en-GB"/>
              </w:rPr>
              <w:t>c</w:t>
            </w:r>
            <w:r w:rsidRPr="003476AC">
              <w:rPr>
                <w:rFonts w:ascii="Arial" w:hAnsi="Arial" w:cs="Arial"/>
                <w:b/>
                <w:spacing w:val="1"/>
                <w:sz w:val="20"/>
                <w:szCs w:val="20"/>
                <w:lang w:val="en-GB"/>
              </w:rPr>
              <w:t>i</w:t>
            </w:r>
            <w:r w:rsidRPr="003476AC">
              <w:rPr>
                <w:rFonts w:ascii="Arial" w:hAnsi="Arial" w:cs="Arial"/>
                <w:b/>
                <w:spacing w:val="-1"/>
                <w:sz w:val="20"/>
                <w:szCs w:val="20"/>
                <w:lang w:val="en-GB"/>
              </w:rPr>
              <w:t>a</w:t>
            </w:r>
            <w:r w:rsidRPr="003476AC">
              <w:rPr>
                <w:rFonts w:ascii="Arial" w:hAnsi="Arial" w:cs="Arial"/>
                <w:b/>
                <w:sz w:val="20"/>
                <w:szCs w:val="20"/>
                <w:lang w:val="en-GB"/>
              </w:rPr>
              <w:t>l s</w:t>
            </w:r>
            <w:r w:rsidRPr="003476AC">
              <w:rPr>
                <w:rFonts w:ascii="Arial" w:hAnsi="Arial" w:cs="Arial"/>
                <w:b/>
                <w:spacing w:val="-1"/>
                <w:sz w:val="20"/>
                <w:szCs w:val="20"/>
                <w:lang w:val="en-GB"/>
              </w:rPr>
              <w:t>a</w:t>
            </w:r>
            <w:r w:rsidRPr="003476AC">
              <w:rPr>
                <w:rFonts w:ascii="Arial" w:hAnsi="Arial" w:cs="Arial"/>
                <w:b/>
                <w:spacing w:val="1"/>
                <w:sz w:val="20"/>
                <w:szCs w:val="20"/>
                <w:lang w:val="en-GB"/>
              </w:rPr>
              <w:t>f</w:t>
            </w:r>
            <w:r w:rsidRPr="003476AC">
              <w:rPr>
                <w:rFonts w:ascii="Arial" w:hAnsi="Arial" w:cs="Arial"/>
                <w:b/>
                <w:spacing w:val="-1"/>
                <w:sz w:val="20"/>
                <w:szCs w:val="20"/>
                <w:lang w:val="en-GB"/>
              </w:rPr>
              <w:t>eg</w:t>
            </w:r>
            <w:r w:rsidRPr="003476AC">
              <w:rPr>
                <w:rFonts w:ascii="Arial" w:hAnsi="Arial" w:cs="Arial"/>
                <w:b/>
                <w:spacing w:val="1"/>
                <w:sz w:val="20"/>
                <w:szCs w:val="20"/>
                <w:lang w:val="en-GB"/>
              </w:rPr>
              <w:t>u</w:t>
            </w:r>
            <w:r w:rsidRPr="003476AC">
              <w:rPr>
                <w:rFonts w:ascii="Arial" w:hAnsi="Arial" w:cs="Arial"/>
                <w:b/>
                <w:spacing w:val="-1"/>
                <w:sz w:val="20"/>
                <w:szCs w:val="20"/>
                <w:lang w:val="en-GB"/>
              </w:rPr>
              <w:t>a</w:t>
            </w:r>
            <w:r w:rsidRPr="003476AC">
              <w:rPr>
                <w:rFonts w:ascii="Arial" w:hAnsi="Arial" w:cs="Arial"/>
                <w:b/>
                <w:spacing w:val="1"/>
                <w:sz w:val="20"/>
                <w:szCs w:val="20"/>
                <w:lang w:val="en-GB"/>
              </w:rPr>
              <w:t>rd</w:t>
            </w:r>
            <w:r w:rsidRPr="003476AC">
              <w:rPr>
                <w:rFonts w:ascii="Arial" w:hAnsi="Arial" w:cs="Arial"/>
                <w:b/>
                <w:sz w:val="20"/>
                <w:szCs w:val="20"/>
                <w:lang w:val="en-GB"/>
              </w:rPr>
              <w:t>s?</w:t>
            </w:r>
          </w:p>
        </w:tc>
      </w:tr>
      <w:tr w:rsidR="00303F74" w:rsidRPr="003C1B8B" w14:paraId="2987F279" w14:textId="77777777" w:rsidTr="00303F74">
        <w:trPr>
          <w:trHeight w:val="561"/>
        </w:trPr>
        <w:tc>
          <w:tcPr>
            <w:tcW w:w="1116" w:type="pct"/>
            <w:vMerge/>
          </w:tcPr>
          <w:p w14:paraId="4F2A7651"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2B09CEE7" w14:textId="77777777" w:rsidR="00303F74" w:rsidRPr="003C1B8B" w:rsidRDefault="00303F74" w:rsidP="00303F74">
            <w:pPr>
              <w:spacing w:before="0" w:after="0"/>
              <w:jc w:val="left"/>
              <w:rPr>
                <w:rFonts w:ascii="Arial" w:hAnsi="Arial" w:cs="Arial"/>
                <w:sz w:val="20"/>
                <w:szCs w:val="20"/>
                <w:lang w:val="en-GB"/>
              </w:rPr>
            </w:pPr>
          </w:p>
        </w:tc>
        <w:tc>
          <w:tcPr>
            <w:tcW w:w="3760" w:type="pct"/>
            <w:gridSpan w:val="6"/>
          </w:tcPr>
          <w:p w14:paraId="325346B7" w14:textId="77777777" w:rsidR="00303F74" w:rsidRPr="003476AC" w:rsidRDefault="00303F74" w:rsidP="00303F74">
            <w:pPr>
              <w:spacing w:before="0" w:after="0"/>
              <w:rPr>
                <w:rFonts w:ascii="Arial" w:hAnsi="Arial" w:cs="Arial"/>
                <w:sz w:val="20"/>
                <w:szCs w:val="20"/>
                <w:lang w:val="en-GB"/>
              </w:rPr>
            </w:pPr>
            <w:r w:rsidRPr="003476AC">
              <w:rPr>
                <w:rFonts w:ascii="Arial" w:hAnsi="Arial" w:cs="Arial"/>
                <w:sz w:val="20"/>
                <w:szCs w:val="20"/>
                <w:lang w:val="en-GB"/>
              </w:rPr>
              <w:t>These investments comprise regulated funds, unlisted securities, cash and/or other liquid instruments for ancillary liquidity purposes and/or the use of FDIs for efficient portfolio management and currency hedging purposes.</w:t>
            </w:r>
            <w:r w:rsidRPr="003476AC">
              <w:rPr>
                <w:rFonts w:ascii="Arial" w:hAnsi="Arial" w:cs="Arial"/>
                <w:sz w:val="20"/>
                <w:szCs w:val="20"/>
                <w:vertAlign w:val="superscript"/>
                <w:lang w:val="en-GB"/>
              </w:rPr>
              <w:t xml:space="preserve"> </w:t>
            </w:r>
            <w:r w:rsidRPr="003476AC">
              <w:rPr>
                <w:rFonts w:ascii="Arial" w:hAnsi="Arial" w:cs="Arial"/>
                <w:sz w:val="20"/>
                <w:szCs w:val="20"/>
                <w:lang w:val="en-GB"/>
              </w:rPr>
              <w:t>Minimum environmental and social safeguards are not applicable due to the nature of the investments.</w:t>
            </w:r>
          </w:p>
          <w:p w14:paraId="3FCCA94E" w14:textId="77777777" w:rsidR="00303F74" w:rsidRPr="003476AC" w:rsidRDefault="00303F74" w:rsidP="00303F74">
            <w:pPr>
              <w:spacing w:before="0" w:after="0"/>
              <w:jc w:val="left"/>
              <w:rPr>
                <w:rFonts w:ascii="Arial" w:hAnsi="Arial" w:cs="Arial"/>
                <w:sz w:val="20"/>
                <w:szCs w:val="20"/>
                <w:lang w:val="en-GB"/>
              </w:rPr>
            </w:pPr>
          </w:p>
        </w:tc>
      </w:tr>
      <w:tr w:rsidR="00303F74" w:rsidRPr="003C1B8B" w14:paraId="114EB1AD" w14:textId="77777777" w:rsidTr="00303F74">
        <w:tc>
          <w:tcPr>
            <w:tcW w:w="1116" w:type="pct"/>
            <w:vMerge/>
          </w:tcPr>
          <w:p w14:paraId="5F6DDD54"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14D0C366" w14:textId="77777777" w:rsidR="00303F74" w:rsidRPr="003C1B8B" w:rsidRDefault="00303F74" w:rsidP="00303F74">
            <w:pPr>
              <w:spacing w:before="0" w:after="0"/>
              <w:ind w:left="737"/>
              <w:jc w:val="left"/>
              <w:rPr>
                <w:noProof/>
                <w:sz w:val="22"/>
                <w:szCs w:val="22"/>
                <w:highlight w:val="yellow"/>
                <w:lang w:val="en-GB"/>
              </w:rPr>
            </w:pPr>
          </w:p>
        </w:tc>
        <w:tc>
          <w:tcPr>
            <w:tcW w:w="3760" w:type="pct"/>
            <w:gridSpan w:val="6"/>
          </w:tcPr>
          <w:p w14:paraId="27E4D867" w14:textId="77777777" w:rsidR="00303F74" w:rsidRPr="003476AC" w:rsidRDefault="00303F74" w:rsidP="00303F74">
            <w:pPr>
              <w:spacing w:before="0" w:after="0"/>
              <w:ind w:left="737"/>
              <w:jc w:val="left"/>
              <w:rPr>
                <w:rFonts w:ascii="Arial" w:hAnsi="Arial" w:cs="Arial"/>
                <w:b/>
                <w:sz w:val="20"/>
                <w:szCs w:val="20"/>
                <w:lang w:val="en-GB"/>
              </w:rPr>
            </w:pPr>
            <w:r w:rsidRPr="003476AC">
              <w:rPr>
                <w:rFonts w:ascii="Arial" w:hAnsi="Arial" w:cs="Arial"/>
                <w:b/>
                <w:spacing w:val="1"/>
                <w:sz w:val="20"/>
                <w:szCs w:val="20"/>
                <w:lang w:val="en-GB"/>
              </w:rPr>
              <w:t>I</w:t>
            </w:r>
            <w:r w:rsidRPr="003476AC">
              <w:rPr>
                <w:rFonts w:ascii="Arial" w:hAnsi="Arial" w:cs="Arial"/>
                <w:b/>
                <w:sz w:val="20"/>
                <w:szCs w:val="20"/>
                <w:lang w:val="en-GB"/>
              </w:rPr>
              <w:t>s</w:t>
            </w:r>
            <w:r w:rsidRPr="003476AC">
              <w:rPr>
                <w:rFonts w:ascii="Arial" w:hAnsi="Arial" w:cs="Arial"/>
                <w:b/>
                <w:spacing w:val="4"/>
                <w:sz w:val="20"/>
                <w:szCs w:val="20"/>
                <w:lang w:val="en-GB"/>
              </w:rPr>
              <w:t xml:space="preserve"> </w:t>
            </w:r>
            <w:r w:rsidRPr="003476AC">
              <w:rPr>
                <w:rFonts w:ascii="Arial" w:hAnsi="Arial" w:cs="Arial"/>
                <w:b/>
                <w:sz w:val="20"/>
                <w:szCs w:val="20"/>
                <w:lang w:val="en-GB"/>
              </w:rPr>
              <w:t>a</w:t>
            </w:r>
            <w:r w:rsidRPr="003476AC">
              <w:rPr>
                <w:rFonts w:ascii="Arial" w:hAnsi="Arial" w:cs="Arial"/>
                <w:b/>
                <w:spacing w:val="2"/>
                <w:sz w:val="20"/>
                <w:szCs w:val="20"/>
                <w:lang w:val="en-GB"/>
              </w:rPr>
              <w:t xml:space="preserve"> </w:t>
            </w:r>
            <w:r w:rsidRPr="003476AC">
              <w:rPr>
                <w:rFonts w:ascii="Arial" w:hAnsi="Arial" w:cs="Arial"/>
                <w:b/>
                <w:sz w:val="20"/>
                <w:szCs w:val="20"/>
                <w:lang w:val="en-GB"/>
              </w:rPr>
              <w:t>s</w:t>
            </w:r>
            <w:r w:rsidRPr="003476AC">
              <w:rPr>
                <w:rFonts w:ascii="Arial" w:hAnsi="Arial" w:cs="Arial"/>
                <w:b/>
                <w:spacing w:val="1"/>
                <w:sz w:val="20"/>
                <w:szCs w:val="20"/>
                <w:lang w:val="en-GB"/>
              </w:rPr>
              <w:t>p</w:t>
            </w:r>
            <w:r w:rsidRPr="003476AC">
              <w:rPr>
                <w:rFonts w:ascii="Arial" w:hAnsi="Arial" w:cs="Arial"/>
                <w:b/>
                <w:spacing w:val="-1"/>
                <w:sz w:val="20"/>
                <w:szCs w:val="20"/>
                <w:lang w:val="en-GB"/>
              </w:rPr>
              <w:t>e</w:t>
            </w:r>
            <w:r w:rsidRPr="003476AC">
              <w:rPr>
                <w:rFonts w:ascii="Arial" w:hAnsi="Arial" w:cs="Arial"/>
                <w:b/>
                <w:sz w:val="20"/>
                <w:szCs w:val="20"/>
                <w:lang w:val="en-GB"/>
              </w:rPr>
              <w:t>c</w:t>
            </w:r>
            <w:r w:rsidRPr="003476AC">
              <w:rPr>
                <w:rFonts w:ascii="Arial" w:hAnsi="Arial" w:cs="Arial"/>
                <w:b/>
                <w:spacing w:val="1"/>
                <w:sz w:val="20"/>
                <w:szCs w:val="20"/>
                <w:lang w:val="en-GB"/>
              </w:rPr>
              <w:t>i</w:t>
            </w:r>
            <w:r w:rsidRPr="003476AC">
              <w:rPr>
                <w:rFonts w:ascii="Arial" w:hAnsi="Arial" w:cs="Arial"/>
                <w:b/>
                <w:spacing w:val="-2"/>
                <w:sz w:val="20"/>
                <w:szCs w:val="20"/>
                <w:lang w:val="en-GB"/>
              </w:rPr>
              <w:t>f</w:t>
            </w:r>
            <w:r w:rsidRPr="003476AC">
              <w:rPr>
                <w:rFonts w:ascii="Arial" w:hAnsi="Arial" w:cs="Arial"/>
                <w:b/>
                <w:spacing w:val="1"/>
                <w:sz w:val="20"/>
                <w:szCs w:val="20"/>
                <w:lang w:val="en-GB"/>
              </w:rPr>
              <w:t>i</w:t>
            </w:r>
            <w:r w:rsidRPr="003476AC">
              <w:rPr>
                <w:rFonts w:ascii="Arial" w:hAnsi="Arial" w:cs="Arial"/>
                <w:b/>
                <w:sz w:val="20"/>
                <w:szCs w:val="20"/>
                <w:lang w:val="en-GB"/>
              </w:rPr>
              <w:t>c</w:t>
            </w:r>
            <w:r w:rsidRPr="003476AC">
              <w:rPr>
                <w:rFonts w:ascii="Arial" w:hAnsi="Arial" w:cs="Arial"/>
                <w:b/>
                <w:spacing w:val="4"/>
                <w:sz w:val="20"/>
                <w:szCs w:val="20"/>
                <w:lang w:val="en-GB"/>
              </w:rPr>
              <w:t xml:space="preserve"> </w:t>
            </w:r>
            <w:r w:rsidRPr="003476AC">
              <w:rPr>
                <w:rFonts w:ascii="Arial" w:hAnsi="Arial" w:cs="Arial"/>
                <w:b/>
                <w:spacing w:val="1"/>
                <w:sz w:val="20"/>
                <w:szCs w:val="20"/>
                <w:lang w:val="en-GB"/>
              </w:rPr>
              <w:t>i</w:t>
            </w:r>
            <w:r w:rsidRPr="003476AC">
              <w:rPr>
                <w:rFonts w:ascii="Arial" w:hAnsi="Arial" w:cs="Arial"/>
                <w:b/>
                <w:spacing w:val="-2"/>
                <w:sz w:val="20"/>
                <w:szCs w:val="20"/>
                <w:lang w:val="en-GB"/>
              </w:rPr>
              <w:t>n</w:t>
            </w:r>
            <w:r w:rsidRPr="003476AC">
              <w:rPr>
                <w:rFonts w:ascii="Arial" w:hAnsi="Arial" w:cs="Arial"/>
                <w:b/>
                <w:spacing w:val="1"/>
                <w:sz w:val="20"/>
                <w:szCs w:val="20"/>
                <w:lang w:val="en-GB"/>
              </w:rPr>
              <w:t>d</w:t>
            </w:r>
            <w:r w:rsidRPr="003476AC">
              <w:rPr>
                <w:rFonts w:ascii="Arial" w:hAnsi="Arial" w:cs="Arial"/>
                <w:b/>
                <w:spacing w:val="-1"/>
                <w:sz w:val="20"/>
                <w:szCs w:val="20"/>
                <w:lang w:val="en-GB"/>
              </w:rPr>
              <w:t>e</w:t>
            </w:r>
            <w:r w:rsidRPr="003476AC">
              <w:rPr>
                <w:rFonts w:ascii="Arial" w:hAnsi="Arial" w:cs="Arial"/>
                <w:b/>
                <w:sz w:val="20"/>
                <w:szCs w:val="20"/>
                <w:lang w:val="en-GB"/>
              </w:rPr>
              <w:t>x</w:t>
            </w:r>
            <w:r w:rsidRPr="003476AC">
              <w:rPr>
                <w:rFonts w:ascii="Arial" w:hAnsi="Arial" w:cs="Arial"/>
                <w:b/>
                <w:spacing w:val="3"/>
                <w:sz w:val="20"/>
                <w:szCs w:val="20"/>
                <w:lang w:val="en-GB"/>
              </w:rPr>
              <w:t xml:space="preserve"> </w:t>
            </w:r>
            <w:r w:rsidRPr="003476AC">
              <w:rPr>
                <w:rFonts w:ascii="Arial" w:hAnsi="Arial" w:cs="Arial"/>
                <w:b/>
                <w:spacing w:val="1"/>
                <w:sz w:val="20"/>
                <w:szCs w:val="20"/>
                <w:lang w:val="en-GB"/>
              </w:rPr>
              <w:t>d</w:t>
            </w:r>
            <w:r w:rsidRPr="003476AC">
              <w:rPr>
                <w:rFonts w:ascii="Arial" w:hAnsi="Arial" w:cs="Arial"/>
                <w:b/>
                <w:spacing w:val="-1"/>
                <w:sz w:val="20"/>
                <w:szCs w:val="20"/>
                <w:lang w:val="en-GB"/>
              </w:rPr>
              <w:t>e</w:t>
            </w:r>
            <w:r w:rsidRPr="003476AC">
              <w:rPr>
                <w:rFonts w:ascii="Arial" w:hAnsi="Arial" w:cs="Arial"/>
                <w:b/>
                <w:sz w:val="20"/>
                <w:szCs w:val="20"/>
                <w:lang w:val="en-GB"/>
              </w:rPr>
              <w:t>s</w:t>
            </w:r>
            <w:r w:rsidRPr="003476AC">
              <w:rPr>
                <w:rFonts w:ascii="Arial" w:hAnsi="Arial" w:cs="Arial"/>
                <w:b/>
                <w:spacing w:val="1"/>
                <w:sz w:val="20"/>
                <w:szCs w:val="20"/>
                <w:lang w:val="en-GB"/>
              </w:rPr>
              <w:t>i</w:t>
            </w:r>
            <w:r w:rsidRPr="003476AC">
              <w:rPr>
                <w:rFonts w:ascii="Arial" w:hAnsi="Arial" w:cs="Arial"/>
                <w:b/>
                <w:spacing w:val="-3"/>
                <w:sz w:val="20"/>
                <w:szCs w:val="20"/>
                <w:lang w:val="en-GB"/>
              </w:rPr>
              <w:t>g</w:t>
            </w:r>
            <w:r w:rsidRPr="003476AC">
              <w:rPr>
                <w:rFonts w:ascii="Arial" w:hAnsi="Arial" w:cs="Arial"/>
                <w:b/>
                <w:spacing w:val="1"/>
                <w:sz w:val="20"/>
                <w:szCs w:val="20"/>
                <w:lang w:val="en-GB"/>
              </w:rPr>
              <w:t>n</w:t>
            </w:r>
            <w:r w:rsidRPr="003476AC">
              <w:rPr>
                <w:rFonts w:ascii="Arial" w:hAnsi="Arial" w:cs="Arial"/>
                <w:b/>
                <w:spacing w:val="-1"/>
                <w:sz w:val="20"/>
                <w:szCs w:val="20"/>
                <w:lang w:val="en-GB"/>
              </w:rPr>
              <w:t>a</w:t>
            </w:r>
            <w:r w:rsidRPr="003476AC">
              <w:rPr>
                <w:rFonts w:ascii="Arial" w:hAnsi="Arial" w:cs="Arial"/>
                <w:b/>
                <w:spacing w:val="1"/>
                <w:sz w:val="20"/>
                <w:szCs w:val="20"/>
                <w:lang w:val="en-GB"/>
              </w:rPr>
              <w:t>t</w:t>
            </w:r>
            <w:r w:rsidRPr="003476AC">
              <w:rPr>
                <w:rFonts w:ascii="Arial" w:hAnsi="Arial" w:cs="Arial"/>
                <w:b/>
                <w:spacing w:val="-1"/>
                <w:sz w:val="20"/>
                <w:szCs w:val="20"/>
                <w:lang w:val="en-GB"/>
              </w:rPr>
              <w:t>e</w:t>
            </w:r>
            <w:r w:rsidRPr="003476AC">
              <w:rPr>
                <w:rFonts w:ascii="Arial" w:hAnsi="Arial" w:cs="Arial"/>
                <w:b/>
                <w:sz w:val="20"/>
                <w:szCs w:val="20"/>
                <w:lang w:val="en-GB"/>
              </w:rPr>
              <w:t>d</w:t>
            </w:r>
            <w:r w:rsidRPr="003476AC">
              <w:rPr>
                <w:rFonts w:ascii="Arial" w:hAnsi="Arial" w:cs="Arial"/>
                <w:b/>
                <w:spacing w:val="4"/>
                <w:sz w:val="20"/>
                <w:szCs w:val="20"/>
                <w:lang w:val="en-GB"/>
              </w:rPr>
              <w:t xml:space="preserve"> </w:t>
            </w:r>
            <w:r w:rsidRPr="003476AC">
              <w:rPr>
                <w:rFonts w:ascii="Arial" w:hAnsi="Arial" w:cs="Arial"/>
                <w:b/>
                <w:spacing w:val="-1"/>
                <w:sz w:val="20"/>
                <w:szCs w:val="20"/>
                <w:lang w:val="en-GB"/>
              </w:rPr>
              <w:t>a</w:t>
            </w:r>
            <w:r w:rsidRPr="003476AC">
              <w:rPr>
                <w:rFonts w:ascii="Arial" w:hAnsi="Arial" w:cs="Arial"/>
                <w:b/>
                <w:sz w:val="20"/>
                <w:szCs w:val="20"/>
                <w:lang w:val="en-GB"/>
              </w:rPr>
              <w:t>s</w:t>
            </w:r>
            <w:r w:rsidRPr="003476AC">
              <w:rPr>
                <w:rFonts w:ascii="Arial" w:hAnsi="Arial" w:cs="Arial"/>
                <w:b/>
                <w:spacing w:val="4"/>
                <w:sz w:val="20"/>
                <w:szCs w:val="20"/>
                <w:lang w:val="en-GB"/>
              </w:rPr>
              <w:t xml:space="preserve"> </w:t>
            </w:r>
            <w:r w:rsidRPr="003476AC">
              <w:rPr>
                <w:rFonts w:ascii="Arial" w:hAnsi="Arial" w:cs="Arial"/>
                <w:b/>
                <w:sz w:val="20"/>
                <w:szCs w:val="20"/>
                <w:lang w:val="en-GB"/>
              </w:rPr>
              <w:t>a</w:t>
            </w:r>
            <w:r w:rsidRPr="003476AC">
              <w:rPr>
                <w:rFonts w:ascii="Arial" w:hAnsi="Arial" w:cs="Arial"/>
                <w:b/>
                <w:spacing w:val="2"/>
                <w:sz w:val="20"/>
                <w:szCs w:val="20"/>
                <w:lang w:val="en-GB"/>
              </w:rPr>
              <w:t xml:space="preserve"> </w:t>
            </w:r>
            <w:r w:rsidRPr="003476AC">
              <w:rPr>
                <w:rFonts w:ascii="Arial" w:hAnsi="Arial" w:cs="Arial"/>
                <w:b/>
                <w:spacing w:val="1"/>
                <w:sz w:val="20"/>
                <w:szCs w:val="20"/>
                <w:lang w:val="en-GB"/>
              </w:rPr>
              <w:t>r</w:t>
            </w:r>
            <w:r w:rsidRPr="003476AC">
              <w:rPr>
                <w:rFonts w:ascii="Arial" w:hAnsi="Arial" w:cs="Arial"/>
                <w:b/>
                <w:spacing w:val="-1"/>
                <w:sz w:val="20"/>
                <w:szCs w:val="20"/>
                <w:lang w:val="en-GB"/>
              </w:rPr>
              <w:t>e</w:t>
            </w:r>
            <w:r w:rsidRPr="003476AC">
              <w:rPr>
                <w:rFonts w:ascii="Arial" w:hAnsi="Arial" w:cs="Arial"/>
                <w:b/>
                <w:spacing w:val="1"/>
                <w:sz w:val="20"/>
                <w:szCs w:val="20"/>
                <w:lang w:val="en-GB"/>
              </w:rPr>
              <w:t>f</w:t>
            </w:r>
            <w:r w:rsidRPr="003476AC">
              <w:rPr>
                <w:rFonts w:ascii="Arial" w:hAnsi="Arial" w:cs="Arial"/>
                <w:b/>
                <w:spacing w:val="-1"/>
                <w:sz w:val="20"/>
                <w:szCs w:val="20"/>
                <w:lang w:val="en-GB"/>
              </w:rPr>
              <w:t>e</w:t>
            </w:r>
            <w:r w:rsidRPr="003476AC">
              <w:rPr>
                <w:rFonts w:ascii="Arial" w:hAnsi="Arial" w:cs="Arial"/>
                <w:b/>
                <w:spacing w:val="1"/>
                <w:sz w:val="20"/>
                <w:szCs w:val="20"/>
                <w:lang w:val="en-GB"/>
              </w:rPr>
              <w:t>r</w:t>
            </w:r>
            <w:r w:rsidRPr="003476AC">
              <w:rPr>
                <w:rFonts w:ascii="Arial" w:hAnsi="Arial" w:cs="Arial"/>
                <w:b/>
                <w:spacing w:val="-1"/>
                <w:sz w:val="20"/>
                <w:szCs w:val="20"/>
                <w:lang w:val="en-GB"/>
              </w:rPr>
              <w:t>e</w:t>
            </w:r>
            <w:r w:rsidRPr="003476AC">
              <w:rPr>
                <w:rFonts w:ascii="Arial" w:hAnsi="Arial" w:cs="Arial"/>
                <w:b/>
                <w:spacing w:val="1"/>
                <w:sz w:val="20"/>
                <w:szCs w:val="20"/>
                <w:lang w:val="en-GB"/>
              </w:rPr>
              <w:t>n</w:t>
            </w:r>
            <w:r w:rsidRPr="003476AC">
              <w:rPr>
                <w:rFonts w:ascii="Arial" w:hAnsi="Arial" w:cs="Arial"/>
                <w:b/>
                <w:sz w:val="20"/>
                <w:szCs w:val="20"/>
                <w:lang w:val="en-GB"/>
              </w:rPr>
              <w:t>ce</w:t>
            </w:r>
            <w:r w:rsidRPr="003476AC">
              <w:rPr>
                <w:rFonts w:ascii="Arial" w:hAnsi="Arial" w:cs="Arial"/>
                <w:b/>
                <w:spacing w:val="3"/>
                <w:sz w:val="20"/>
                <w:szCs w:val="20"/>
                <w:lang w:val="en-GB"/>
              </w:rPr>
              <w:t xml:space="preserve"> </w:t>
            </w:r>
            <w:r w:rsidRPr="003476AC">
              <w:rPr>
                <w:rFonts w:ascii="Arial" w:hAnsi="Arial" w:cs="Arial"/>
                <w:b/>
                <w:spacing w:val="1"/>
                <w:sz w:val="20"/>
                <w:szCs w:val="20"/>
                <w:lang w:val="en-GB"/>
              </w:rPr>
              <w:t>b</w:t>
            </w:r>
            <w:r w:rsidRPr="003476AC">
              <w:rPr>
                <w:rFonts w:ascii="Arial" w:hAnsi="Arial" w:cs="Arial"/>
                <w:b/>
                <w:spacing w:val="-1"/>
                <w:sz w:val="20"/>
                <w:szCs w:val="20"/>
                <w:lang w:val="en-GB"/>
              </w:rPr>
              <w:t>e</w:t>
            </w:r>
            <w:r w:rsidRPr="003476AC">
              <w:rPr>
                <w:rFonts w:ascii="Arial" w:hAnsi="Arial" w:cs="Arial"/>
                <w:b/>
                <w:spacing w:val="1"/>
                <w:sz w:val="20"/>
                <w:szCs w:val="20"/>
                <w:lang w:val="en-GB"/>
              </w:rPr>
              <w:t>n</w:t>
            </w:r>
            <w:r w:rsidRPr="003476AC">
              <w:rPr>
                <w:rFonts w:ascii="Arial" w:hAnsi="Arial" w:cs="Arial"/>
                <w:b/>
                <w:sz w:val="20"/>
                <w:szCs w:val="20"/>
                <w:lang w:val="en-GB"/>
              </w:rPr>
              <w:t>c</w:t>
            </w:r>
            <w:r w:rsidRPr="003476AC">
              <w:rPr>
                <w:rFonts w:ascii="Arial" w:hAnsi="Arial" w:cs="Arial"/>
                <w:b/>
                <w:spacing w:val="1"/>
                <w:sz w:val="20"/>
                <w:szCs w:val="20"/>
                <w:lang w:val="en-GB"/>
              </w:rPr>
              <w:t>h</w:t>
            </w:r>
            <w:r w:rsidRPr="003476AC">
              <w:rPr>
                <w:rFonts w:ascii="Arial" w:hAnsi="Arial" w:cs="Arial"/>
                <w:b/>
                <w:spacing w:val="-1"/>
                <w:sz w:val="20"/>
                <w:szCs w:val="20"/>
                <w:lang w:val="en-GB"/>
              </w:rPr>
              <w:t>ma</w:t>
            </w:r>
            <w:r w:rsidRPr="003476AC">
              <w:rPr>
                <w:rFonts w:ascii="Arial" w:hAnsi="Arial" w:cs="Arial"/>
                <w:b/>
                <w:spacing w:val="1"/>
                <w:sz w:val="20"/>
                <w:szCs w:val="20"/>
                <w:lang w:val="en-GB"/>
              </w:rPr>
              <w:t>r</w:t>
            </w:r>
            <w:r w:rsidRPr="003476AC">
              <w:rPr>
                <w:rFonts w:ascii="Arial" w:hAnsi="Arial" w:cs="Arial"/>
                <w:b/>
                <w:sz w:val="20"/>
                <w:szCs w:val="20"/>
                <w:lang w:val="en-GB"/>
              </w:rPr>
              <w:t>k</w:t>
            </w:r>
            <w:r w:rsidRPr="003476AC">
              <w:rPr>
                <w:rFonts w:ascii="Arial" w:hAnsi="Arial" w:cs="Arial"/>
                <w:b/>
                <w:spacing w:val="3"/>
                <w:sz w:val="20"/>
                <w:szCs w:val="20"/>
                <w:lang w:val="en-GB"/>
              </w:rPr>
              <w:t xml:space="preserve"> </w:t>
            </w:r>
            <w:r w:rsidRPr="003476AC">
              <w:rPr>
                <w:rFonts w:ascii="Arial" w:hAnsi="Arial" w:cs="Arial"/>
                <w:b/>
                <w:spacing w:val="1"/>
                <w:sz w:val="20"/>
                <w:szCs w:val="20"/>
                <w:lang w:val="en-GB"/>
              </w:rPr>
              <w:t>t</w:t>
            </w:r>
            <w:r w:rsidRPr="003476AC">
              <w:rPr>
                <w:rFonts w:ascii="Arial" w:hAnsi="Arial" w:cs="Arial"/>
                <w:b/>
                <w:sz w:val="20"/>
                <w:szCs w:val="20"/>
                <w:lang w:val="en-GB"/>
              </w:rPr>
              <w:t>o</w:t>
            </w:r>
            <w:r w:rsidRPr="003476AC">
              <w:rPr>
                <w:rFonts w:ascii="Arial" w:hAnsi="Arial" w:cs="Arial"/>
                <w:b/>
                <w:spacing w:val="4"/>
                <w:sz w:val="20"/>
                <w:szCs w:val="20"/>
                <w:lang w:val="en-GB"/>
              </w:rPr>
              <w:t xml:space="preserve"> </w:t>
            </w:r>
            <w:r w:rsidRPr="003476AC">
              <w:rPr>
                <w:rFonts w:ascii="Arial" w:hAnsi="Arial" w:cs="Arial"/>
                <w:b/>
                <w:spacing w:val="1"/>
                <w:sz w:val="20"/>
                <w:szCs w:val="20"/>
                <w:lang w:val="en-GB"/>
              </w:rPr>
              <w:t>d</w:t>
            </w:r>
            <w:r w:rsidRPr="003476AC">
              <w:rPr>
                <w:rFonts w:ascii="Arial" w:hAnsi="Arial" w:cs="Arial"/>
                <w:b/>
                <w:spacing w:val="-1"/>
                <w:sz w:val="20"/>
                <w:szCs w:val="20"/>
                <w:lang w:val="en-GB"/>
              </w:rPr>
              <w:t>e</w:t>
            </w:r>
            <w:r w:rsidRPr="003476AC">
              <w:rPr>
                <w:rFonts w:ascii="Arial" w:hAnsi="Arial" w:cs="Arial"/>
                <w:b/>
                <w:spacing w:val="1"/>
                <w:sz w:val="20"/>
                <w:szCs w:val="20"/>
                <w:lang w:val="en-GB"/>
              </w:rPr>
              <w:t>t</w:t>
            </w:r>
            <w:r w:rsidRPr="003476AC">
              <w:rPr>
                <w:rFonts w:ascii="Arial" w:hAnsi="Arial" w:cs="Arial"/>
                <w:b/>
                <w:spacing w:val="-3"/>
                <w:sz w:val="20"/>
                <w:szCs w:val="20"/>
                <w:lang w:val="en-GB"/>
              </w:rPr>
              <w:t>e</w:t>
            </w:r>
            <w:r w:rsidRPr="003476AC">
              <w:rPr>
                <w:rFonts w:ascii="Arial" w:hAnsi="Arial" w:cs="Arial"/>
                <w:b/>
                <w:spacing w:val="1"/>
                <w:sz w:val="20"/>
                <w:szCs w:val="20"/>
                <w:lang w:val="en-GB"/>
              </w:rPr>
              <w:t>r</w:t>
            </w:r>
            <w:r w:rsidRPr="003476AC">
              <w:rPr>
                <w:rFonts w:ascii="Arial" w:hAnsi="Arial" w:cs="Arial"/>
                <w:b/>
                <w:spacing w:val="-1"/>
                <w:sz w:val="20"/>
                <w:szCs w:val="20"/>
                <w:lang w:val="en-GB"/>
              </w:rPr>
              <w:t>m</w:t>
            </w:r>
            <w:r w:rsidRPr="003476AC">
              <w:rPr>
                <w:rFonts w:ascii="Arial" w:hAnsi="Arial" w:cs="Arial"/>
                <w:b/>
                <w:spacing w:val="1"/>
                <w:sz w:val="20"/>
                <w:szCs w:val="20"/>
                <w:lang w:val="en-GB"/>
              </w:rPr>
              <w:t>in</w:t>
            </w:r>
            <w:r w:rsidRPr="003476AC">
              <w:rPr>
                <w:rFonts w:ascii="Arial" w:hAnsi="Arial" w:cs="Arial"/>
                <w:b/>
                <w:sz w:val="20"/>
                <w:szCs w:val="20"/>
                <w:lang w:val="en-GB"/>
              </w:rPr>
              <w:t xml:space="preserve">e </w:t>
            </w:r>
            <w:r w:rsidRPr="003476AC">
              <w:rPr>
                <w:rFonts w:ascii="Arial" w:hAnsi="Arial" w:cs="Arial"/>
                <w:b/>
                <w:spacing w:val="1"/>
                <w:sz w:val="20"/>
                <w:szCs w:val="20"/>
                <w:lang w:val="en-GB"/>
              </w:rPr>
              <w:t>wh</w:t>
            </w:r>
            <w:r w:rsidRPr="003476AC">
              <w:rPr>
                <w:rFonts w:ascii="Arial" w:hAnsi="Arial" w:cs="Arial"/>
                <w:b/>
                <w:spacing w:val="-1"/>
                <w:sz w:val="20"/>
                <w:szCs w:val="20"/>
                <w:lang w:val="en-GB"/>
              </w:rPr>
              <w:t>e</w:t>
            </w:r>
            <w:r w:rsidRPr="003476AC">
              <w:rPr>
                <w:rFonts w:ascii="Arial" w:hAnsi="Arial" w:cs="Arial"/>
                <w:b/>
                <w:spacing w:val="1"/>
                <w:sz w:val="20"/>
                <w:szCs w:val="20"/>
                <w:lang w:val="en-GB"/>
              </w:rPr>
              <w:t>th</w:t>
            </w:r>
            <w:r w:rsidRPr="003476AC">
              <w:rPr>
                <w:rFonts w:ascii="Arial" w:hAnsi="Arial" w:cs="Arial"/>
                <w:b/>
                <w:spacing w:val="-1"/>
                <w:sz w:val="20"/>
                <w:szCs w:val="20"/>
                <w:lang w:val="en-GB"/>
              </w:rPr>
              <w:t>e</w:t>
            </w:r>
            <w:r w:rsidRPr="003476AC">
              <w:rPr>
                <w:rFonts w:ascii="Arial" w:hAnsi="Arial" w:cs="Arial"/>
                <w:b/>
                <w:sz w:val="20"/>
                <w:szCs w:val="20"/>
                <w:lang w:val="en-GB"/>
              </w:rPr>
              <w:t xml:space="preserve">r </w:t>
            </w:r>
            <w:r w:rsidRPr="003476AC">
              <w:rPr>
                <w:rFonts w:ascii="Arial" w:hAnsi="Arial" w:cs="Arial"/>
                <w:b/>
                <w:spacing w:val="1"/>
                <w:sz w:val="20"/>
                <w:szCs w:val="20"/>
                <w:lang w:val="en-GB"/>
              </w:rPr>
              <w:t>thi</w:t>
            </w:r>
            <w:r w:rsidRPr="003476AC">
              <w:rPr>
                <w:rFonts w:ascii="Arial" w:hAnsi="Arial" w:cs="Arial"/>
                <w:b/>
                <w:sz w:val="20"/>
                <w:szCs w:val="20"/>
                <w:lang w:val="en-GB"/>
              </w:rPr>
              <w:t>s</w:t>
            </w:r>
            <w:r w:rsidRPr="003476AC">
              <w:rPr>
                <w:rFonts w:ascii="Arial" w:hAnsi="Arial" w:cs="Arial"/>
                <w:b/>
                <w:spacing w:val="1"/>
                <w:sz w:val="20"/>
                <w:szCs w:val="20"/>
                <w:lang w:val="en-GB"/>
              </w:rPr>
              <w:t xml:space="preserve"> fin</w:t>
            </w:r>
            <w:r w:rsidRPr="003476AC">
              <w:rPr>
                <w:rFonts w:ascii="Arial" w:hAnsi="Arial" w:cs="Arial"/>
                <w:b/>
                <w:spacing w:val="-1"/>
                <w:sz w:val="20"/>
                <w:szCs w:val="20"/>
                <w:lang w:val="en-GB"/>
              </w:rPr>
              <w:t>a</w:t>
            </w:r>
            <w:r w:rsidRPr="003476AC">
              <w:rPr>
                <w:rFonts w:ascii="Arial" w:hAnsi="Arial" w:cs="Arial"/>
                <w:b/>
                <w:spacing w:val="1"/>
                <w:sz w:val="20"/>
                <w:szCs w:val="20"/>
                <w:lang w:val="en-GB"/>
              </w:rPr>
              <w:t>n</w:t>
            </w:r>
            <w:r w:rsidRPr="003476AC">
              <w:rPr>
                <w:rFonts w:ascii="Arial" w:hAnsi="Arial" w:cs="Arial"/>
                <w:b/>
                <w:spacing w:val="-2"/>
                <w:sz w:val="20"/>
                <w:szCs w:val="20"/>
                <w:lang w:val="en-GB"/>
              </w:rPr>
              <w:t>c</w:t>
            </w:r>
            <w:r w:rsidRPr="003476AC">
              <w:rPr>
                <w:rFonts w:ascii="Arial" w:hAnsi="Arial" w:cs="Arial"/>
                <w:b/>
                <w:spacing w:val="1"/>
                <w:sz w:val="20"/>
                <w:szCs w:val="20"/>
                <w:lang w:val="en-GB"/>
              </w:rPr>
              <w:t>i</w:t>
            </w:r>
            <w:r w:rsidRPr="003476AC">
              <w:rPr>
                <w:rFonts w:ascii="Arial" w:hAnsi="Arial" w:cs="Arial"/>
                <w:b/>
                <w:spacing w:val="-1"/>
                <w:sz w:val="20"/>
                <w:szCs w:val="20"/>
                <w:lang w:val="en-GB"/>
              </w:rPr>
              <w:t>a</w:t>
            </w:r>
            <w:r w:rsidRPr="003476AC">
              <w:rPr>
                <w:rFonts w:ascii="Arial" w:hAnsi="Arial" w:cs="Arial"/>
                <w:b/>
                <w:sz w:val="20"/>
                <w:szCs w:val="20"/>
                <w:lang w:val="en-GB"/>
              </w:rPr>
              <w:t>l</w:t>
            </w:r>
            <w:r w:rsidRPr="003476AC">
              <w:rPr>
                <w:rFonts w:ascii="Arial" w:hAnsi="Arial" w:cs="Arial"/>
                <w:b/>
                <w:spacing w:val="4"/>
                <w:sz w:val="20"/>
                <w:szCs w:val="20"/>
                <w:lang w:val="en-GB"/>
              </w:rPr>
              <w:t xml:space="preserve"> </w:t>
            </w:r>
            <w:r w:rsidRPr="003476AC">
              <w:rPr>
                <w:rFonts w:ascii="Arial" w:hAnsi="Arial" w:cs="Arial"/>
                <w:b/>
                <w:spacing w:val="-2"/>
                <w:sz w:val="20"/>
                <w:szCs w:val="20"/>
                <w:lang w:val="en-GB"/>
              </w:rPr>
              <w:t>p</w:t>
            </w:r>
            <w:r w:rsidRPr="003476AC">
              <w:rPr>
                <w:rFonts w:ascii="Arial" w:hAnsi="Arial" w:cs="Arial"/>
                <w:b/>
                <w:spacing w:val="1"/>
                <w:sz w:val="20"/>
                <w:szCs w:val="20"/>
                <w:lang w:val="en-GB"/>
              </w:rPr>
              <w:t>ro</w:t>
            </w:r>
            <w:r w:rsidRPr="003476AC">
              <w:rPr>
                <w:rFonts w:ascii="Arial" w:hAnsi="Arial" w:cs="Arial"/>
                <w:b/>
                <w:spacing w:val="-2"/>
                <w:sz w:val="20"/>
                <w:szCs w:val="20"/>
                <w:lang w:val="en-GB"/>
              </w:rPr>
              <w:t>d</w:t>
            </w:r>
            <w:r w:rsidRPr="003476AC">
              <w:rPr>
                <w:rFonts w:ascii="Arial" w:hAnsi="Arial" w:cs="Arial"/>
                <w:b/>
                <w:spacing w:val="1"/>
                <w:sz w:val="20"/>
                <w:szCs w:val="20"/>
                <w:lang w:val="en-GB"/>
              </w:rPr>
              <w:t>u</w:t>
            </w:r>
            <w:r w:rsidRPr="003476AC">
              <w:rPr>
                <w:rFonts w:ascii="Arial" w:hAnsi="Arial" w:cs="Arial"/>
                <w:b/>
                <w:sz w:val="20"/>
                <w:szCs w:val="20"/>
                <w:lang w:val="en-GB"/>
              </w:rPr>
              <w:t>ct</w:t>
            </w:r>
            <w:r w:rsidRPr="003476AC">
              <w:rPr>
                <w:rFonts w:ascii="Arial" w:hAnsi="Arial" w:cs="Arial"/>
                <w:b/>
                <w:spacing w:val="1"/>
                <w:sz w:val="20"/>
                <w:szCs w:val="20"/>
                <w:lang w:val="en-GB"/>
              </w:rPr>
              <w:t xml:space="preserve"> i</w:t>
            </w:r>
            <w:r w:rsidRPr="003476AC">
              <w:rPr>
                <w:rFonts w:ascii="Arial" w:hAnsi="Arial" w:cs="Arial"/>
                <w:b/>
                <w:sz w:val="20"/>
                <w:szCs w:val="20"/>
                <w:lang w:val="en-GB"/>
              </w:rPr>
              <w:t>s</w:t>
            </w:r>
            <w:r w:rsidRPr="003476AC">
              <w:rPr>
                <w:rFonts w:ascii="Arial" w:hAnsi="Arial" w:cs="Arial"/>
                <w:b/>
                <w:spacing w:val="3"/>
                <w:sz w:val="20"/>
                <w:szCs w:val="20"/>
                <w:lang w:val="en-GB"/>
              </w:rPr>
              <w:t xml:space="preserve"> </w:t>
            </w:r>
            <w:r w:rsidRPr="003476AC">
              <w:rPr>
                <w:rFonts w:ascii="Arial" w:hAnsi="Arial" w:cs="Arial"/>
                <w:b/>
                <w:spacing w:val="-1"/>
                <w:sz w:val="20"/>
                <w:szCs w:val="20"/>
                <w:lang w:val="en-GB"/>
              </w:rPr>
              <w:t>a</w:t>
            </w:r>
            <w:r w:rsidRPr="003476AC">
              <w:rPr>
                <w:rFonts w:ascii="Arial" w:hAnsi="Arial" w:cs="Arial"/>
                <w:b/>
                <w:spacing w:val="1"/>
                <w:sz w:val="20"/>
                <w:szCs w:val="20"/>
                <w:lang w:val="en-GB"/>
              </w:rPr>
              <w:t>li</w:t>
            </w:r>
            <w:r w:rsidRPr="003476AC">
              <w:rPr>
                <w:rFonts w:ascii="Arial" w:hAnsi="Arial" w:cs="Arial"/>
                <w:b/>
                <w:spacing w:val="-1"/>
                <w:sz w:val="20"/>
                <w:szCs w:val="20"/>
                <w:lang w:val="en-GB"/>
              </w:rPr>
              <w:t>g</w:t>
            </w:r>
            <w:r w:rsidRPr="003476AC">
              <w:rPr>
                <w:rFonts w:ascii="Arial" w:hAnsi="Arial" w:cs="Arial"/>
                <w:b/>
                <w:spacing w:val="1"/>
                <w:sz w:val="20"/>
                <w:szCs w:val="20"/>
                <w:lang w:val="en-GB"/>
              </w:rPr>
              <w:t>n</w:t>
            </w:r>
            <w:r w:rsidRPr="003476AC">
              <w:rPr>
                <w:rFonts w:ascii="Arial" w:hAnsi="Arial" w:cs="Arial"/>
                <w:b/>
                <w:spacing w:val="-1"/>
                <w:sz w:val="20"/>
                <w:szCs w:val="20"/>
                <w:lang w:val="en-GB"/>
              </w:rPr>
              <w:t>e</w:t>
            </w:r>
            <w:r w:rsidRPr="003476AC">
              <w:rPr>
                <w:rFonts w:ascii="Arial" w:hAnsi="Arial" w:cs="Arial"/>
                <w:b/>
                <w:sz w:val="20"/>
                <w:szCs w:val="20"/>
                <w:lang w:val="en-GB"/>
              </w:rPr>
              <w:t>d</w:t>
            </w:r>
            <w:r w:rsidRPr="003476AC">
              <w:rPr>
                <w:rFonts w:ascii="Arial" w:hAnsi="Arial" w:cs="Arial"/>
                <w:b/>
                <w:spacing w:val="4"/>
                <w:sz w:val="20"/>
                <w:szCs w:val="20"/>
                <w:lang w:val="en-GB"/>
              </w:rPr>
              <w:t xml:space="preserve"> </w:t>
            </w:r>
            <w:r w:rsidRPr="003476AC">
              <w:rPr>
                <w:rFonts w:ascii="Arial" w:hAnsi="Arial" w:cs="Arial"/>
                <w:b/>
                <w:spacing w:val="-1"/>
                <w:sz w:val="20"/>
                <w:szCs w:val="20"/>
                <w:lang w:val="en-GB"/>
              </w:rPr>
              <w:t>w</w:t>
            </w:r>
            <w:r w:rsidRPr="003476AC">
              <w:rPr>
                <w:rFonts w:ascii="Arial" w:hAnsi="Arial" w:cs="Arial"/>
                <w:b/>
                <w:spacing w:val="1"/>
                <w:sz w:val="20"/>
                <w:szCs w:val="20"/>
                <w:lang w:val="en-GB"/>
              </w:rPr>
              <w:t>i</w:t>
            </w:r>
            <w:r w:rsidRPr="003476AC">
              <w:rPr>
                <w:rFonts w:ascii="Arial" w:hAnsi="Arial" w:cs="Arial"/>
                <w:b/>
                <w:spacing w:val="-2"/>
                <w:sz w:val="20"/>
                <w:szCs w:val="20"/>
                <w:lang w:val="en-GB"/>
              </w:rPr>
              <w:t>t</w:t>
            </w:r>
            <w:r w:rsidRPr="003476AC">
              <w:rPr>
                <w:rFonts w:ascii="Arial" w:hAnsi="Arial" w:cs="Arial"/>
                <w:b/>
                <w:sz w:val="20"/>
                <w:szCs w:val="20"/>
                <w:lang w:val="en-GB"/>
              </w:rPr>
              <w:t>h</w:t>
            </w:r>
            <w:r w:rsidRPr="003476AC">
              <w:rPr>
                <w:rFonts w:ascii="Arial" w:hAnsi="Arial" w:cs="Arial"/>
                <w:b/>
                <w:spacing w:val="4"/>
                <w:sz w:val="20"/>
                <w:szCs w:val="20"/>
                <w:lang w:val="en-GB"/>
              </w:rPr>
              <w:t xml:space="preserve"> </w:t>
            </w:r>
            <w:r w:rsidRPr="003476AC">
              <w:rPr>
                <w:rFonts w:ascii="Arial" w:hAnsi="Arial" w:cs="Arial"/>
                <w:b/>
                <w:spacing w:val="1"/>
                <w:sz w:val="20"/>
                <w:szCs w:val="20"/>
                <w:lang w:val="en-GB"/>
              </w:rPr>
              <w:t>th</w:t>
            </w:r>
            <w:r w:rsidRPr="003476AC">
              <w:rPr>
                <w:rFonts w:ascii="Arial" w:hAnsi="Arial" w:cs="Arial"/>
                <w:b/>
                <w:sz w:val="20"/>
                <w:szCs w:val="20"/>
                <w:lang w:val="en-GB"/>
              </w:rPr>
              <w:t xml:space="preserve">e </w:t>
            </w:r>
            <w:r w:rsidRPr="003476AC">
              <w:rPr>
                <w:rFonts w:ascii="Arial" w:hAnsi="Arial" w:cs="Arial"/>
                <w:b/>
                <w:spacing w:val="-1"/>
                <w:sz w:val="20"/>
                <w:szCs w:val="20"/>
                <w:lang w:val="en-GB"/>
              </w:rPr>
              <w:t>e</w:t>
            </w:r>
            <w:r w:rsidRPr="003476AC">
              <w:rPr>
                <w:rFonts w:ascii="Arial" w:hAnsi="Arial" w:cs="Arial"/>
                <w:b/>
                <w:spacing w:val="1"/>
                <w:sz w:val="20"/>
                <w:szCs w:val="20"/>
                <w:lang w:val="en-GB"/>
              </w:rPr>
              <w:t>n</w:t>
            </w:r>
            <w:r w:rsidRPr="003476AC">
              <w:rPr>
                <w:rFonts w:ascii="Arial" w:hAnsi="Arial" w:cs="Arial"/>
                <w:b/>
                <w:spacing w:val="-1"/>
                <w:sz w:val="20"/>
                <w:szCs w:val="20"/>
                <w:lang w:val="en-GB"/>
              </w:rPr>
              <w:t>v</w:t>
            </w:r>
            <w:r w:rsidRPr="003476AC">
              <w:rPr>
                <w:rFonts w:ascii="Arial" w:hAnsi="Arial" w:cs="Arial"/>
                <w:b/>
                <w:spacing w:val="1"/>
                <w:sz w:val="20"/>
                <w:szCs w:val="20"/>
                <w:lang w:val="en-GB"/>
              </w:rPr>
              <w:t>iron</w:t>
            </w:r>
            <w:r w:rsidRPr="003476AC">
              <w:rPr>
                <w:rFonts w:ascii="Arial" w:hAnsi="Arial" w:cs="Arial"/>
                <w:b/>
                <w:spacing w:val="-1"/>
                <w:sz w:val="20"/>
                <w:szCs w:val="20"/>
                <w:lang w:val="en-GB"/>
              </w:rPr>
              <w:t>me</w:t>
            </w:r>
            <w:r w:rsidRPr="003476AC">
              <w:rPr>
                <w:rFonts w:ascii="Arial" w:hAnsi="Arial" w:cs="Arial"/>
                <w:b/>
                <w:spacing w:val="1"/>
                <w:sz w:val="20"/>
                <w:szCs w:val="20"/>
                <w:lang w:val="en-GB"/>
              </w:rPr>
              <w:t>nt</w:t>
            </w:r>
            <w:r w:rsidRPr="003476AC">
              <w:rPr>
                <w:rFonts w:ascii="Arial" w:hAnsi="Arial" w:cs="Arial"/>
                <w:b/>
                <w:spacing w:val="-1"/>
                <w:sz w:val="20"/>
                <w:szCs w:val="20"/>
                <w:lang w:val="en-GB"/>
              </w:rPr>
              <w:t>a</w:t>
            </w:r>
            <w:r w:rsidRPr="003476AC">
              <w:rPr>
                <w:rFonts w:ascii="Arial" w:hAnsi="Arial" w:cs="Arial"/>
                <w:b/>
                <w:sz w:val="20"/>
                <w:szCs w:val="20"/>
                <w:lang w:val="en-GB"/>
              </w:rPr>
              <w:t>l</w:t>
            </w:r>
            <w:r w:rsidRPr="003476AC">
              <w:rPr>
                <w:rFonts w:ascii="Arial" w:hAnsi="Arial" w:cs="Arial"/>
                <w:b/>
                <w:spacing w:val="4"/>
                <w:sz w:val="20"/>
                <w:szCs w:val="20"/>
                <w:lang w:val="en-GB"/>
              </w:rPr>
              <w:t xml:space="preserve"> </w:t>
            </w:r>
            <w:r w:rsidRPr="003476AC">
              <w:rPr>
                <w:rFonts w:ascii="Arial" w:hAnsi="Arial" w:cs="Arial"/>
                <w:b/>
                <w:spacing w:val="-1"/>
                <w:sz w:val="20"/>
                <w:szCs w:val="20"/>
                <w:lang w:val="en-GB"/>
              </w:rPr>
              <w:t>a</w:t>
            </w:r>
            <w:r w:rsidRPr="003476AC">
              <w:rPr>
                <w:rFonts w:ascii="Arial" w:hAnsi="Arial" w:cs="Arial"/>
                <w:b/>
                <w:spacing w:val="1"/>
                <w:sz w:val="20"/>
                <w:szCs w:val="20"/>
                <w:lang w:val="en-GB"/>
              </w:rPr>
              <w:t>n</w:t>
            </w:r>
            <w:r w:rsidRPr="003476AC">
              <w:rPr>
                <w:rFonts w:ascii="Arial" w:hAnsi="Arial" w:cs="Arial"/>
                <w:b/>
                <w:spacing w:val="-1"/>
                <w:sz w:val="20"/>
                <w:szCs w:val="20"/>
                <w:lang w:val="en-GB"/>
              </w:rPr>
              <w:t>d</w:t>
            </w:r>
            <w:r w:rsidRPr="003476AC">
              <w:rPr>
                <w:rFonts w:ascii="Arial" w:hAnsi="Arial" w:cs="Arial"/>
                <w:b/>
                <w:sz w:val="20"/>
                <w:szCs w:val="20"/>
                <w:lang w:val="en-GB"/>
              </w:rPr>
              <w:t>/</w:t>
            </w:r>
            <w:r w:rsidRPr="003476AC">
              <w:rPr>
                <w:rFonts w:ascii="Arial" w:hAnsi="Arial" w:cs="Arial"/>
                <w:b/>
                <w:spacing w:val="-2"/>
                <w:sz w:val="20"/>
                <w:szCs w:val="20"/>
                <w:lang w:val="en-GB"/>
              </w:rPr>
              <w:t>o</w:t>
            </w:r>
            <w:r w:rsidRPr="003476AC">
              <w:rPr>
                <w:rFonts w:ascii="Arial" w:hAnsi="Arial" w:cs="Arial"/>
                <w:b/>
                <w:sz w:val="20"/>
                <w:szCs w:val="20"/>
                <w:lang w:val="en-GB"/>
              </w:rPr>
              <w:t>r</w:t>
            </w:r>
            <w:r w:rsidRPr="003476AC">
              <w:rPr>
                <w:rFonts w:ascii="Arial" w:hAnsi="Arial" w:cs="Arial"/>
                <w:b/>
                <w:spacing w:val="4"/>
                <w:sz w:val="20"/>
                <w:szCs w:val="20"/>
                <w:lang w:val="en-GB"/>
              </w:rPr>
              <w:t xml:space="preserve"> </w:t>
            </w:r>
            <w:r w:rsidRPr="003476AC">
              <w:rPr>
                <w:rFonts w:ascii="Arial" w:hAnsi="Arial" w:cs="Arial"/>
                <w:b/>
                <w:sz w:val="20"/>
                <w:szCs w:val="20"/>
                <w:lang w:val="en-GB"/>
              </w:rPr>
              <w:t>s</w:t>
            </w:r>
            <w:r w:rsidRPr="003476AC">
              <w:rPr>
                <w:rFonts w:ascii="Arial" w:hAnsi="Arial" w:cs="Arial"/>
                <w:b/>
                <w:spacing w:val="1"/>
                <w:sz w:val="20"/>
                <w:szCs w:val="20"/>
                <w:lang w:val="en-GB"/>
              </w:rPr>
              <w:t>o</w:t>
            </w:r>
            <w:r w:rsidRPr="003476AC">
              <w:rPr>
                <w:rFonts w:ascii="Arial" w:hAnsi="Arial" w:cs="Arial"/>
                <w:b/>
                <w:sz w:val="20"/>
                <w:szCs w:val="20"/>
                <w:lang w:val="en-GB"/>
              </w:rPr>
              <w:t>c</w:t>
            </w:r>
            <w:r w:rsidRPr="003476AC">
              <w:rPr>
                <w:rFonts w:ascii="Arial" w:hAnsi="Arial" w:cs="Arial"/>
                <w:b/>
                <w:spacing w:val="1"/>
                <w:sz w:val="20"/>
                <w:szCs w:val="20"/>
                <w:lang w:val="en-GB"/>
              </w:rPr>
              <w:t>i</w:t>
            </w:r>
            <w:r w:rsidRPr="003476AC">
              <w:rPr>
                <w:rFonts w:ascii="Arial" w:hAnsi="Arial" w:cs="Arial"/>
                <w:b/>
                <w:spacing w:val="-1"/>
                <w:sz w:val="20"/>
                <w:szCs w:val="20"/>
                <w:lang w:val="en-GB"/>
              </w:rPr>
              <w:t>a</w:t>
            </w:r>
            <w:r w:rsidRPr="003476AC">
              <w:rPr>
                <w:rFonts w:ascii="Arial" w:hAnsi="Arial" w:cs="Arial"/>
                <w:b/>
                <w:sz w:val="20"/>
                <w:szCs w:val="20"/>
                <w:lang w:val="en-GB"/>
              </w:rPr>
              <w:t>l c</w:t>
            </w:r>
            <w:r w:rsidRPr="003476AC">
              <w:rPr>
                <w:rFonts w:ascii="Arial" w:hAnsi="Arial" w:cs="Arial"/>
                <w:b/>
                <w:spacing w:val="1"/>
                <w:sz w:val="20"/>
                <w:szCs w:val="20"/>
                <w:lang w:val="en-GB"/>
              </w:rPr>
              <w:t>h</w:t>
            </w:r>
            <w:r w:rsidRPr="003476AC">
              <w:rPr>
                <w:rFonts w:ascii="Arial" w:hAnsi="Arial" w:cs="Arial"/>
                <w:b/>
                <w:spacing w:val="-1"/>
                <w:sz w:val="20"/>
                <w:szCs w:val="20"/>
                <w:lang w:val="en-GB"/>
              </w:rPr>
              <w:t>a</w:t>
            </w:r>
            <w:r w:rsidRPr="003476AC">
              <w:rPr>
                <w:rFonts w:ascii="Arial" w:hAnsi="Arial" w:cs="Arial"/>
                <w:b/>
                <w:spacing w:val="1"/>
                <w:sz w:val="20"/>
                <w:szCs w:val="20"/>
                <w:lang w:val="en-GB"/>
              </w:rPr>
              <w:t>r</w:t>
            </w:r>
            <w:r w:rsidRPr="003476AC">
              <w:rPr>
                <w:rFonts w:ascii="Arial" w:hAnsi="Arial" w:cs="Arial"/>
                <w:b/>
                <w:spacing w:val="-1"/>
                <w:sz w:val="20"/>
                <w:szCs w:val="20"/>
                <w:lang w:val="en-GB"/>
              </w:rPr>
              <w:t>a</w:t>
            </w:r>
            <w:r w:rsidRPr="003476AC">
              <w:rPr>
                <w:rFonts w:ascii="Arial" w:hAnsi="Arial" w:cs="Arial"/>
                <w:b/>
                <w:sz w:val="20"/>
                <w:szCs w:val="20"/>
                <w:lang w:val="en-GB"/>
              </w:rPr>
              <w:t>c</w:t>
            </w:r>
            <w:r w:rsidRPr="003476AC">
              <w:rPr>
                <w:rFonts w:ascii="Arial" w:hAnsi="Arial" w:cs="Arial"/>
                <w:b/>
                <w:spacing w:val="1"/>
                <w:sz w:val="20"/>
                <w:szCs w:val="20"/>
                <w:lang w:val="en-GB"/>
              </w:rPr>
              <w:t>t</w:t>
            </w:r>
            <w:r w:rsidRPr="003476AC">
              <w:rPr>
                <w:rFonts w:ascii="Arial" w:hAnsi="Arial" w:cs="Arial"/>
                <w:b/>
                <w:spacing w:val="-1"/>
                <w:sz w:val="20"/>
                <w:szCs w:val="20"/>
                <w:lang w:val="en-GB"/>
              </w:rPr>
              <w:t>e</w:t>
            </w:r>
            <w:r w:rsidRPr="003476AC">
              <w:rPr>
                <w:rFonts w:ascii="Arial" w:hAnsi="Arial" w:cs="Arial"/>
                <w:b/>
                <w:spacing w:val="1"/>
                <w:sz w:val="20"/>
                <w:szCs w:val="20"/>
                <w:lang w:val="en-GB"/>
              </w:rPr>
              <w:t>ri</w:t>
            </w:r>
            <w:r w:rsidRPr="003476AC">
              <w:rPr>
                <w:rFonts w:ascii="Arial" w:hAnsi="Arial" w:cs="Arial"/>
                <w:b/>
                <w:spacing w:val="-2"/>
                <w:sz w:val="20"/>
                <w:szCs w:val="20"/>
                <w:lang w:val="en-GB"/>
              </w:rPr>
              <w:t>s</w:t>
            </w:r>
            <w:r w:rsidRPr="003476AC">
              <w:rPr>
                <w:rFonts w:ascii="Arial" w:hAnsi="Arial" w:cs="Arial"/>
                <w:b/>
                <w:spacing w:val="1"/>
                <w:sz w:val="20"/>
                <w:szCs w:val="20"/>
                <w:lang w:val="en-GB"/>
              </w:rPr>
              <w:t>ti</w:t>
            </w:r>
            <w:r w:rsidRPr="003476AC">
              <w:rPr>
                <w:rFonts w:ascii="Arial" w:hAnsi="Arial" w:cs="Arial"/>
                <w:b/>
                <w:sz w:val="20"/>
                <w:szCs w:val="20"/>
                <w:lang w:val="en-GB"/>
              </w:rPr>
              <w:t>cs</w:t>
            </w:r>
            <w:r w:rsidRPr="003476AC">
              <w:rPr>
                <w:rFonts w:ascii="Arial" w:hAnsi="Arial" w:cs="Arial"/>
                <w:b/>
                <w:spacing w:val="10"/>
                <w:sz w:val="20"/>
                <w:szCs w:val="20"/>
                <w:lang w:val="en-GB"/>
              </w:rPr>
              <w:t xml:space="preserve"> </w:t>
            </w:r>
            <w:r w:rsidRPr="003476AC">
              <w:rPr>
                <w:rFonts w:ascii="Arial" w:hAnsi="Arial" w:cs="Arial"/>
                <w:b/>
                <w:spacing w:val="-2"/>
                <w:sz w:val="20"/>
                <w:szCs w:val="20"/>
                <w:lang w:val="en-GB"/>
              </w:rPr>
              <w:t>t</w:t>
            </w:r>
            <w:r w:rsidRPr="003476AC">
              <w:rPr>
                <w:rFonts w:ascii="Arial" w:hAnsi="Arial" w:cs="Arial"/>
                <w:b/>
                <w:spacing w:val="1"/>
                <w:sz w:val="20"/>
                <w:szCs w:val="20"/>
                <w:lang w:val="en-GB"/>
              </w:rPr>
              <w:t>h</w:t>
            </w:r>
            <w:r w:rsidRPr="003476AC">
              <w:rPr>
                <w:rFonts w:ascii="Arial" w:hAnsi="Arial" w:cs="Arial"/>
                <w:b/>
                <w:spacing w:val="-1"/>
                <w:sz w:val="20"/>
                <w:szCs w:val="20"/>
                <w:lang w:val="en-GB"/>
              </w:rPr>
              <w:t>a</w:t>
            </w:r>
            <w:r w:rsidRPr="003476AC">
              <w:rPr>
                <w:rFonts w:ascii="Arial" w:hAnsi="Arial" w:cs="Arial"/>
                <w:b/>
                <w:sz w:val="20"/>
                <w:szCs w:val="20"/>
                <w:lang w:val="en-GB"/>
              </w:rPr>
              <w:t>t</w:t>
            </w:r>
            <w:r w:rsidRPr="003476AC">
              <w:rPr>
                <w:rFonts w:ascii="Arial" w:hAnsi="Arial" w:cs="Arial"/>
                <w:b/>
                <w:spacing w:val="13"/>
                <w:sz w:val="20"/>
                <w:szCs w:val="20"/>
                <w:lang w:val="en-GB"/>
              </w:rPr>
              <w:t xml:space="preserve"> </w:t>
            </w:r>
            <w:r w:rsidRPr="003476AC">
              <w:rPr>
                <w:rFonts w:ascii="Arial" w:hAnsi="Arial" w:cs="Arial"/>
                <w:b/>
                <w:spacing w:val="-1"/>
                <w:sz w:val="20"/>
                <w:szCs w:val="20"/>
                <w:lang w:val="en-GB"/>
              </w:rPr>
              <w:t>i</w:t>
            </w:r>
            <w:r w:rsidRPr="003476AC">
              <w:rPr>
                <w:rFonts w:ascii="Arial" w:hAnsi="Arial" w:cs="Arial"/>
                <w:b/>
                <w:sz w:val="20"/>
                <w:szCs w:val="20"/>
                <w:lang w:val="en-GB"/>
              </w:rPr>
              <w:t>t</w:t>
            </w:r>
            <w:r w:rsidRPr="003476AC">
              <w:rPr>
                <w:rFonts w:ascii="Arial" w:hAnsi="Arial" w:cs="Arial"/>
                <w:b/>
                <w:spacing w:val="10"/>
                <w:sz w:val="20"/>
                <w:szCs w:val="20"/>
                <w:lang w:val="en-GB"/>
              </w:rPr>
              <w:t xml:space="preserve"> </w:t>
            </w:r>
            <w:r w:rsidRPr="003476AC">
              <w:rPr>
                <w:rFonts w:ascii="Arial" w:hAnsi="Arial" w:cs="Arial"/>
                <w:b/>
                <w:spacing w:val="-2"/>
                <w:sz w:val="20"/>
                <w:szCs w:val="20"/>
                <w:lang w:val="en-GB"/>
              </w:rPr>
              <w:t>p</w:t>
            </w:r>
            <w:r w:rsidRPr="003476AC">
              <w:rPr>
                <w:rFonts w:ascii="Arial" w:hAnsi="Arial" w:cs="Arial"/>
                <w:b/>
                <w:spacing w:val="1"/>
                <w:sz w:val="20"/>
                <w:szCs w:val="20"/>
                <w:lang w:val="en-GB"/>
              </w:rPr>
              <w:t>ro</w:t>
            </w:r>
            <w:r w:rsidRPr="003476AC">
              <w:rPr>
                <w:rFonts w:ascii="Arial" w:hAnsi="Arial" w:cs="Arial"/>
                <w:b/>
                <w:spacing w:val="-1"/>
                <w:sz w:val="20"/>
                <w:szCs w:val="20"/>
                <w:lang w:val="en-GB"/>
              </w:rPr>
              <w:t>m</w:t>
            </w:r>
            <w:r w:rsidRPr="003476AC">
              <w:rPr>
                <w:rFonts w:ascii="Arial" w:hAnsi="Arial" w:cs="Arial"/>
                <w:b/>
                <w:spacing w:val="1"/>
                <w:sz w:val="20"/>
                <w:szCs w:val="20"/>
                <w:lang w:val="en-GB"/>
              </w:rPr>
              <w:t>ot</w:t>
            </w:r>
            <w:r w:rsidRPr="003476AC">
              <w:rPr>
                <w:rFonts w:ascii="Arial" w:hAnsi="Arial" w:cs="Arial"/>
                <w:b/>
                <w:spacing w:val="-1"/>
                <w:sz w:val="20"/>
                <w:szCs w:val="20"/>
                <w:lang w:val="en-GB"/>
              </w:rPr>
              <w:t>e</w:t>
            </w:r>
            <w:r w:rsidRPr="003476AC">
              <w:rPr>
                <w:rFonts w:ascii="Arial" w:hAnsi="Arial" w:cs="Arial"/>
                <w:b/>
                <w:sz w:val="20"/>
                <w:szCs w:val="20"/>
                <w:lang w:val="en-GB"/>
              </w:rPr>
              <w:t>s?</w:t>
            </w:r>
            <w:r w:rsidRPr="003476AC">
              <w:rPr>
                <w:rFonts w:ascii="Arial" w:hAnsi="Arial" w:cs="Arial"/>
                <w:b/>
                <w:spacing w:val="11"/>
                <w:sz w:val="20"/>
                <w:szCs w:val="20"/>
                <w:lang w:val="en-GB"/>
              </w:rPr>
              <w:t xml:space="preserve"> </w:t>
            </w:r>
          </w:p>
        </w:tc>
      </w:tr>
      <w:tr w:rsidR="00303F74" w:rsidRPr="003C1B8B" w14:paraId="07F2A6D5" w14:textId="77777777" w:rsidTr="00303F74">
        <w:trPr>
          <w:trHeight w:val="711"/>
        </w:trPr>
        <w:tc>
          <w:tcPr>
            <w:tcW w:w="1116" w:type="pct"/>
            <w:vMerge/>
          </w:tcPr>
          <w:p w14:paraId="1302ED8D"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725FFA6F" w14:textId="77777777" w:rsidR="00303F74" w:rsidRPr="003C1B8B" w:rsidRDefault="00303F74" w:rsidP="00303F74">
            <w:pPr>
              <w:spacing w:before="0" w:after="0"/>
              <w:jc w:val="left"/>
              <w:rPr>
                <w:rFonts w:ascii="Arial" w:hAnsi="Arial" w:cs="Arial"/>
                <w:sz w:val="20"/>
                <w:szCs w:val="20"/>
                <w:lang w:val="en-GB"/>
              </w:rPr>
            </w:pPr>
          </w:p>
        </w:tc>
        <w:tc>
          <w:tcPr>
            <w:tcW w:w="3760" w:type="pct"/>
            <w:gridSpan w:val="6"/>
          </w:tcPr>
          <w:p w14:paraId="671767B6" w14:textId="77777777" w:rsidR="00303F74" w:rsidRPr="003476AC" w:rsidRDefault="00303F74" w:rsidP="00303F74">
            <w:pPr>
              <w:spacing w:before="0" w:after="0"/>
              <w:rPr>
                <w:rFonts w:ascii="Arial" w:hAnsi="Arial" w:cs="Arial"/>
                <w:sz w:val="20"/>
                <w:szCs w:val="20"/>
                <w:lang w:val="en-GB"/>
              </w:rPr>
            </w:pPr>
            <w:r w:rsidRPr="003476AC">
              <w:rPr>
                <w:rFonts w:ascii="Arial" w:hAnsi="Arial" w:cs="Arial"/>
                <w:i/>
                <w:iCs/>
                <w:sz w:val="20"/>
                <w:szCs w:val="20"/>
                <w:lang w:val="en-GB"/>
              </w:rPr>
              <w:t>No</w:t>
            </w:r>
          </w:p>
        </w:tc>
      </w:tr>
      <w:tr w:rsidR="00303F74" w:rsidRPr="003C1B8B" w14:paraId="26195FFD" w14:textId="77777777" w:rsidTr="00303F74">
        <w:trPr>
          <w:trHeight w:val="1252"/>
        </w:trPr>
        <w:tc>
          <w:tcPr>
            <w:tcW w:w="1116" w:type="pct"/>
            <w:vMerge/>
          </w:tcPr>
          <w:p w14:paraId="02F6FA92"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57F76790" w14:textId="77777777" w:rsidR="00303F74" w:rsidRPr="003C1B8B" w:rsidRDefault="00303F74" w:rsidP="00303F74">
            <w:pPr>
              <w:spacing w:before="0" w:after="0"/>
              <w:ind w:left="737"/>
              <w:jc w:val="left"/>
              <w:rPr>
                <w:noProof/>
                <w:sz w:val="22"/>
                <w:szCs w:val="22"/>
                <w:lang w:val="en-GB"/>
              </w:rPr>
            </w:pPr>
          </w:p>
        </w:tc>
        <w:tc>
          <w:tcPr>
            <w:tcW w:w="3760" w:type="pct"/>
            <w:gridSpan w:val="6"/>
          </w:tcPr>
          <w:p w14:paraId="494CE5D1" w14:textId="77777777" w:rsidR="00303F74" w:rsidRPr="003476AC" w:rsidRDefault="00303F74" w:rsidP="00303F74">
            <w:pPr>
              <w:spacing w:before="0" w:after="0"/>
              <w:ind w:left="737"/>
              <w:jc w:val="left"/>
              <w:rPr>
                <w:rFonts w:ascii="Arial" w:hAnsi="Arial" w:cs="Arial"/>
                <w:b/>
                <w:sz w:val="20"/>
                <w:szCs w:val="20"/>
                <w:lang w:val="en-GB"/>
              </w:rPr>
            </w:pPr>
            <w:r w:rsidRPr="003476AC">
              <w:rPr>
                <w:rFonts w:cs="Arial"/>
                <w:b/>
                <w:i/>
                <w:noProof/>
                <w:sz w:val="20"/>
                <w:szCs w:val="20"/>
                <w:lang w:val="en-GB"/>
              </w:rPr>
              <mc:AlternateContent>
                <mc:Choice Requires="wps">
                  <w:drawing>
                    <wp:anchor distT="0" distB="0" distL="114300" distR="114300" simplePos="0" relativeHeight="251696128" behindDoc="0" locked="0" layoutInCell="1" allowOverlap="1" wp14:anchorId="4FB7ED7E" wp14:editId="5E1ED4B0">
                      <wp:simplePos x="0" y="0"/>
                      <wp:positionH relativeFrom="column">
                        <wp:posOffset>-864</wp:posOffset>
                      </wp:positionH>
                      <wp:positionV relativeFrom="page">
                        <wp:posOffset>10287</wp:posOffset>
                      </wp:positionV>
                      <wp:extent cx="130175" cy="130175"/>
                      <wp:effectExtent l="0" t="0" r="3175" b="3175"/>
                      <wp:wrapSquare wrapText="bothSides"/>
                      <wp:docPr id="16" name="Oval 1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8ED5CC" id="Oval 16" o:spid="_x0000_s1026" style="position:absolute;margin-left:-.05pt;margin-top:.8pt;width:10.25pt;height:10.25pt;z-index:2516961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" fillcolor="#d0cece" stroked="f" strokeweight="1pt">
                      <v:stroke joinstyle="miter"/>
                      <w10:wrap type="square" anchory="page"/>
                    </v:oval>
                  </w:pict>
                </mc:Fallback>
              </mc:AlternateContent>
            </w:r>
            <w:r w:rsidRPr="003476AC">
              <w:rPr>
                <w:rFonts w:ascii="Arial" w:hAnsi="Arial" w:cs="Arial"/>
                <w:b/>
                <w:i/>
                <w:iCs/>
                <w:sz w:val="20"/>
                <w:szCs w:val="20"/>
                <w:lang w:val="en-GB"/>
              </w:rPr>
              <w:t>How is the reference benchmark continuously aligned with each of the environmental or social characteristics promoted by the financial product?</w:t>
            </w:r>
          </w:p>
        </w:tc>
      </w:tr>
      <w:tr w:rsidR="00303F74" w:rsidRPr="003C1B8B" w14:paraId="3D5C036F" w14:textId="77777777" w:rsidTr="00303F74">
        <w:trPr>
          <w:trHeight w:val="732"/>
        </w:trPr>
        <w:tc>
          <w:tcPr>
            <w:tcW w:w="1116" w:type="pct"/>
            <w:shd w:val="clear" w:color="auto" w:fill="D9D9D9" w:themeFill="background1" w:themeFillShade="D9"/>
          </w:tcPr>
          <w:p w14:paraId="36843751"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094AE011" w14:textId="77777777" w:rsidR="00303F74" w:rsidRPr="003C1B8B" w:rsidRDefault="00303F74" w:rsidP="00303F74">
            <w:pPr>
              <w:spacing w:before="0" w:after="0"/>
              <w:jc w:val="left"/>
              <w:rPr>
                <w:rFonts w:ascii="Arial" w:hAnsi="Arial" w:cs="Arial"/>
                <w:sz w:val="20"/>
                <w:szCs w:val="20"/>
                <w:lang w:val="en-GB"/>
              </w:rPr>
            </w:pPr>
          </w:p>
        </w:tc>
        <w:tc>
          <w:tcPr>
            <w:tcW w:w="3760" w:type="pct"/>
            <w:gridSpan w:val="6"/>
          </w:tcPr>
          <w:p w14:paraId="1882A426" w14:textId="77777777" w:rsidR="00303F74" w:rsidRPr="003476AC" w:rsidRDefault="00303F74" w:rsidP="00303F74">
            <w:pPr>
              <w:spacing w:before="0" w:after="0"/>
              <w:ind w:left="340"/>
              <w:jc w:val="left"/>
              <w:rPr>
                <w:rFonts w:ascii="Arial" w:hAnsi="Arial" w:cs="Arial"/>
                <w:i/>
                <w:iCs/>
                <w:sz w:val="20"/>
                <w:szCs w:val="20"/>
                <w:lang w:val="en-GB"/>
              </w:rPr>
            </w:pPr>
            <w:r w:rsidRPr="003476AC">
              <w:rPr>
                <w:rFonts w:ascii="Arial" w:hAnsi="Arial" w:cs="Arial"/>
                <w:i/>
                <w:iCs/>
                <w:sz w:val="20"/>
                <w:szCs w:val="20"/>
                <w:lang w:val="en-GB"/>
              </w:rPr>
              <w:t>Not applicable</w:t>
            </w:r>
          </w:p>
          <w:p w14:paraId="66E01394" w14:textId="77777777" w:rsidR="00303F74" w:rsidRPr="003476AC" w:rsidRDefault="00303F74" w:rsidP="00303F74">
            <w:pPr>
              <w:spacing w:before="0" w:after="0"/>
              <w:rPr>
                <w:rFonts w:ascii="Arial" w:hAnsi="Arial" w:cs="Arial"/>
                <w:sz w:val="20"/>
                <w:szCs w:val="20"/>
                <w:lang w:val="en-GB"/>
              </w:rPr>
            </w:pPr>
          </w:p>
        </w:tc>
      </w:tr>
      <w:tr w:rsidR="00303F74" w:rsidRPr="003C1B8B" w14:paraId="10EC58D3" w14:textId="77777777" w:rsidTr="00303F74">
        <w:tc>
          <w:tcPr>
            <w:tcW w:w="1116" w:type="pct"/>
          </w:tcPr>
          <w:p w14:paraId="0DFC9E08"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2F47512E" w14:textId="77777777" w:rsidR="00303F74" w:rsidRPr="003C1B8B" w:rsidRDefault="00303F74" w:rsidP="00303F74">
            <w:pPr>
              <w:spacing w:before="0" w:after="0"/>
              <w:ind w:left="737"/>
              <w:jc w:val="left"/>
              <w:rPr>
                <w:rFonts w:ascii="Calibri" w:hAnsi="Calibri"/>
                <w:bCs/>
                <w:noProof/>
                <w:sz w:val="24"/>
                <w:szCs w:val="24"/>
                <w:lang w:val="en-GB"/>
              </w:rPr>
            </w:pPr>
          </w:p>
        </w:tc>
        <w:tc>
          <w:tcPr>
            <w:tcW w:w="3760" w:type="pct"/>
            <w:gridSpan w:val="6"/>
          </w:tcPr>
          <w:p w14:paraId="5E0214FF" w14:textId="77777777" w:rsidR="00303F74" w:rsidRPr="003476AC" w:rsidRDefault="00303F74" w:rsidP="00303F74">
            <w:pPr>
              <w:spacing w:before="0" w:after="0"/>
              <w:ind w:left="737"/>
              <w:jc w:val="left"/>
              <w:rPr>
                <w:rFonts w:ascii="Arial" w:hAnsi="Arial" w:cs="Arial"/>
                <w:b/>
                <w:sz w:val="20"/>
                <w:szCs w:val="20"/>
                <w:lang w:val="en-GB"/>
              </w:rPr>
            </w:pPr>
            <w:r w:rsidRPr="003476AC">
              <w:rPr>
                <w:rFonts w:cs="Arial"/>
                <w:b/>
                <w:i/>
                <w:noProof/>
                <w:sz w:val="20"/>
                <w:szCs w:val="20"/>
                <w:lang w:val="en-GB"/>
              </w:rPr>
              <mc:AlternateContent>
                <mc:Choice Requires="wps">
                  <w:drawing>
                    <wp:anchor distT="0" distB="0" distL="114300" distR="114300" simplePos="0" relativeHeight="251697152" behindDoc="0" locked="0" layoutInCell="1" allowOverlap="1" wp14:anchorId="5FD23C93" wp14:editId="1F6ACF09">
                      <wp:simplePos x="0" y="0"/>
                      <wp:positionH relativeFrom="column">
                        <wp:posOffset>-864</wp:posOffset>
                      </wp:positionH>
                      <wp:positionV relativeFrom="page">
                        <wp:posOffset>20066</wp:posOffset>
                      </wp:positionV>
                      <wp:extent cx="130175" cy="130175"/>
                      <wp:effectExtent l="0" t="0" r="3175" b="3175"/>
                      <wp:wrapSquare wrapText="bothSides"/>
                      <wp:docPr id="17" name="Oval 1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4B0E36" id="Oval 17" o:spid="_x0000_s1026" style="position:absolute;margin-left:-.05pt;margin-top:1.6pt;width:10.25pt;height:10.25pt;z-index:2516971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" fillcolor="#d0cece" stroked="f" strokeweight="1pt">
                      <v:stroke joinstyle="miter"/>
                      <w10:wrap type="square" anchory="page"/>
                    </v:oval>
                  </w:pict>
                </mc:Fallback>
              </mc:AlternateContent>
            </w:r>
            <w:r w:rsidRPr="003476AC">
              <w:rPr>
                <w:rFonts w:ascii="Arial" w:hAnsi="Arial" w:cs="Arial"/>
                <w:b/>
                <w:i/>
                <w:iCs/>
                <w:sz w:val="20"/>
                <w:szCs w:val="20"/>
                <w:lang w:val="en-GB"/>
              </w:rPr>
              <w:t>How is the alignment of the investment strategy with the methodology of the index ensured on a continuous basis?</w:t>
            </w:r>
          </w:p>
        </w:tc>
      </w:tr>
      <w:tr w:rsidR="00303F74" w:rsidRPr="003C1B8B" w14:paraId="624CAA43" w14:textId="77777777" w:rsidTr="00303F74">
        <w:trPr>
          <w:trHeight w:val="634"/>
        </w:trPr>
        <w:tc>
          <w:tcPr>
            <w:tcW w:w="1116" w:type="pct"/>
          </w:tcPr>
          <w:p w14:paraId="5618567D"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7EBAF051" w14:textId="77777777" w:rsidR="00303F74" w:rsidRPr="003C1B8B" w:rsidRDefault="00303F74" w:rsidP="00303F74">
            <w:pPr>
              <w:spacing w:before="0" w:after="0"/>
              <w:jc w:val="left"/>
              <w:rPr>
                <w:rFonts w:ascii="Arial" w:hAnsi="Arial" w:cs="Arial"/>
                <w:sz w:val="20"/>
                <w:szCs w:val="20"/>
                <w:lang w:val="en-GB"/>
              </w:rPr>
            </w:pPr>
          </w:p>
        </w:tc>
        <w:tc>
          <w:tcPr>
            <w:tcW w:w="3760" w:type="pct"/>
            <w:gridSpan w:val="6"/>
          </w:tcPr>
          <w:p w14:paraId="64A25DBE" w14:textId="77777777" w:rsidR="00303F74" w:rsidRPr="003476AC" w:rsidRDefault="00303F74" w:rsidP="00303F74">
            <w:pPr>
              <w:spacing w:before="0" w:after="0"/>
              <w:ind w:left="340"/>
              <w:jc w:val="left"/>
              <w:rPr>
                <w:rFonts w:ascii="Arial" w:hAnsi="Arial" w:cs="Arial"/>
                <w:i/>
                <w:iCs/>
                <w:sz w:val="20"/>
                <w:szCs w:val="20"/>
                <w:lang w:val="en-GB"/>
              </w:rPr>
            </w:pPr>
            <w:r w:rsidRPr="003476AC">
              <w:rPr>
                <w:rFonts w:ascii="Arial" w:hAnsi="Arial" w:cs="Arial"/>
                <w:i/>
                <w:iCs/>
                <w:sz w:val="20"/>
                <w:szCs w:val="20"/>
                <w:lang w:val="en-GB"/>
              </w:rPr>
              <w:t>Not applicable</w:t>
            </w:r>
          </w:p>
          <w:p w14:paraId="43F327DA" w14:textId="77777777" w:rsidR="00303F74" w:rsidRPr="003476AC" w:rsidRDefault="00303F74" w:rsidP="00303F74">
            <w:pPr>
              <w:spacing w:before="0" w:after="0"/>
              <w:jc w:val="left"/>
              <w:rPr>
                <w:rFonts w:ascii="Arial" w:hAnsi="Arial" w:cs="Arial"/>
                <w:sz w:val="20"/>
                <w:szCs w:val="20"/>
                <w:lang w:val="en-GB"/>
              </w:rPr>
            </w:pPr>
          </w:p>
        </w:tc>
      </w:tr>
      <w:tr w:rsidR="00303F74" w:rsidRPr="003C1B8B" w14:paraId="1B02DDB6" w14:textId="77777777" w:rsidTr="00303F74">
        <w:tc>
          <w:tcPr>
            <w:tcW w:w="1116" w:type="pct"/>
          </w:tcPr>
          <w:p w14:paraId="322CC4E7" w14:textId="77777777" w:rsidR="00303F74" w:rsidRPr="003C1B8B" w:rsidRDefault="00303F74" w:rsidP="00303F74">
            <w:pPr>
              <w:spacing w:before="0" w:after="0"/>
              <w:jc w:val="left"/>
              <w:rPr>
                <w:rFonts w:ascii="Arial" w:hAnsi="Arial" w:cs="Arial"/>
                <w:sz w:val="20"/>
                <w:szCs w:val="20"/>
                <w:lang w:val="en-GB"/>
              </w:rPr>
            </w:pPr>
            <w:r w:rsidRPr="003C1B8B">
              <w:rPr>
                <w:rFonts w:ascii="Calibri" w:hAnsi="Calibri"/>
                <w:noProof/>
                <w:sz w:val="22"/>
                <w:szCs w:val="24"/>
                <w:lang w:val="en-GB"/>
              </w:rPr>
              <w:drawing>
                <wp:anchor distT="0" distB="0" distL="114300" distR="114300" simplePos="0" relativeHeight="251692032" behindDoc="0" locked="0" layoutInCell="1" allowOverlap="1" wp14:anchorId="5F955ADE" wp14:editId="7FCBE53D">
                  <wp:simplePos x="0" y="0"/>
                  <wp:positionH relativeFrom="leftMargin">
                    <wp:posOffset>25</wp:posOffset>
                  </wp:positionH>
                  <wp:positionV relativeFrom="page">
                    <wp:posOffset>152</wp:posOffset>
                  </wp:positionV>
                  <wp:extent cx="1403985" cy="494030"/>
                  <wp:effectExtent l="0" t="0" r="5715" b="1270"/>
                  <wp:wrapSquare wrapText="bothSides"/>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96DAC541-7B7A-43D3-8B79-37D633B846F1}">
                                <asvg:svgBlip xmlns:asvg="http://schemas.microsoft.com/office/drawing/2016/SVG/main" r:embed="rId35"/>
                              </a:ext>
                            </a:extLst>
                          </a:blip>
                          <a:stretch>
                            <a:fillRect/>
                          </a:stretch>
                        </pic:blipFill>
                        <pic:spPr>
                          <a:xfrm>
                            <a:off x="0" y="0"/>
                            <a:ext cx="1403985" cy="494030"/>
                          </a:xfrm>
                          <a:prstGeom prst="rect">
                            <a:avLst/>
                          </a:prstGeom>
                        </pic:spPr>
                      </pic:pic>
                    </a:graphicData>
                  </a:graphic>
                  <wp14:sizeRelH relativeFrom="margin">
                    <wp14:pctWidth>0</wp14:pctWidth>
                  </wp14:sizeRelH>
                  <wp14:sizeRelV relativeFrom="margin">
                    <wp14:pctHeight>0</wp14:pctHeight>
                  </wp14:sizeRelV>
                </wp:anchor>
              </w:drawing>
            </w:r>
          </w:p>
        </w:tc>
        <w:tc>
          <w:tcPr>
            <w:tcW w:w="124" w:type="pct"/>
            <w:shd w:val="clear" w:color="auto" w:fill="FFFFFF" w:themeFill="background1"/>
          </w:tcPr>
          <w:p w14:paraId="7A8A8F5B" w14:textId="77777777" w:rsidR="00303F74" w:rsidRPr="003C1B8B" w:rsidRDefault="00303F74" w:rsidP="00303F74">
            <w:pPr>
              <w:spacing w:before="0" w:after="0"/>
              <w:jc w:val="left"/>
              <w:rPr>
                <w:rFonts w:ascii="Arial" w:hAnsi="Arial" w:cs="Arial"/>
                <w:bCs/>
                <w:spacing w:val="1"/>
                <w:sz w:val="20"/>
                <w:szCs w:val="20"/>
                <w:lang w:val="en-GB"/>
              </w:rPr>
            </w:pPr>
          </w:p>
        </w:tc>
        <w:tc>
          <w:tcPr>
            <w:tcW w:w="3760" w:type="pct"/>
            <w:gridSpan w:val="6"/>
          </w:tcPr>
          <w:p w14:paraId="30AA942A" w14:textId="77777777" w:rsidR="00303F74" w:rsidRPr="003476AC" w:rsidRDefault="00303F74" w:rsidP="00303F74">
            <w:pPr>
              <w:spacing w:before="0" w:after="0"/>
              <w:jc w:val="left"/>
              <w:rPr>
                <w:rFonts w:ascii="Arial" w:hAnsi="Arial" w:cs="Arial"/>
                <w:b/>
                <w:sz w:val="20"/>
                <w:szCs w:val="20"/>
                <w:lang w:val="en-GB"/>
              </w:rPr>
            </w:pPr>
            <w:r w:rsidRPr="003476AC">
              <w:rPr>
                <w:rFonts w:cs="Arial"/>
                <w:b/>
                <w:i/>
                <w:noProof/>
                <w:sz w:val="20"/>
                <w:szCs w:val="20"/>
                <w:lang w:val="en-GB"/>
              </w:rPr>
              <mc:AlternateContent>
                <mc:Choice Requires="wps">
                  <w:drawing>
                    <wp:anchor distT="0" distB="0" distL="114300" distR="114300" simplePos="0" relativeHeight="251698176" behindDoc="0" locked="0" layoutInCell="1" allowOverlap="1" wp14:anchorId="4C265942" wp14:editId="763B1BCE">
                      <wp:simplePos x="0" y="0"/>
                      <wp:positionH relativeFrom="column">
                        <wp:posOffset>-864</wp:posOffset>
                      </wp:positionH>
                      <wp:positionV relativeFrom="page">
                        <wp:posOffset>76</wp:posOffset>
                      </wp:positionV>
                      <wp:extent cx="130175" cy="130175"/>
                      <wp:effectExtent l="0" t="0" r="3175" b="3175"/>
                      <wp:wrapSquare wrapText="bothSides"/>
                      <wp:docPr id="18" name="Oval 1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B1352A" id="Oval 18" o:spid="_x0000_s1026" style="position:absolute;margin-left:-.05pt;margin-top:0;width:10.25pt;height:10.25pt;z-index:2516981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" fillcolor="#d0cece" stroked="f" strokeweight="1pt">
                      <v:stroke joinstyle="miter"/>
                      <w10:wrap type="square" anchory="page"/>
                    </v:oval>
                  </w:pict>
                </mc:Fallback>
              </mc:AlternateContent>
            </w:r>
            <w:r w:rsidRPr="003476AC">
              <w:rPr>
                <w:rFonts w:ascii="Arial" w:hAnsi="Arial" w:cs="Arial"/>
                <w:b/>
                <w:i/>
                <w:iCs/>
                <w:sz w:val="20"/>
                <w:szCs w:val="20"/>
                <w:lang w:val="en-GB"/>
              </w:rPr>
              <w:t>How does the designated index differ from a relevant broad market index?</w:t>
            </w:r>
          </w:p>
        </w:tc>
      </w:tr>
      <w:tr w:rsidR="00303F74" w:rsidRPr="003C1B8B" w14:paraId="1E2DE428" w14:textId="77777777" w:rsidTr="00303F74">
        <w:trPr>
          <w:trHeight w:val="578"/>
        </w:trPr>
        <w:tc>
          <w:tcPr>
            <w:tcW w:w="1116" w:type="pct"/>
            <w:vMerge w:val="restart"/>
            <w:shd w:val="clear" w:color="auto" w:fill="D9D9D9" w:themeFill="background1" w:themeFillShade="D9"/>
          </w:tcPr>
          <w:p w14:paraId="58004969" w14:textId="77777777" w:rsidR="00303F74" w:rsidRPr="003C1B8B" w:rsidRDefault="00303F74" w:rsidP="00303F74">
            <w:pPr>
              <w:spacing w:before="0" w:after="0"/>
              <w:jc w:val="left"/>
              <w:rPr>
                <w:rFonts w:ascii="Arial" w:hAnsi="Arial" w:cs="Arial"/>
                <w:sz w:val="18"/>
                <w:szCs w:val="18"/>
                <w:lang w:val="en-GB"/>
              </w:rPr>
            </w:pPr>
            <w:r w:rsidRPr="003C1B8B">
              <w:rPr>
                <w:rFonts w:ascii="Arial" w:hAnsi="Arial" w:cs="Arial"/>
                <w:bCs/>
                <w:sz w:val="18"/>
                <w:szCs w:val="18"/>
                <w:lang w:val="en-GB"/>
              </w:rPr>
              <w:t>Reference benchmarks</w:t>
            </w:r>
            <w:r w:rsidRPr="003C1B8B">
              <w:rPr>
                <w:rFonts w:ascii="Arial" w:hAnsi="Arial" w:cs="Arial"/>
                <w:sz w:val="18"/>
                <w:szCs w:val="18"/>
                <w:lang w:val="en-GB"/>
              </w:rPr>
              <w:t xml:space="preserve"> are indexes to measure whether the financial</w:t>
            </w:r>
          </w:p>
          <w:p w14:paraId="1E0D2720" w14:textId="244ED82A" w:rsidR="00303F74" w:rsidRPr="003C1B8B" w:rsidRDefault="00303F74" w:rsidP="00303F74">
            <w:pPr>
              <w:spacing w:before="0" w:after="0"/>
              <w:jc w:val="left"/>
              <w:rPr>
                <w:rFonts w:ascii="Arial" w:hAnsi="Arial" w:cs="Arial"/>
                <w:sz w:val="18"/>
                <w:szCs w:val="18"/>
                <w:lang w:val="en-GB"/>
              </w:rPr>
            </w:pPr>
            <w:r w:rsidRPr="003C1B8B">
              <w:rPr>
                <w:noProof/>
                <w:sz w:val="22"/>
                <w:szCs w:val="22"/>
                <w:lang w:val="en-GB"/>
              </w:rPr>
              <w:drawing>
                <wp:anchor distT="0" distB="0" distL="114300" distR="114300" simplePos="0" relativeHeight="251689984" behindDoc="0" locked="0" layoutInCell="1" allowOverlap="1" wp14:anchorId="261639C2" wp14:editId="026019AD">
                  <wp:simplePos x="0" y="0"/>
                  <wp:positionH relativeFrom="page">
                    <wp:posOffset>0</wp:posOffset>
                  </wp:positionH>
                  <wp:positionV relativeFrom="page">
                    <wp:posOffset>1207135</wp:posOffset>
                  </wp:positionV>
                  <wp:extent cx="1403985" cy="493395"/>
                  <wp:effectExtent l="0" t="0" r="5715" b="190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96DAC541-7B7A-43D3-8B79-37D633B846F1}">
                                <asvg:svgBlip xmlns:asvg="http://schemas.microsoft.com/office/drawing/2016/SVG/main" r:embed="rId37"/>
                              </a:ext>
                            </a:extLst>
                          </a:blip>
                          <a:stretch>
                            <a:fillRect/>
                          </a:stretch>
                        </pic:blipFill>
                        <pic:spPr>
                          <a:xfrm>
                            <a:off x="0" y="0"/>
                            <a:ext cx="1403985" cy="493395"/>
                          </a:xfrm>
                          <a:prstGeom prst="rect">
                            <a:avLst/>
                          </a:prstGeom>
                        </pic:spPr>
                      </pic:pic>
                    </a:graphicData>
                  </a:graphic>
                  <wp14:sizeRelH relativeFrom="margin">
                    <wp14:pctWidth>0</wp14:pctWidth>
                  </wp14:sizeRelH>
                  <wp14:sizeRelV relativeFrom="margin">
                    <wp14:pctHeight>0</wp14:pctHeight>
                  </wp14:sizeRelV>
                </wp:anchor>
              </w:drawing>
            </w:r>
            <w:r w:rsidRPr="003C1B8B">
              <w:rPr>
                <w:rFonts w:ascii="Arial" w:hAnsi="Arial" w:cs="Arial"/>
                <w:sz w:val="18"/>
                <w:szCs w:val="18"/>
                <w:lang w:val="en-GB"/>
              </w:rPr>
              <w:t>product attains the environmental or social characteristics that they promote.</w:t>
            </w:r>
          </w:p>
        </w:tc>
        <w:tc>
          <w:tcPr>
            <w:tcW w:w="124" w:type="pct"/>
            <w:shd w:val="clear" w:color="auto" w:fill="FFFFFF" w:themeFill="background1"/>
          </w:tcPr>
          <w:p w14:paraId="79A2B244" w14:textId="77777777" w:rsidR="00303F74" w:rsidRPr="003C1B8B" w:rsidRDefault="00303F74" w:rsidP="00303F74">
            <w:pPr>
              <w:spacing w:before="0" w:after="0"/>
              <w:jc w:val="left"/>
              <w:rPr>
                <w:rFonts w:ascii="Arial" w:hAnsi="Arial" w:cs="Arial"/>
                <w:color w:val="0070C0"/>
                <w:sz w:val="20"/>
                <w:szCs w:val="20"/>
                <w:lang w:val="en-GB"/>
              </w:rPr>
            </w:pPr>
          </w:p>
        </w:tc>
        <w:tc>
          <w:tcPr>
            <w:tcW w:w="3760" w:type="pct"/>
            <w:gridSpan w:val="6"/>
          </w:tcPr>
          <w:p w14:paraId="719DCB05" w14:textId="77777777" w:rsidR="00303F74" w:rsidRPr="003476AC" w:rsidRDefault="00303F74" w:rsidP="00303F74">
            <w:pPr>
              <w:spacing w:before="0" w:after="0"/>
              <w:ind w:left="340"/>
              <w:jc w:val="left"/>
              <w:rPr>
                <w:rFonts w:ascii="Arial" w:hAnsi="Arial" w:cs="Arial"/>
                <w:i/>
                <w:iCs/>
                <w:sz w:val="20"/>
                <w:szCs w:val="20"/>
                <w:lang w:val="en-GB"/>
              </w:rPr>
            </w:pPr>
            <w:r w:rsidRPr="003476AC">
              <w:rPr>
                <w:rFonts w:ascii="Arial" w:hAnsi="Arial" w:cs="Arial"/>
                <w:i/>
                <w:iCs/>
                <w:sz w:val="20"/>
                <w:szCs w:val="20"/>
                <w:lang w:val="en-GB"/>
              </w:rPr>
              <w:t>Not applicable</w:t>
            </w:r>
          </w:p>
          <w:p w14:paraId="4D826372" w14:textId="77777777" w:rsidR="00303F74" w:rsidRPr="003476AC" w:rsidRDefault="00303F74" w:rsidP="00303F74">
            <w:pPr>
              <w:spacing w:before="0" w:after="0"/>
              <w:jc w:val="left"/>
              <w:rPr>
                <w:rFonts w:ascii="Arial" w:hAnsi="Arial" w:cs="Arial"/>
                <w:color w:val="0070C0"/>
                <w:sz w:val="20"/>
                <w:szCs w:val="20"/>
                <w:lang w:val="en-GB"/>
              </w:rPr>
            </w:pPr>
          </w:p>
        </w:tc>
      </w:tr>
      <w:tr w:rsidR="00303F74" w:rsidRPr="003C1B8B" w14:paraId="0279E270" w14:textId="77777777" w:rsidTr="00303F74">
        <w:tc>
          <w:tcPr>
            <w:tcW w:w="1116" w:type="pct"/>
            <w:vMerge/>
          </w:tcPr>
          <w:p w14:paraId="6196A0E8"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6AA7BDF8" w14:textId="77777777" w:rsidR="00303F74" w:rsidRPr="003C1B8B" w:rsidRDefault="00303F74" w:rsidP="00303F74">
            <w:pPr>
              <w:spacing w:before="0" w:after="0"/>
              <w:ind w:left="340"/>
              <w:jc w:val="left"/>
              <w:rPr>
                <w:rFonts w:ascii="Calibri" w:hAnsi="Calibri"/>
                <w:bCs/>
                <w:i/>
                <w:noProof/>
                <w:sz w:val="22"/>
                <w:szCs w:val="22"/>
                <w:lang w:val="en-GB"/>
              </w:rPr>
            </w:pPr>
          </w:p>
        </w:tc>
        <w:tc>
          <w:tcPr>
            <w:tcW w:w="3760" w:type="pct"/>
            <w:gridSpan w:val="6"/>
          </w:tcPr>
          <w:p w14:paraId="402FBD31" w14:textId="77777777" w:rsidR="00303F74" w:rsidRPr="003476AC" w:rsidRDefault="00303F74" w:rsidP="00303F74">
            <w:pPr>
              <w:spacing w:before="0" w:after="0"/>
              <w:ind w:left="340"/>
              <w:jc w:val="left"/>
              <w:rPr>
                <w:rFonts w:ascii="Arial" w:hAnsi="Arial" w:cs="Arial"/>
                <w:b/>
                <w:sz w:val="20"/>
                <w:szCs w:val="20"/>
                <w:lang w:val="en-GB"/>
              </w:rPr>
            </w:pPr>
            <w:r w:rsidRPr="003476AC">
              <w:rPr>
                <w:rFonts w:cs="Arial"/>
                <w:b/>
                <w:i/>
                <w:noProof/>
                <w:sz w:val="20"/>
                <w:szCs w:val="20"/>
                <w:lang w:val="en-GB"/>
              </w:rPr>
              <mc:AlternateContent>
                <mc:Choice Requires="wps">
                  <w:drawing>
                    <wp:anchor distT="0" distB="0" distL="114300" distR="114300" simplePos="0" relativeHeight="251699200" behindDoc="0" locked="0" layoutInCell="1" allowOverlap="1" wp14:anchorId="54A69E14" wp14:editId="170B4301">
                      <wp:simplePos x="0" y="0"/>
                      <wp:positionH relativeFrom="column">
                        <wp:posOffset>-864</wp:posOffset>
                      </wp:positionH>
                      <wp:positionV relativeFrom="page">
                        <wp:posOffset>15494</wp:posOffset>
                      </wp:positionV>
                      <wp:extent cx="130175" cy="130175"/>
                      <wp:effectExtent l="0" t="0" r="3175" b="3175"/>
                      <wp:wrapSquare wrapText="bothSides"/>
                      <wp:docPr id="14" name="Oval 1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68FF27" id="Oval 14" o:spid="_x0000_s1026" style="position:absolute;margin-left:-.05pt;margin-top:1.2pt;width:10.25pt;height:10.25pt;z-index:2516992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" fillcolor="#d0cece" stroked="f" strokeweight="1pt">
                      <v:stroke joinstyle="miter"/>
                      <w10:wrap type="square" anchory="page"/>
                    </v:oval>
                  </w:pict>
                </mc:Fallback>
              </mc:AlternateContent>
            </w:r>
            <w:r w:rsidRPr="003476AC">
              <w:rPr>
                <w:rFonts w:ascii="Arial" w:hAnsi="Arial" w:cs="Arial"/>
                <w:b/>
                <w:i/>
                <w:iCs/>
                <w:sz w:val="20"/>
                <w:szCs w:val="20"/>
                <w:lang w:val="en-GB"/>
              </w:rPr>
              <w:t>Where can the methodology used for the calculation of the designated index be found?</w:t>
            </w:r>
          </w:p>
        </w:tc>
      </w:tr>
      <w:tr w:rsidR="00303F74" w:rsidRPr="003C1B8B" w14:paraId="0C2FF98A" w14:textId="77777777" w:rsidTr="00303F74">
        <w:trPr>
          <w:trHeight w:val="665"/>
        </w:trPr>
        <w:tc>
          <w:tcPr>
            <w:tcW w:w="1116" w:type="pct"/>
            <w:vMerge/>
          </w:tcPr>
          <w:p w14:paraId="18F089CE"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5EE35045" w14:textId="77777777" w:rsidR="00303F74" w:rsidRPr="003C1B8B" w:rsidRDefault="00303F74" w:rsidP="00303F74">
            <w:pPr>
              <w:spacing w:before="0" w:after="0"/>
              <w:jc w:val="left"/>
              <w:rPr>
                <w:rFonts w:ascii="Arial" w:hAnsi="Arial" w:cs="Arial"/>
                <w:color w:val="0070C0"/>
                <w:sz w:val="20"/>
                <w:szCs w:val="20"/>
                <w:highlight w:val="yellow"/>
                <w:lang w:val="en-GB"/>
              </w:rPr>
            </w:pPr>
          </w:p>
        </w:tc>
        <w:tc>
          <w:tcPr>
            <w:tcW w:w="3760" w:type="pct"/>
            <w:gridSpan w:val="6"/>
          </w:tcPr>
          <w:p w14:paraId="518B4CE5" w14:textId="77777777" w:rsidR="00303F74" w:rsidRPr="003476AC" w:rsidRDefault="00303F74" w:rsidP="00303F74">
            <w:pPr>
              <w:spacing w:before="0" w:after="0"/>
              <w:jc w:val="left"/>
              <w:rPr>
                <w:rFonts w:ascii="Arial" w:hAnsi="Arial" w:cs="Arial"/>
                <w:i/>
                <w:iCs/>
                <w:sz w:val="20"/>
                <w:szCs w:val="20"/>
                <w:lang w:val="en-GB"/>
              </w:rPr>
            </w:pPr>
            <w:r w:rsidRPr="003476AC">
              <w:rPr>
                <w:rFonts w:ascii="Arial" w:hAnsi="Arial" w:cs="Arial"/>
                <w:i/>
                <w:iCs/>
                <w:sz w:val="20"/>
                <w:szCs w:val="20"/>
                <w:lang w:val="en-GB"/>
              </w:rPr>
              <w:t>Not applicable</w:t>
            </w:r>
          </w:p>
          <w:p w14:paraId="6811C142" w14:textId="77777777" w:rsidR="00303F74" w:rsidRPr="003476AC" w:rsidRDefault="00303F74" w:rsidP="00303F74">
            <w:pPr>
              <w:spacing w:before="0" w:after="0"/>
              <w:jc w:val="left"/>
              <w:rPr>
                <w:rFonts w:ascii="Arial" w:hAnsi="Arial" w:cs="Arial"/>
                <w:color w:val="0070C0"/>
                <w:sz w:val="20"/>
                <w:szCs w:val="20"/>
                <w:highlight w:val="yellow"/>
                <w:lang w:val="en-GB"/>
              </w:rPr>
            </w:pPr>
          </w:p>
        </w:tc>
      </w:tr>
      <w:tr w:rsidR="00303F74" w:rsidRPr="003C1B8B" w14:paraId="1819F5FC" w14:textId="77777777" w:rsidTr="00303F74">
        <w:tc>
          <w:tcPr>
            <w:tcW w:w="1116" w:type="pct"/>
            <w:vMerge/>
          </w:tcPr>
          <w:p w14:paraId="2784E093"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2FA83F25" w14:textId="77777777" w:rsidR="00303F74" w:rsidRPr="003C1B8B" w:rsidRDefault="00303F74" w:rsidP="00303F74">
            <w:pPr>
              <w:spacing w:before="0" w:after="0"/>
              <w:ind w:left="340"/>
              <w:jc w:val="left"/>
              <w:rPr>
                <w:rFonts w:ascii="Calibri" w:hAnsi="Calibri"/>
                <w:bCs/>
                <w:i/>
                <w:noProof/>
                <w:sz w:val="22"/>
                <w:szCs w:val="22"/>
                <w:lang w:val="en-GB"/>
              </w:rPr>
            </w:pPr>
          </w:p>
        </w:tc>
        <w:tc>
          <w:tcPr>
            <w:tcW w:w="3760" w:type="pct"/>
            <w:gridSpan w:val="6"/>
          </w:tcPr>
          <w:p w14:paraId="648B3CD1" w14:textId="77777777" w:rsidR="00303F74" w:rsidRPr="003476AC" w:rsidRDefault="00303F74" w:rsidP="00303F74">
            <w:pPr>
              <w:spacing w:before="0" w:after="0"/>
              <w:ind w:right="2122"/>
              <w:rPr>
                <w:rFonts w:ascii="Arial" w:hAnsi="Arial" w:cs="Arial"/>
                <w:b/>
                <w:bCs/>
                <w:sz w:val="20"/>
                <w:szCs w:val="20"/>
                <w:lang w:val="en-GB"/>
              </w:rPr>
            </w:pPr>
            <w:r w:rsidRPr="003476AC">
              <w:rPr>
                <w:rFonts w:ascii="Arial" w:hAnsi="Arial" w:cs="Arial"/>
                <w:b/>
                <w:bCs/>
                <w:spacing w:val="1"/>
                <w:sz w:val="20"/>
                <w:szCs w:val="20"/>
                <w:lang w:val="en-GB"/>
              </w:rPr>
              <w:t>Wh</w:t>
            </w:r>
            <w:r w:rsidRPr="003476AC">
              <w:rPr>
                <w:rFonts w:ascii="Arial" w:hAnsi="Arial" w:cs="Arial"/>
                <w:b/>
                <w:bCs/>
                <w:spacing w:val="-1"/>
                <w:sz w:val="20"/>
                <w:szCs w:val="20"/>
                <w:lang w:val="en-GB"/>
              </w:rPr>
              <w:t>e</w:t>
            </w:r>
            <w:r w:rsidRPr="003476AC">
              <w:rPr>
                <w:rFonts w:ascii="Arial" w:hAnsi="Arial" w:cs="Arial"/>
                <w:b/>
                <w:bCs/>
                <w:spacing w:val="1"/>
                <w:sz w:val="20"/>
                <w:szCs w:val="20"/>
                <w:lang w:val="en-GB"/>
              </w:rPr>
              <w:t>r</w:t>
            </w:r>
            <w:r w:rsidRPr="003476AC">
              <w:rPr>
                <w:rFonts w:ascii="Arial" w:hAnsi="Arial" w:cs="Arial"/>
                <w:b/>
                <w:bCs/>
                <w:sz w:val="20"/>
                <w:szCs w:val="20"/>
                <w:lang w:val="en-GB"/>
              </w:rPr>
              <w:t>e c</w:t>
            </w:r>
            <w:r w:rsidRPr="003476AC">
              <w:rPr>
                <w:rFonts w:ascii="Arial" w:hAnsi="Arial" w:cs="Arial"/>
                <w:b/>
                <w:bCs/>
                <w:spacing w:val="-1"/>
                <w:sz w:val="20"/>
                <w:szCs w:val="20"/>
                <w:lang w:val="en-GB"/>
              </w:rPr>
              <w:t>a</w:t>
            </w:r>
            <w:r w:rsidRPr="003476AC">
              <w:rPr>
                <w:rFonts w:ascii="Arial" w:hAnsi="Arial" w:cs="Arial"/>
                <w:b/>
                <w:bCs/>
                <w:sz w:val="20"/>
                <w:szCs w:val="20"/>
                <w:lang w:val="en-GB"/>
              </w:rPr>
              <w:t>n</w:t>
            </w:r>
            <w:r w:rsidRPr="003476AC">
              <w:rPr>
                <w:rFonts w:ascii="Arial" w:hAnsi="Arial" w:cs="Arial"/>
                <w:b/>
                <w:bCs/>
                <w:spacing w:val="-1"/>
                <w:sz w:val="20"/>
                <w:szCs w:val="20"/>
                <w:lang w:val="en-GB"/>
              </w:rPr>
              <w:t xml:space="preserve"> </w:t>
            </w:r>
            <w:r w:rsidRPr="003476AC">
              <w:rPr>
                <w:rFonts w:ascii="Arial" w:hAnsi="Arial" w:cs="Arial"/>
                <w:b/>
                <w:bCs/>
                <w:sz w:val="20"/>
                <w:szCs w:val="20"/>
                <w:lang w:val="en-GB"/>
              </w:rPr>
              <w:t>I</w:t>
            </w:r>
            <w:r w:rsidRPr="003476AC">
              <w:rPr>
                <w:rFonts w:ascii="Arial" w:hAnsi="Arial" w:cs="Arial"/>
                <w:b/>
                <w:bCs/>
                <w:spacing w:val="2"/>
                <w:sz w:val="20"/>
                <w:szCs w:val="20"/>
                <w:lang w:val="en-GB"/>
              </w:rPr>
              <w:t xml:space="preserve"> </w:t>
            </w:r>
            <w:r w:rsidRPr="003476AC">
              <w:rPr>
                <w:rFonts w:ascii="Arial" w:hAnsi="Arial" w:cs="Arial"/>
                <w:b/>
                <w:bCs/>
                <w:spacing w:val="-2"/>
                <w:sz w:val="20"/>
                <w:szCs w:val="20"/>
                <w:lang w:val="en-GB"/>
              </w:rPr>
              <w:t>f</w:t>
            </w:r>
            <w:r w:rsidRPr="003476AC">
              <w:rPr>
                <w:rFonts w:ascii="Arial" w:hAnsi="Arial" w:cs="Arial"/>
                <w:b/>
                <w:bCs/>
                <w:spacing w:val="1"/>
                <w:sz w:val="20"/>
                <w:szCs w:val="20"/>
                <w:lang w:val="en-GB"/>
              </w:rPr>
              <w:t>i</w:t>
            </w:r>
            <w:r w:rsidRPr="003476AC">
              <w:rPr>
                <w:rFonts w:ascii="Arial" w:hAnsi="Arial" w:cs="Arial"/>
                <w:b/>
                <w:bCs/>
                <w:spacing w:val="-2"/>
                <w:sz w:val="20"/>
                <w:szCs w:val="20"/>
                <w:lang w:val="en-GB"/>
              </w:rPr>
              <w:t>n</w:t>
            </w:r>
            <w:r w:rsidRPr="003476AC">
              <w:rPr>
                <w:rFonts w:ascii="Arial" w:hAnsi="Arial" w:cs="Arial"/>
                <w:b/>
                <w:bCs/>
                <w:sz w:val="20"/>
                <w:szCs w:val="20"/>
                <w:lang w:val="en-GB"/>
              </w:rPr>
              <w:t>d</w:t>
            </w:r>
            <w:r w:rsidRPr="003476AC">
              <w:rPr>
                <w:rFonts w:ascii="Arial" w:hAnsi="Arial" w:cs="Arial"/>
                <w:b/>
                <w:bCs/>
                <w:spacing w:val="2"/>
                <w:sz w:val="20"/>
                <w:szCs w:val="20"/>
                <w:lang w:val="en-GB"/>
              </w:rPr>
              <w:t xml:space="preserve"> </w:t>
            </w:r>
            <w:r w:rsidRPr="003476AC">
              <w:rPr>
                <w:rFonts w:ascii="Arial" w:hAnsi="Arial" w:cs="Arial"/>
                <w:b/>
                <w:bCs/>
                <w:spacing w:val="-1"/>
                <w:sz w:val="20"/>
                <w:szCs w:val="20"/>
                <w:lang w:val="en-GB"/>
              </w:rPr>
              <w:t>m</w:t>
            </w:r>
            <w:r w:rsidRPr="003476AC">
              <w:rPr>
                <w:rFonts w:ascii="Arial" w:hAnsi="Arial" w:cs="Arial"/>
                <w:b/>
                <w:bCs/>
                <w:spacing w:val="1"/>
                <w:sz w:val="20"/>
                <w:szCs w:val="20"/>
                <w:lang w:val="en-GB"/>
              </w:rPr>
              <w:t>or</w:t>
            </w:r>
            <w:r w:rsidRPr="003476AC">
              <w:rPr>
                <w:rFonts w:ascii="Arial" w:hAnsi="Arial" w:cs="Arial"/>
                <w:b/>
                <w:bCs/>
                <w:sz w:val="20"/>
                <w:szCs w:val="20"/>
                <w:lang w:val="en-GB"/>
              </w:rPr>
              <w:t>e</w:t>
            </w:r>
            <w:r w:rsidRPr="003476AC">
              <w:rPr>
                <w:rFonts w:ascii="Arial" w:hAnsi="Arial" w:cs="Arial"/>
                <w:b/>
                <w:bCs/>
                <w:spacing w:val="-2"/>
                <w:sz w:val="20"/>
                <w:szCs w:val="20"/>
                <w:lang w:val="en-GB"/>
              </w:rPr>
              <w:t xml:space="preserve"> p</w:t>
            </w:r>
            <w:r w:rsidRPr="003476AC">
              <w:rPr>
                <w:rFonts w:ascii="Arial" w:hAnsi="Arial" w:cs="Arial"/>
                <w:b/>
                <w:bCs/>
                <w:spacing w:val="1"/>
                <w:sz w:val="20"/>
                <w:szCs w:val="20"/>
                <w:lang w:val="en-GB"/>
              </w:rPr>
              <w:t>rod</w:t>
            </w:r>
            <w:r w:rsidRPr="003476AC">
              <w:rPr>
                <w:rFonts w:ascii="Arial" w:hAnsi="Arial" w:cs="Arial"/>
                <w:b/>
                <w:bCs/>
                <w:spacing w:val="-1"/>
                <w:sz w:val="20"/>
                <w:szCs w:val="20"/>
                <w:lang w:val="en-GB"/>
              </w:rPr>
              <w:t>u</w:t>
            </w:r>
            <w:r w:rsidRPr="003476AC">
              <w:rPr>
                <w:rFonts w:ascii="Arial" w:hAnsi="Arial" w:cs="Arial"/>
                <w:b/>
                <w:bCs/>
                <w:sz w:val="20"/>
                <w:szCs w:val="20"/>
                <w:lang w:val="en-GB"/>
              </w:rPr>
              <w:t>ct</w:t>
            </w:r>
            <w:r w:rsidRPr="003476AC">
              <w:rPr>
                <w:rFonts w:ascii="Arial" w:hAnsi="Arial" w:cs="Arial"/>
                <w:b/>
                <w:bCs/>
                <w:spacing w:val="2"/>
                <w:sz w:val="20"/>
                <w:szCs w:val="20"/>
                <w:lang w:val="en-GB"/>
              </w:rPr>
              <w:t xml:space="preserve"> </w:t>
            </w:r>
            <w:r w:rsidRPr="003476AC">
              <w:rPr>
                <w:rFonts w:ascii="Arial" w:hAnsi="Arial" w:cs="Arial"/>
                <w:b/>
                <w:bCs/>
                <w:spacing w:val="-2"/>
                <w:sz w:val="20"/>
                <w:szCs w:val="20"/>
                <w:lang w:val="en-GB"/>
              </w:rPr>
              <w:t>s</w:t>
            </w:r>
            <w:r w:rsidRPr="003476AC">
              <w:rPr>
                <w:rFonts w:ascii="Arial" w:hAnsi="Arial" w:cs="Arial"/>
                <w:b/>
                <w:bCs/>
                <w:spacing w:val="1"/>
                <w:sz w:val="20"/>
                <w:szCs w:val="20"/>
                <w:lang w:val="en-GB"/>
              </w:rPr>
              <w:t>p</w:t>
            </w:r>
            <w:r w:rsidRPr="003476AC">
              <w:rPr>
                <w:rFonts w:ascii="Arial" w:hAnsi="Arial" w:cs="Arial"/>
                <w:b/>
                <w:bCs/>
                <w:spacing w:val="-1"/>
                <w:sz w:val="20"/>
                <w:szCs w:val="20"/>
                <w:lang w:val="en-GB"/>
              </w:rPr>
              <w:t>e</w:t>
            </w:r>
            <w:r w:rsidRPr="003476AC">
              <w:rPr>
                <w:rFonts w:ascii="Arial" w:hAnsi="Arial" w:cs="Arial"/>
                <w:b/>
                <w:bCs/>
                <w:sz w:val="20"/>
                <w:szCs w:val="20"/>
                <w:lang w:val="en-GB"/>
              </w:rPr>
              <w:t>c</w:t>
            </w:r>
            <w:r w:rsidRPr="003476AC">
              <w:rPr>
                <w:rFonts w:ascii="Arial" w:hAnsi="Arial" w:cs="Arial"/>
                <w:b/>
                <w:bCs/>
                <w:spacing w:val="1"/>
                <w:sz w:val="20"/>
                <w:szCs w:val="20"/>
                <w:lang w:val="en-GB"/>
              </w:rPr>
              <w:t>i</w:t>
            </w:r>
            <w:r w:rsidRPr="003476AC">
              <w:rPr>
                <w:rFonts w:ascii="Arial" w:hAnsi="Arial" w:cs="Arial"/>
                <w:b/>
                <w:bCs/>
                <w:spacing w:val="-2"/>
                <w:sz w:val="20"/>
                <w:szCs w:val="20"/>
                <w:lang w:val="en-GB"/>
              </w:rPr>
              <w:t>f</w:t>
            </w:r>
            <w:r w:rsidRPr="003476AC">
              <w:rPr>
                <w:rFonts w:ascii="Arial" w:hAnsi="Arial" w:cs="Arial"/>
                <w:b/>
                <w:bCs/>
                <w:spacing w:val="1"/>
                <w:sz w:val="20"/>
                <w:szCs w:val="20"/>
                <w:lang w:val="en-GB"/>
              </w:rPr>
              <w:t>i</w:t>
            </w:r>
            <w:r w:rsidRPr="003476AC">
              <w:rPr>
                <w:rFonts w:ascii="Arial" w:hAnsi="Arial" w:cs="Arial"/>
                <w:b/>
                <w:bCs/>
                <w:sz w:val="20"/>
                <w:szCs w:val="20"/>
                <w:lang w:val="en-GB"/>
              </w:rPr>
              <w:t>c</w:t>
            </w:r>
            <w:r w:rsidRPr="003476AC">
              <w:rPr>
                <w:rFonts w:ascii="Arial" w:hAnsi="Arial" w:cs="Arial"/>
                <w:b/>
                <w:bCs/>
                <w:spacing w:val="-1"/>
                <w:sz w:val="20"/>
                <w:szCs w:val="20"/>
                <w:lang w:val="en-GB"/>
              </w:rPr>
              <w:t xml:space="preserve"> </w:t>
            </w:r>
            <w:r w:rsidRPr="003476AC">
              <w:rPr>
                <w:rFonts w:ascii="Arial" w:hAnsi="Arial" w:cs="Arial"/>
                <w:b/>
                <w:bCs/>
                <w:spacing w:val="1"/>
                <w:sz w:val="20"/>
                <w:szCs w:val="20"/>
                <w:lang w:val="en-GB"/>
              </w:rPr>
              <w:t>in</w:t>
            </w:r>
            <w:r w:rsidRPr="003476AC">
              <w:rPr>
                <w:rFonts w:ascii="Arial" w:hAnsi="Arial" w:cs="Arial"/>
                <w:b/>
                <w:bCs/>
                <w:spacing w:val="-1"/>
                <w:sz w:val="20"/>
                <w:szCs w:val="20"/>
                <w:lang w:val="en-GB"/>
              </w:rPr>
              <w:t>f</w:t>
            </w:r>
            <w:r w:rsidRPr="003476AC">
              <w:rPr>
                <w:rFonts w:ascii="Arial" w:hAnsi="Arial" w:cs="Arial"/>
                <w:b/>
                <w:bCs/>
                <w:spacing w:val="1"/>
                <w:sz w:val="20"/>
                <w:szCs w:val="20"/>
                <w:lang w:val="en-GB"/>
              </w:rPr>
              <w:t>or</w:t>
            </w:r>
            <w:r w:rsidRPr="003476AC">
              <w:rPr>
                <w:rFonts w:ascii="Arial" w:hAnsi="Arial" w:cs="Arial"/>
                <w:b/>
                <w:bCs/>
                <w:spacing w:val="-1"/>
                <w:sz w:val="20"/>
                <w:szCs w:val="20"/>
                <w:lang w:val="en-GB"/>
              </w:rPr>
              <w:t>ma</w:t>
            </w:r>
            <w:r w:rsidRPr="003476AC">
              <w:rPr>
                <w:rFonts w:ascii="Arial" w:hAnsi="Arial" w:cs="Arial"/>
                <w:b/>
                <w:bCs/>
                <w:spacing w:val="1"/>
                <w:sz w:val="20"/>
                <w:szCs w:val="20"/>
                <w:lang w:val="en-GB"/>
              </w:rPr>
              <w:t>t</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o</w:t>
            </w:r>
            <w:r w:rsidRPr="003476AC">
              <w:rPr>
                <w:rFonts w:ascii="Arial" w:hAnsi="Arial" w:cs="Arial"/>
                <w:b/>
                <w:bCs/>
                <w:sz w:val="20"/>
                <w:szCs w:val="20"/>
                <w:lang w:val="en-GB"/>
              </w:rPr>
              <w:t>n</w:t>
            </w:r>
            <w:r w:rsidRPr="003476AC">
              <w:rPr>
                <w:rFonts w:ascii="Arial" w:hAnsi="Arial" w:cs="Arial"/>
                <w:b/>
                <w:bCs/>
                <w:spacing w:val="2"/>
                <w:sz w:val="20"/>
                <w:szCs w:val="20"/>
                <w:lang w:val="en-GB"/>
              </w:rPr>
              <w:t xml:space="preserve"> </w:t>
            </w:r>
            <w:r w:rsidRPr="003476AC">
              <w:rPr>
                <w:rFonts w:ascii="Arial" w:hAnsi="Arial" w:cs="Arial"/>
                <w:b/>
                <w:bCs/>
                <w:spacing w:val="-2"/>
                <w:sz w:val="20"/>
                <w:szCs w:val="20"/>
                <w:lang w:val="en-GB"/>
              </w:rPr>
              <w:t>o</w:t>
            </w:r>
            <w:r w:rsidRPr="003476AC">
              <w:rPr>
                <w:rFonts w:ascii="Arial" w:hAnsi="Arial" w:cs="Arial"/>
                <w:b/>
                <w:bCs/>
                <w:spacing w:val="1"/>
                <w:sz w:val="20"/>
                <w:szCs w:val="20"/>
                <w:lang w:val="en-GB"/>
              </w:rPr>
              <w:t>nl</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n</w:t>
            </w:r>
            <w:r w:rsidRPr="003476AC">
              <w:rPr>
                <w:rFonts w:ascii="Arial" w:hAnsi="Arial" w:cs="Arial"/>
                <w:b/>
                <w:bCs/>
                <w:spacing w:val="-1"/>
                <w:sz w:val="20"/>
                <w:szCs w:val="20"/>
                <w:lang w:val="en-GB"/>
              </w:rPr>
              <w:t>e</w:t>
            </w:r>
            <w:r w:rsidRPr="003476AC">
              <w:rPr>
                <w:rFonts w:ascii="Arial" w:hAnsi="Arial" w:cs="Arial"/>
                <w:b/>
                <w:bCs/>
                <w:sz w:val="20"/>
                <w:szCs w:val="20"/>
                <w:lang w:val="en-GB"/>
              </w:rPr>
              <w:t>?</w:t>
            </w:r>
          </w:p>
          <w:p w14:paraId="4CA8F79D" w14:textId="77777777" w:rsidR="00303F74" w:rsidRPr="003476AC" w:rsidRDefault="00303F74" w:rsidP="00303F74">
            <w:pPr>
              <w:spacing w:before="0" w:after="0"/>
              <w:ind w:right="2122"/>
              <w:rPr>
                <w:rFonts w:ascii="Arial" w:hAnsi="Arial" w:cs="Arial"/>
                <w:b/>
                <w:bCs/>
                <w:sz w:val="20"/>
                <w:szCs w:val="20"/>
                <w:lang w:val="en-GB"/>
              </w:rPr>
            </w:pPr>
            <w:r w:rsidRPr="003476AC">
              <w:rPr>
                <w:rFonts w:ascii="Arial" w:hAnsi="Arial" w:cs="Arial"/>
                <w:b/>
                <w:bCs/>
                <w:spacing w:val="-1"/>
                <w:sz w:val="20"/>
                <w:szCs w:val="20"/>
                <w:lang w:val="en-GB"/>
              </w:rPr>
              <w:t>Mo</w:t>
            </w:r>
            <w:r w:rsidRPr="003476AC">
              <w:rPr>
                <w:rFonts w:ascii="Arial" w:hAnsi="Arial" w:cs="Arial"/>
                <w:b/>
                <w:bCs/>
                <w:spacing w:val="1"/>
                <w:sz w:val="20"/>
                <w:szCs w:val="20"/>
                <w:lang w:val="en-GB"/>
              </w:rPr>
              <w:t>r</w:t>
            </w:r>
            <w:r w:rsidRPr="003476AC">
              <w:rPr>
                <w:rFonts w:ascii="Arial" w:hAnsi="Arial" w:cs="Arial"/>
                <w:b/>
                <w:bCs/>
                <w:sz w:val="20"/>
                <w:szCs w:val="20"/>
                <w:lang w:val="en-GB"/>
              </w:rPr>
              <w:t>e</w:t>
            </w:r>
            <w:r w:rsidRPr="003476AC">
              <w:rPr>
                <w:rFonts w:ascii="Arial" w:hAnsi="Arial" w:cs="Arial"/>
                <w:b/>
                <w:bCs/>
                <w:spacing w:val="4"/>
                <w:sz w:val="20"/>
                <w:szCs w:val="20"/>
                <w:lang w:val="en-GB"/>
              </w:rPr>
              <w:t xml:space="preserve"> </w:t>
            </w:r>
            <w:r w:rsidRPr="003476AC">
              <w:rPr>
                <w:rFonts w:ascii="Arial" w:hAnsi="Arial" w:cs="Arial"/>
                <w:b/>
                <w:bCs/>
                <w:spacing w:val="-1"/>
                <w:sz w:val="20"/>
                <w:szCs w:val="20"/>
                <w:lang w:val="en-GB"/>
              </w:rPr>
              <w:t>p</w:t>
            </w:r>
            <w:r w:rsidRPr="003476AC">
              <w:rPr>
                <w:rFonts w:ascii="Arial" w:hAnsi="Arial" w:cs="Arial"/>
                <w:b/>
                <w:bCs/>
                <w:spacing w:val="1"/>
                <w:sz w:val="20"/>
                <w:szCs w:val="20"/>
                <w:lang w:val="en-GB"/>
              </w:rPr>
              <w:t>r</w:t>
            </w:r>
            <w:r w:rsidRPr="003476AC">
              <w:rPr>
                <w:rFonts w:ascii="Arial" w:hAnsi="Arial" w:cs="Arial"/>
                <w:b/>
                <w:bCs/>
                <w:spacing w:val="-1"/>
                <w:sz w:val="20"/>
                <w:szCs w:val="20"/>
                <w:lang w:val="en-GB"/>
              </w:rPr>
              <w:t>odu</w:t>
            </w:r>
            <w:r w:rsidRPr="003476AC">
              <w:rPr>
                <w:rFonts w:ascii="Arial" w:hAnsi="Arial" w:cs="Arial"/>
                <w:b/>
                <w:bCs/>
                <w:spacing w:val="1"/>
                <w:sz w:val="20"/>
                <w:szCs w:val="20"/>
                <w:lang w:val="en-GB"/>
              </w:rPr>
              <w:t>c</w:t>
            </w:r>
            <w:r w:rsidRPr="003476AC">
              <w:rPr>
                <w:rFonts w:ascii="Arial" w:hAnsi="Arial" w:cs="Arial"/>
                <w:b/>
                <w:bCs/>
                <w:sz w:val="20"/>
                <w:szCs w:val="20"/>
                <w:lang w:val="en-GB"/>
              </w:rPr>
              <w:t>t-</w:t>
            </w:r>
            <w:r w:rsidRPr="003476AC">
              <w:rPr>
                <w:rFonts w:ascii="Arial" w:hAnsi="Arial" w:cs="Arial"/>
                <w:b/>
                <w:bCs/>
                <w:spacing w:val="1"/>
                <w:sz w:val="20"/>
                <w:szCs w:val="20"/>
                <w:lang w:val="en-GB"/>
              </w:rPr>
              <w:t>s</w:t>
            </w:r>
            <w:r w:rsidRPr="003476AC">
              <w:rPr>
                <w:rFonts w:ascii="Arial" w:hAnsi="Arial" w:cs="Arial"/>
                <w:b/>
                <w:bCs/>
                <w:spacing w:val="-1"/>
                <w:sz w:val="20"/>
                <w:szCs w:val="20"/>
                <w:lang w:val="en-GB"/>
              </w:rPr>
              <w:t>p</w:t>
            </w:r>
            <w:r w:rsidRPr="003476AC">
              <w:rPr>
                <w:rFonts w:ascii="Arial" w:hAnsi="Arial" w:cs="Arial"/>
                <w:b/>
                <w:bCs/>
                <w:spacing w:val="-3"/>
                <w:sz w:val="20"/>
                <w:szCs w:val="20"/>
                <w:lang w:val="en-GB"/>
              </w:rPr>
              <w:t>e</w:t>
            </w:r>
            <w:r w:rsidRPr="003476AC">
              <w:rPr>
                <w:rFonts w:ascii="Arial" w:hAnsi="Arial" w:cs="Arial"/>
                <w:b/>
                <w:bCs/>
                <w:spacing w:val="1"/>
                <w:sz w:val="20"/>
                <w:szCs w:val="20"/>
                <w:lang w:val="en-GB"/>
              </w:rPr>
              <w:t>ci</w:t>
            </w:r>
            <w:r w:rsidRPr="003476AC">
              <w:rPr>
                <w:rFonts w:ascii="Arial" w:hAnsi="Arial" w:cs="Arial"/>
                <w:b/>
                <w:bCs/>
                <w:spacing w:val="-3"/>
                <w:sz w:val="20"/>
                <w:szCs w:val="20"/>
                <w:lang w:val="en-GB"/>
              </w:rPr>
              <w:t>f</w:t>
            </w:r>
            <w:r w:rsidRPr="003476AC">
              <w:rPr>
                <w:rFonts w:ascii="Arial" w:hAnsi="Arial" w:cs="Arial"/>
                <w:b/>
                <w:bCs/>
                <w:spacing w:val="1"/>
                <w:sz w:val="20"/>
                <w:szCs w:val="20"/>
                <w:lang w:val="en-GB"/>
              </w:rPr>
              <w:t>i</w:t>
            </w:r>
            <w:r w:rsidRPr="003476AC">
              <w:rPr>
                <w:rFonts w:ascii="Arial" w:hAnsi="Arial" w:cs="Arial"/>
                <w:b/>
                <w:bCs/>
                <w:sz w:val="20"/>
                <w:szCs w:val="20"/>
                <w:lang w:val="en-GB"/>
              </w:rPr>
              <w:t>c</w:t>
            </w:r>
            <w:r w:rsidRPr="003476AC">
              <w:rPr>
                <w:rFonts w:ascii="Arial" w:hAnsi="Arial" w:cs="Arial"/>
                <w:b/>
                <w:bCs/>
                <w:spacing w:val="4"/>
                <w:sz w:val="20"/>
                <w:szCs w:val="20"/>
                <w:lang w:val="en-GB"/>
              </w:rPr>
              <w:t xml:space="preserve"> </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n</w:t>
            </w:r>
            <w:r w:rsidRPr="003476AC">
              <w:rPr>
                <w:rFonts w:ascii="Arial" w:hAnsi="Arial" w:cs="Arial"/>
                <w:b/>
                <w:bCs/>
                <w:sz w:val="20"/>
                <w:szCs w:val="20"/>
                <w:lang w:val="en-GB"/>
              </w:rPr>
              <w:t>f</w:t>
            </w:r>
            <w:r w:rsidRPr="003476AC">
              <w:rPr>
                <w:rFonts w:ascii="Arial" w:hAnsi="Arial" w:cs="Arial"/>
                <w:b/>
                <w:bCs/>
                <w:spacing w:val="-3"/>
                <w:sz w:val="20"/>
                <w:szCs w:val="20"/>
                <w:lang w:val="en-GB"/>
              </w:rPr>
              <w:t>o</w:t>
            </w:r>
            <w:r w:rsidRPr="003476AC">
              <w:rPr>
                <w:rFonts w:ascii="Arial" w:hAnsi="Arial" w:cs="Arial"/>
                <w:b/>
                <w:bCs/>
                <w:spacing w:val="1"/>
                <w:sz w:val="20"/>
                <w:szCs w:val="20"/>
                <w:lang w:val="en-GB"/>
              </w:rPr>
              <w:t>r</w:t>
            </w:r>
            <w:r w:rsidRPr="003476AC">
              <w:rPr>
                <w:rFonts w:ascii="Arial" w:hAnsi="Arial" w:cs="Arial"/>
                <w:b/>
                <w:bCs/>
                <w:sz w:val="20"/>
                <w:szCs w:val="20"/>
                <w:lang w:val="en-GB"/>
              </w:rPr>
              <w:t>m</w:t>
            </w:r>
            <w:r w:rsidRPr="003476AC">
              <w:rPr>
                <w:rFonts w:ascii="Arial" w:hAnsi="Arial" w:cs="Arial"/>
                <w:b/>
                <w:bCs/>
                <w:spacing w:val="-1"/>
                <w:sz w:val="20"/>
                <w:szCs w:val="20"/>
                <w:lang w:val="en-GB"/>
              </w:rPr>
              <w:t>a</w:t>
            </w:r>
            <w:r w:rsidRPr="003476AC">
              <w:rPr>
                <w:rFonts w:ascii="Arial" w:hAnsi="Arial" w:cs="Arial"/>
                <w:b/>
                <w:bCs/>
                <w:sz w:val="20"/>
                <w:szCs w:val="20"/>
                <w:lang w:val="en-GB"/>
              </w:rPr>
              <w:t>t</w:t>
            </w:r>
            <w:r w:rsidRPr="003476AC">
              <w:rPr>
                <w:rFonts w:ascii="Arial" w:hAnsi="Arial" w:cs="Arial"/>
                <w:b/>
                <w:bCs/>
                <w:spacing w:val="1"/>
                <w:sz w:val="20"/>
                <w:szCs w:val="20"/>
                <w:lang w:val="en-GB"/>
              </w:rPr>
              <w:t>i</w:t>
            </w:r>
            <w:r w:rsidRPr="003476AC">
              <w:rPr>
                <w:rFonts w:ascii="Arial" w:hAnsi="Arial" w:cs="Arial"/>
                <w:b/>
                <w:bCs/>
                <w:spacing w:val="-1"/>
                <w:sz w:val="20"/>
                <w:szCs w:val="20"/>
                <w:lang w:val="en-GB"/>
              </w:rPr>
              <w:t>o</w:t>
            </w:r>
            <w:r w:rsidRPr="003476AC">
              <w:rPr>
                <w:rFonts w:ascii="Arial" w:hAnsi="Arial" w:cs="Arial"/>
                <w:b/>
                <w:bCs/>
                <w:sz w:val="20"/>
                <w:szCs w:val="20"/>
                <w:lang w:val="en-GB"/>
              </w:rPr>
              <w:t>n</w:t>
            </w:r>
            <w:r w:rsidRPr="003476AC">
              <w:rPr>
                <w:rFonts w:ascii="Arial" w:hAnsi="Arial" w:cs="Arial"/>
                <w:b/>
                <w:bCs/>
                <w:spacing w:val="1"/>
                <w:sz w:val="20"/>
                <w:szCs w:val="20"/>
                <w:lang w:val="en-GB"/>
              </w:rPr>
              <w:t xml:space="preserve"> c</w:t>
            </w:r>
            <w:r w:rsidRPr="003476AC">
              <w:rPr>
                <w:rFonts w:ascii="Arial" w:hAnsi="Arial" w:cs="Arial"/>
                <w:b/>
                <w:bCs/>
                <w:spacing w:val="-1"/>
                <w:sz w:val="20"/>
                <w:szCs w:val="20"/>
                <w:lang w:val="en-GB"/>
              </w:rPr>
              <w:t>a</w:t>
            </w:r>
            <w:r w:rsidRPr="003476AC">
              <w:rPr>
                <w:rFonts w:ascii="Arial" w:hAnsi="Arial" w:cs="Arial"/>
                <w:b/>
                <w:bCs/>
                <w:sz w:val="20"/>
                <w:szCs w:val="20"/>
                <w:lang w:val="en-GB"/>
              </w:rPr>
              <w:t>n</w:t>
            </w:r>
            <w:r w:rsidRPr="003476AC">
              <w:rPr>
                <w:rFonts w:ascii="Arial" w:hAnsi="Arial" w:cs="Arial"/>
                <w:b/>
                <w:bCs/>
                <w:spacing w:val="4"/>
                <w:sz w:val="20"/>
                <w:szCs w:val="20"/>
                <w:lang w:val="en-GB"/>
              </w:rPr>
              <w:t xml:space="preserve"> </w:t>
            </w:r>
            <w:r w:rsidRPr="003476AC">
              <w:rPr>
                <w:rFonts w:ascii="Arial" w:hAnsi="Arial" w:cs="Arial"/>
                <w:b/>
                <w:bCs/>
                <w:spacing w:val="-1"/>
                <w:sz w:val="20"/>
                <w:szCs w:val="20"/>
                <w:lang w:val="en-GB"/>
              </w:rPr>
              <w:t>b</w:t>
            </w:r>
            <w:r w:rsidRPr="003476AC">
              <w:rPr>
                <w:rFonts w:ascii="Arial" w:hAnsi="Arial" w:cs="Arial"/>
                <w:b/>
                <w:bCs/>
                <w:sz w:val="20"/>
                <w:szCs w:val="20"/>
                <w:lang w:val="en-GB"/>
              </w:rPr>
              <w:t>e</w:t>
            </w:r>
            <w:r w:rsidRPr="003476AC">
              <w:rPr>
                <w:rFonts w:ascii="Arial" w:hAnsi="Arial" w:cs="Arial"/>
                <w:b/>
                <w:bCs/>
                <w:spacing w:val="2"/>
                <w:sz w:val="20"/>
                <w:szCs w:val="20"/>
                <w:lang w:val="en-GB"/>
              </w:rPr>
              <w:t xml:space="preserve"> </w:t>
            </w:r>
            <w:r w:rsidRPr="003476AC">
              <w:rPr>
                <w:rFonts w:ascii="Arial" w:hAnsi="Arial" w:cs="Arial"/>
                <w:b/>
                <w:bCs/>
                <w:sz w:val="20"/>
                <w:szCs w:val="20"/>
                <w:lang w:val="en-GB"/>
              </w:rPr>
              <w:t>f</w:t>
            </w:r>
            <w:r w:rsidRPr="003476AC">
              <w:rPr>
                <w:rFonts w:ascii="Arial" w:hAnsi="Arial" w:cs="Arial"/>
                <w:b/>
                <w:bCs/>
                <w:spacing w:val="-1"/>
                <w:sz w:val="20"/>
                <w:szCs w:val="20"/>
                <w:lang w:val="en-GB"/>
              </w:rPr>
              <w:t>oun</w:t>
            </w:r>
            <w:r w:rsidRPr="003476AC">
              <w:rPr>
                <w:rFonts w:ascii="Arial" w:hAnsi="Arial" w:cs="Arial"/>
                <w:b/>
                <w:bCs/>
                <w:sz w:val="20"/>
                <w:szCs w:val="20"/>
                <w:lang w:val="en-GB"/>
              </w:rPr>
              <w:t>d</w:t>
            </w:r>
            <w:r w:rsidRPr="003476AC">
              <w:rPr>
                <w:rFonts w:ascii="Arial" w:hAnsi="Arial" w:cs="Arial"/>
                <w:b/>
                <w:bCs/>
                <w:spacing w:val="4"/>
                <w:sz w:val="20"/>
                <w:szCs w:val="20"/>
                <w:lang w:val="en-GB"/>
              </w:rPr>
              <w:t xml:space="preserve"> </w:t>
            </w:r>
            <w:r w:rsidRPr="003476AC">
              <w:rPr>
                <w:rFonts w:ascii="Arial" w:hAnsi="Arial" w:cs="Arial"/>
                <w:b/>
                <w:bCs/>
                <w:spacing w:val="-1"/>
                <w:sz w:val="20"/>
                <w:szCs w:val="20"/>
                <w:lang w:val="en-GB"/>
              </w:rPr>
              <w:t>o</w:t>
            </w:r>
            <w:r w:rsidRPr="003476AC">
              <w:rPr>
                <w:rFonts w:ascii="Arial" w:hAnsi="Arial" w:cs="Arial"/>
                <w:b/>
                <w:bCs/>
                <w:sz w:val="20"/>
                <w:szCs w:val="20"/>
                <w:lang w:val="en-GB"/>
              </w:rPr>
              <w:t>n</w:t>
            </w:r>
            <w:r w:rsidRPr="003476AC">
              <w:rPr>
                <w:rFonts w:ascii="Arial" w:hAnsi="Arial" w:cs="Arial"/>
                <w:b/>
                <w:bCs/>
                <w:spacing w:val="4"/>
                <w:sz w:val="20"/>
                <w:szCs w:val="20"/>
                <w:lang w:val="en-GB"/>
              </w:rPr>
              <w:t xml:space="preserve"> </w:t>
            </w:r>
            <w:r w:rsidRPr="003476AC">
              <w:rPr>
                <w:rFonts w:ascii="Arial" w:hAnsi="Arial" w:cs="Arial"/>
                <w:b/>
                <w:bCs/>
                <w:spacing w:val="-2"/>
                <w:sz w:val="20"/>
                <w:szCs w:val="20"/>
                <w:lang w:val="en-GB"/>
              </w:rPr>
              <w:t>t</w:t>
            </w:r>
            <w:r w:rsidRPr="003476AC">
              <w:rPr>
                <w:rFonts w:ascii="Arial" w:hAnsi="Arial" w:cs="Arial"/>
                <w:b/>
                <w:bCs/>
                <w:spacing w:val="-1"/>
                <w:sz w:val="20"/>
                <w:szCs w:val="20"/>
                <w:lang w:val="en-GB"/>
              </w:rPr>
              <w:t>h</w:t>
            </w:r>
            <w:r w:rsidRPr="003476AC">
              <w:rPr>
                <w:rFonts w:ascii="Arial" w:hAnsi="Arial" w:cs="Arial"/>
                <w:b/>
                <w:bCs/>
                <w:sz w:val="20"/>
                <w:szCs w:val="20"/>
                <w:lang w:val="en-GB"/>
              </w:rPr>
              <w:t>e</w:t>
            </w:r>
            <w:r w:rsidRPr="003476AC">
              <w:rPr>
                <w:rFonts w:ascii="Arial" w:hAnsi="Arial" w:cs="Arial"/>
                <w:b/>
                <w:bCs/>
                <w:spacing w:val="4"/>
                <w:sz w:val="20"/>
                <w:szCs w:val="20"/>
                <w:lang w:val="en-GB"/>
              </w:rPr>
              <w:t xml:space="preserve"> </w:t>
            </w:r>
            <w:r w:rsidRPr="003476AC">
              <w:rPr>
                <w:rFonts w:ascii="Arial" w:hAnsi="Arial" w:cs="Arial"/>
                <w:b/>
                <w:bCs/>
                <w:spacing w:val="1"/>
                <w:sz w:val="20"/>
                <w:szCs w:val="20"/>
                <w:lang w:val="en-GB"/>
              </w:rPr>
              <w:t>w</w:t>
            </w:r>
            <w:r w:rsidRPr="003476AC">
              <w:rPr>
                <w:rFonts w:ascii="Arial" w:hAnsi="Arial" w:cs="Arial"/>
                <w:b/>
                <w:bCs/>
                <w:spacing w:val="-1"/>
                <w:sz w:val="20"/>
                <w:szCs w:val="20"/>
                <w:lang w:val="en-GB"/>
              </w:rPr>
              <w:t>eb</w:t>
            </w:r>
            <w:r w:rsidRPr="003476AC">
              <w:rPr>
                <w:rFonts w:ascii="Arial" w:hAnsi="Arial" w:cs="Arial"/>
                <w:b/>
                <w:bCs/>
                <w:spacing w:val="-2"/>
                <w:sz w:val="20"/>
                <w:szCs w:val="20"/>
                <w:lang w:val="en-GB"/>
              </w:rPr>
              <w:t>s</w:t>
            </w:r>
            <w:r w:rsidRPr="003476AC">
              <w:rPr>
                <w:rFonts w:ascii="Arial" w:hAnsi="Arial" w:cs="Arial"/>
                <w:b/>
                <w:bCs/>
                <w:spacing w:val="1"/>
                <w:sz w:val="20"/>
                <w:szCs w:val="20"/>
                <w:lang w:val="en-GB"/>
              </w:rPr>
              <w:t>i</w:t>
            </w:r>
            <w:r w:rsidRPr="003476AC">
              <w:rPr>
                <w:rFonts w:ascii="Arial" w:hAnsi="Arial" w:cs="Arial"/>
                <w:b/>
                <w:bCs/>
                <w:sz w:val="20"/>
                <w:szCs w:val="20"/>
                <w:lang w:val="en-GB"/>
              </w:rPr>
              <w:t>t</w:t>
            </w:r>
            <w:r w:rsidRPr="003476AC">
              <w:rPr>
                <w:rFonts w:ascii="Arial" w:hAnsi="Arial" w:cs="Arial"/>
                <w:b/>
                <w:bCs/>
                <w:spacing w:val="-1"/>
                <w:sz w:val="20"/>
                <w:szCs w:val="20"/>
                <w:lang w:val="en-GB"/>
              </w:rPr>
              <w:t>e</w:t>
            </w:r>
            <w:r w:rsidRPr="003476AC">
              <w:rPr>
                <w:rFonts w:ascii="Arial" w:hAnsi="Arial" w:cs="Arial"/>
                <w:b/>
                <w:bCs/>
                <w:sz w:val="20"/>
                <w:szCs w:val="20"/>
                <w:lang w:val="en-GB"/>
              </w:rPr>
              <w:t>:</w:t>
            </w:r>
            <w:r w:rsidRPr="003476AC">
              <w:rPr>
                <w:rFonts w:ascii="Arial" w:hAnsi="Arial" w:cs="Arial"/>
                <w:b/>
                <w:bCs/>
                <w:spacing w:val="2"/>
                <w:sz w:val="20"/>
                <w:szCs w:val="20"/>
                <w:lang w:val="en-GB"/>
              </w:rPr>
              <w:t xml:space="preserve"> </w:t>
            </w:r>
          </w:p>
          <w:p w14:paraId="09302C23" w14:textId="77777777" w:rsidR="00303F74" w:rsidRPr="003476AC" w:rsidRDefault="00303F74" w:rsidP="00303F74">
            <w:pPr>
              <w:spacing w:before="0" w:after="0"/>
              <w:ind w:left="340"/>
              <w:jc w:val="left"/>
              <w:rPr>
                <w:rFonts w:ascii="Arial" w:hAnsi="Arial" w:cs="Arial"/>
                <w:b/>
                <w:bCs/>
                <w:i/>
                <w:iCs/>
                <w:sz w:val="20"/>
                <w:szCs w:val="20"/>
                <w:lang w:val="en-GB"/>
              </w:rPr>
            </w:pPr>
          </w:p>
        </w:tc>
      </w:tr>
      <w:tr w:rsidR="00303F74" w:rsidRPr="003C1B8B" w14:paraId="644CFA13" w14:textId="77777777" w:rsidTr="003476AC">
        <w:trPr>
          <w:trHeight w:val="743"/>
        </w:trPr>
        <w:tc>
          <w:tcPr>
            <w:tcW w:w="1116" w:type="pct"/>
            <w:vMerge/>
          </w:tcPr>
          <w:p w14:paraId="36FE9206" w14:textId="77777777"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5F34C2F9" w14:textId="77777777" w:rsidR="00303F74" w:rsidRPr="003C1B8B" w:rsidRDefault="00303F74" w:rsidP="00303F74">
            <w:pPr>
              <w:spacing w:before="0" w:after="0"/>
              <w:jc w:val="left"/>
              <w:rPr>
                <w:rFonts w:ascii="Arial" w:hAnsi="Arial" w:cs="Arial"/>
                <w:color w:val="0070C0"/>
                <w:sz w:val="20"/>
                <w:szCs w:val="20"/>
                <w:lang w:val="en-GB"/>
              </w:rPr>
            </w:pPr>
          </w:p>
        </w:tc>
        <w:tc>
          <w:tcPr>
            <w:tcW w:w="3760" w:type="pct"/>
            <w:gridSpan w:val="6"/>
          </w:tcPr>
          <w:p w14:paraId="0628BFA6" w14:textId="673AD4B4" w:rsidR="00303F74" w:rsidRPr="003476AC" w:rsidRDefault="00F12B41" w:rsidP="00303F74">
            <w:pPr>
              <w:spacing w:before="0" w:after="0"/>
              <w:jc w:val="left"/>
              <w:rPr>
                <w:rFonts w:ascii="Arial" w:hAnsi="Arial" w:cs="Arial"/>
                <w:color w:val="0070C0"/>
                <w:sz w:val="20"/>
                <w:szCs w:val="20"/>
                <w:lang w:val="en-GB"/>
              </w:rPr>
            </w:pPr>
            <w:hyperlink r:id="rId38" w:history="1">
              <w:r w:rsidR="00303F74" w:rsidRPr="003476AC">
                <w:rPr>
                  <w:rFonts w:ascii="Arial" w:hAnsi="Arial" w:cs="Arial"/>
                  <w:color w:val="0000FF"/>
                  <w:sz w:val="20"/>
                  <w:szCs w:val="20"/>
                  <w:u w:val="single"/>
                  <w:lang w:val="en-GB"/>
                </w:rPr>
                <w:t>Davy Funds Plc | IQ-EQ (iqeq.com)</w:t>
              </w:r>
            </w:hyperlink>
          </w:p>
        </w:tc>
      </w:tr>
      <w:tr w:rsidR="00303F74" w:rsidRPr="003C1B8B" w14:paraId="1B1C2417" w14:textId="77777777" w:rsidTr="00303F74">
        <w:tc>
          <w:tcPr>
            <w:tcW w:w="1116" w:type="pct"/>
          </w:tcPr>
          <w:p w14:paraId="7822A2A2" w14:textId="5E1BF4CA" w:rsidR="00303F74" w:rsidRPr="003C1B8B" w:rsidRDefault="00303F74" w:rsidP="00303F74">
            <w:pPr>
              <w:spacing w:before="0" w:after="0"/>
              <w:jc w:val="left"/>
              <w:rPr>
                <w:rFonts w:ascii="Arial" w:hAnsi="Arial" w:cs="Arial"/>
                <w:sz w:val="20"/>
                <w:szCs w:val="20"/>
                <w:lang w:val="en-GB"/>
              </w:rPr>
            </w:pPr>
          </w:p>
        </w:tc>
        <w:tc>
          <w:tcPr>
            <w:tcW w:w="124" w:type="pct"/>
            <w:shd w:val="clear" w:color="auto" w:fill="FFFFFF" w:themeFill="background1"/>
          </w:tcPr>
          <w:p w14:paraId="63C62B18" w14:textId="77777777" w:rsidR="00303F74" w:rsidRPr="003C1B8B" w:rsidRDefault="00303F74" w:rsidP="00303F74">
            <w:pPr>
              <w:spacing w:before="0" w:after="0"/>
              <w:ind w:left="340"/>
              <w:jc w:val="left"/>
              <w:rPr>
                <w:rFonts w:ascii="Calibri" w:hAnsi="Calibri"/>
                <w:bCs/>
                <w:i/>
                <w:noProof/>
                <w:sz w:val="22"/>
                <w:szCs w:val="22"/>
                <w:lang w:val="en-GB"/>
              </w:rPr>
            </w:pPr>
          </w:p>
        </w:tc>
        <w:tc>
          <w:tcPr>
            <w:tcW w:w="3760" w:type="pct"/>
            <w:gridSpan w:val="6"/>
          </w:tcPr>
          <w:p w14:paraId="44701681" w14:textId="77777777" w:rsidR="00303F74" w:rsidRPr="003C1B8B" w:rsidRDefault="00303F74" w:rsidP="00303F74">
            <w:pPr>
              <w:spacing w:before="0" w:after="0"/>
              <w:ind w:left="340"/>
              <w:jc w:val="left"/>
              <w:rPr>
                <w:rFonts w:ascii="Arial" w:hAnsi="Arial" w:cs="Arial"/>
                <w:bCs/>
                <w:i/>
                <w:iCs/>
                <w:sz w:val="20"/>
                <w:szCs w:val="20"/>
                <w:lang w:val="en-GB"/>
              </w:rPr>
            </w:pPr>
          </w:p>
        </w:tc>
      </w:tr>
    </w:tbl>
    <w:p w14:paraId="542F5988" w14:textId="77777777" w:rsidR="003C1B8B" w:rsidRPr="003C1B8B" w:rsidRDefault="003C1B8B" w:rsidP="003C1B8B">
      <w:pPr>
        <w:spacing w:before="0" w:after="160" w:line="259" w:lineRule="auto"/>
        <w:jc w:val="left"/>
        <w:rPr>
          <w:rFonts w:asciiTheme="minorHAnsi" w:eastAsiaTheme="minorHAnsi" w:hAnsiTheme="minorHAnsi" w:cstheme="minorBidi"/>
          <w:sz w:val="22"/>
          <w:szCs w:val="22"/>
          <w:lang w:val="en-GB"/>
        </w:rPr>
      </w:pPr>
    </w:p>
    <w:p w14:paraId="7FECF332" w14:textId="403AC13F" w:rsidR="005B4121" w:rsidRDefault="005B4121" w:rsidP="0077068C">
      <w:pPr>
        <w:rPr>
          <w:sz w:val="16"/>
        </w:rPr>
      </w:pPr>
    </w:p>
    <w:p w14:paraId="595E5325" w14:textId="77777777" w:rsidR="00C67FEA" w:rsidRDefault="00C67FEA" w:rsidP="0077068C">
      <w:pPr>
        <w:rPr>
          <w:sz w:val="16"/>
        </w:rPr>
      </w:pPr>
    </w:p>
    <w:p w14:paraId="677673B0" w14:textId="0BFDC84E" w:rsidR="00C67FEA" w:rsidRDefault="00C67FEA" w:rsidP="0077068C">
      <w:pPr>
        <w:rPr>
          <w:sz w:val="16"/>
        </w:rPr>
      </w:pPr>
      <w:r>
        <w:rPr>
          <w:sz w:val="16"/>
        </w:rPr>
        <w:fldChar w:fldCharType="begin"/>
      </w:r>
      <w:r>
        <w:rPr>
          <w:sz w:val="16"/>
        </w:rPr>
        <w:instrText xml:space="preserve"> DOCPROPERTY "DMSFooter"  \* MERGEFORMAT </w:instrText>
      </w:r>
      <w:r>
        <w:rPr>
          <w:sz w:val="16"/>
        </w:rPr>
        <w:fldChar w:fldCharType="separate"/>
      </w:r>
      <w:r w:rsidR="00820F31">
        <w:rPr>
          <w:sz w:val="16"/>
        </w:rPr>
        <w:t>WF-72918417-v3</w:t>
      </w:r>
      <w:r>
        <w:rPr>
          <w:sz w:val="16"/>
        </w:rPr>
        <w:fldChar w:fldCharType="end"/>
      </w:r>
    </w:p>
    <w:p w14:paraId="730CBCBC" w14:textId="119204FE" w:rsidR="002C629A" w:rsidRPr="006352D8" w:rsidRDefault="002C629A" w:rsidP="0077068C">
      <w:pPr>
        <w:rPr>
          <w:sz w:val="16"/>
        </w:rPr>
      </w:pPr>
    </w:p>
    <w:sectPr w:rsidR="002C629A" w:rsidRPr="006352D8" w:rsidSect="00923A19">
      <w:headerReference w:type="even" r:id="rId39"/>
      <w:headerReference w:type="default" r:id="rId40"/>
      <w:footerReference w:type="even" r:id="rId41"/>
      <w:footerReference w:type="default" r:id="rId42"/>
      <w:headerReference w:type="first" r:id="rId43"/>
      <w:footerReference w:type="first" r:id="rId44"/>
      <w:pgSz w:w="11907" w:h="1683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41C27" w14:textId="77777777" w:rsidR="0092377C" w:rsidRDefault="0092377C" w:rsidP="00F61DFD">
      <w:pPr>
        <w:spacing w:after="0"/>
      </w:pPr>
      <w:r>
        <w:separator/>
      </w:r>
    </w:p>
  </w:endnote>
  <w:endnote w:type="continuationSeparator" w:id="0">
    <w:p w14:paraId="783027C6" w14:textId="77777777" w:rsidR="0092377C" w:rsidRDefault="0092377C" w:rsidP="00F61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D7DEC" w14:textId="4EECC0AA" w:rsidR="00305B29" w:rsidRDefault="00CD430C">
    <w:pPr>
      <w:pStyle w:val="Footer"/>
    </w:pPr>
    <w:fldSimple w:instr="DOCPROPERTY DocXDocID DMS=InterwovenIManage Format=&lt;&lt;ATHR&gt;&gt;/&lt;&lt;CLT&gt;&gt;-&lt;&lt;MTR&gt;&gt;/&lt;&lt;NUM&gt;&gt;v&lt;&lt;VER&gt;&gt; \* MERGEFORMAT">
      <w:r w:rsidR="00F12B41">
        <w:t>CVV/685914-000003/21676918v5</w:t>
      </w:r>
    </w:fldSimple>
  </w:p>
  <w:p w14:paraId="602636E7" w14:textId="2860F923" w:rsidR="00C62DCE" w:rsidRDefault="00F12B41" w:rsidP="00C62DCE">
    <w:pPr>
      <w:pStyle w:val="Footer"/>
      <w:jc w:val="right"/>
    </w:pPr>
    <w:r>
      <w:fldChar w:fldCharType="begin"/>
    </w:r>
    <w:r>
      <w:instrText xml:space="preserve"> DOCPROPERTY "DMSFooter"  \* MERGEFORMAT </w:instrText>
    </w:r>
    <w:r>
      <w:fldChar w:fldCharType="separate"/>
    </w:r>
    <w:r>
      <w:t>WF-72918417-v3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863F1" w14:textId="61DE032A" w:rsidR="00305B29" w:rsidRDefault="00305B29" w:rsidP="00D80FFA">
    <w:pPr>
      <w:pStyle w:val="Footer"/>
      <w:tabs>
        <w:tab w:val="right" w:pos="9792"/>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923A19">
      <w:rPr>
        <w:rStyle w:val="PageNumber"/>
        <w:noProof/>
      </w:rPr>
      <w:t>2</w:t>
    </w:r>
    <w:r>
      <w:rPr>
        <w:rStyle w:val="PageNumber"/>
      </w:rPr>
      <w:fldChar w:fldCharType="end"/>
    </w:r>
  </w:p>
  <w:p w14:paraId="181860F0" w14:textId="08119A38" w:rsidR="00C62DCE" w:rsidRDefault="00C62DCE" w:rsidP="00C62DCE">
    <w:pPr>
      <w:pStyle w:val="Footer"/>
      <w:jc w:val="right"/>
      <w:rPr>
        <w:rStyle w:val="PageNumber"/>
      </w:rPr>
    </w:pPr>
    <w:r>
      <w:rPr>
        <w:rStyle w:val="PageNumber"/>
      </w:rPr>
      <w:fldChar w:fldCharType="begin"/>
    </w:r>
    <w:r>
      <w:rPr>
        <w:rStyle w:val="PageNumber"/>
      </w:rPr>
      <w:instrText xml:space="preserve"> DOCPROPERTY "DMSFooter"  \* MERGEFORMAT </w:instrText>
    </w:r>
    <w:r>
      <w:rPr>
        <w:rStyle w:val="PageNumber"/>
      </w:rPr>
      <w:fldChar w:fldCharType="separate"/>
    </w:r>
    <w:r w:rsidR="00F12B41" w:rsidRPr="00F12B41">
      <w:rPr>
        <w:rStyle w:val="PageNumber"/>
        <w:sz w:val="16"/>
      </w:rPr>
      <w:t>WF-72918417-v3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BE48A" w14:textId="2814583B" w:rsidR="00E732E7" w:rsidRDefault="00E732E7">
    <w:pPr>
      <w:pStyle w:val="Footer"/>
    </w:pPr>
  </w:p>
  <w:p w14:paraId="28F0FE96" w14:textId="6332775C" w:rsidR="00C62DCE" w:rsidRDefault="00F12B41" w:rsidP="00C62DCE">
    <w:pPr>
      <w:pStyle w:val="Footer"/>
      <w:jc w:val="right"/>
    </w:pPr>
    <w:r>
      <w:fldChar w:fldCharType="begin"/>
    </w:r>
    <w:r>
      <w:instrText xml:space="preserve"> DOCPROPERTY "DMSFooter"  \* MERGEFORMAT </w:instrText>
    </w:r>
    <w:r>
      <w:fldChar w:fldCharType="separate"/>
    </w:r>
    <w:r>
      <w:t>WF-72918417-v3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9D9EB" w14:textId="77777777" w:rsidR="0092377C" w:rsidRDefault="0092377C" w:rsidP="00F61DFD">
      <w:pPr>
        <w:spacing w:after="0"/>
      </w:pPr>
      <w:r>
        <w:separator/>
      </w:r>
    </w:p>
  </w:footnote>
  <w:footnote w:type="continuationSeparator" w:id="0">
    <w:p w14:paraId="2951ED85" w14:textId="77777777" w:rsidR="0092377C" w:rsidRDefault="0092377C" w:rsidP="00F61DFD">
      <w:pPr>
        <w:spacing w:after="0"/>
      </w:pPr>
      <w:r>
        <w:continuationSeparator/>
      </w:r>
    </w:p>
  </w:footnote>
  <w:footnote w:id="1">
    <w:p w14:paraId="246E5CC2" w14:textId="77777777" w:rsidR="00AE1EE8" w:rsidRPr="00572AC3" w:rsidRDefault="00AE1EE8" w:rsidP="00AE1EE8">
      <w:pPr>
        <w:pStyle w:val="FootnoteText"/>
        <w:rPr>
          <w:rFonts w:cs="Arial"/>
          <w:szCs w:val="16"/>
          <w:lang w:val="en-US"/>
        </w:rPr>
      </w:pPr>
      <w:r>
        <w:rPr>
          <w:rStyle w:val="FootnoteReference"/>
        </w:rPr>
        <w:footnoteRef/>
      </w:r>
      <w:r>
        <w:t xml:space="preserve"> </w:t>
      </w:r>
      <w:r w:rsidRPr="00572AC3">
        <w:rPr>
          <w:rFonts w:cs="Arial"/>
          <w:szCs w:val="16"/>
        </w:rPr>
        <w:t>Fossil gas and/or nuclear related activities will only comply with the EU Taxonomy where they contribute to limiting climate change (“climate change mitigation”) and do not significantly harm any EU Taxonomy objective - see explanatory note in the left hand margin. The full criteria for fossil gas and nuclear energy economic activities that comply with the EU Taxonomy are laid down in Commission Delegated Regulation (EU) 2022/1214.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5E35A" w14:textId="77777777" w:rsidR="00820F31" w:rsidRDefault="00820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4BB83" w14:textId="77777777" w:rsidR="00820F31" w:rsidRDefault="00820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D44B7" w14:textId="77777777" w:rsidR="00820F31" w:rsidRDefault="00820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2" w15:restartNumberingAfterBreak="0">
    <w:nsid w:val="10652CAF"/>
    <w:multiLevelType w:val="hybridMultilevel"/>
    <w:tmpl w:val="E3E43E44"/>
    <w:lvl w:ilvl="0" w:tplc="68669E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06D08"/>
    <w:multiLevelType w:val="hybridMultilevel"/>
    <w:tmpl w:val="53CC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2F7A01"/>
    <w:multiLevelType w:val="hybridMultilevel"/>
    <w:tmpl w:val="61461A9E"/>
    <w:lvl w:ilvl="0" w:tplc="B0CAA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CC3841"/>
    <w:multiLevelType w:val="multilevel"/>
    <w:tmpl w:val="FA80A53A"/>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38018B6"/>
    <w:multiLevelType w:val="hybridMultilevel"/>
    <w:tmpl w:val="D4C2A4BE"/>
    <w:lvl w:ilvl="0" w:tplc="0B8EB8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62E60"/>
    <w:multiLevelType w:val="hybridMultilevel"/>
    <w:tmpl w:val="981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63FE9"/>
    <w:multiLevelType w:val="hybridMultilevel"/>
    <w:tmpl w:val="D95420DA"/>
    <w:lvl w:ilvl="0" w:tplc="D5C2160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62E33AF"/>
    <w:multiLevelType w:val="multilevel"/>
    <w:tmpl w:val="D8108244"/>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DB04444"/>
    <w:multiLevelType w:val="hybridMultilevel"/>
    <w:tmpl w:val="D9DEA99C"/>
    <w:lvl w:ilvl="0" w:tplc="08090001">
      <w:start w:val="1"/>
      <w:numFmt w:val="bullet"/>
      <w:lvlText w:val=""/>
      <w:lvlJc w:val="left"/>
      <w:pPr>
        <w:ind w:left="720" w:hanging="360"/>
      </w:pPr>
      <w:rPr>
        <w:rFonts w:ascii="Symbol" w:hAnsi="Symbol" w:hint="default"/>
      </w:rPr>
    </w:lvl>
    <w:lvl w:ilvl="1" w:tplc="34484006">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E3784"/>
    <w:multiLevelType w:val="hybridMultilevel"/>
    <w:tmpl w:val="008EAD40"/>
    <w:lvl w:ilvl="0" w:tplc="3D1CCB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15" w15:restartNumberingAfterBreak="0">
    <w:nsid w:val="4A6727F2"/>
    <w:multiLevelType w:val="multilevel"/>
    <w:tmpl w:val="6186ED14"/>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16" w15:restartNumberingAfterBreak="0">
    <w:nsid w:val="4EE33206"/>
    <w:multiLevelType w:val="multilevel"/>
    <w:tmpl w:val="759097CC"/>
    <w:name w:val="Heading"/>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B8430B9"/>
    <w:multiLevelType w:val="multilevel"/>
    <w:tmpl w:val="2C8408B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3131" w:hanging="720"/>
      </w:pPr>
      <w:rPr>
        <w:rFonts w:ascii="Arial" w:hAnsi="Arial" w:cs="Arial" w:hint="default"/>
        <w:b w:val="0"/>
        <w:i w:val="0"/>
        <w:caps w:val="0"/>
        <w:strike w:val="0"/>
        <w:dstrike w:val="0"/>
        <w:vanish w:val="0"/>
        <w:color w:val="auto"/>
        <w:sz w:val="21"/>
        <w:u w:val="none"/>
        <w:effect w:val="none"/>
        <w:vertAlign w:val="baseline"/>
      </w:rPr>
    </w:lvl>
    <w:lvl w:ilvl="3">
      <w:start w:val="1"/>
      <w:numFmt w:val="decimal"/>
      <w:pStyle w:val="Agreement4"/>
      <w:lvlText w:val="%4)"/>
      <w:lvlJc w:val="left"/>
      <w:pPr>
        <w:ind w:left="2160" w:hanging="720"/>
      </w:pPr>
      <w:rPr>
        <w:rFonts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8" w15:restartNumberingAfterBreak="0">
    <w:nsid w:val="72D5354F"/>
    <w:multiLevelType w:val="hybridMultilevel"/>
    <w:tmpl w:val="8ED4EDC8"/>
    <w:lvl w:ilvl="0" w:tplc="3D1CCB28">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9" w15:restartNumberingAfterBreak="0">
    <w:nsid w:val="752B37AC"/>
    <w:multiLevelType w:val="multilevel"/>
    <w:tmpl w:val="4EC2CF4A"/>
    <w:name w:val="ssRestartNumber"/>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o"/>
      <w:lvlJc w:val="left"/>
      <w:pPr>
        <w:tabs>
          <w:tab w:val="num" w:pos="1985"/>
        </w:tabs>
        <w:ind w:left="1985" w:hanging="567"/>
      </w:pPr>
      <w:rPr>
        <w:rFonts w:ascii="Courier New" w:hAnsi="Courier New" w:hint="default"/>
      </w:rPr>
    </w:lvl>
    <w:lvl w:ilvl="5">
      <w:start w:val="1"/>
      <w:numFmt w:val="none"/>
      <w:lvlText w:val="-"/>
      <w:lvlJc w:val="left"/>
      <w:pPr>
        <w:tabs>
          <w:tab w:val="num" w:pos="2552"/>
        </w:tabs>
        <w:ind w:left="2552" w:hanging="567"/>
      </w:pPr>
      <w:rPr>
        <w:rFonts w:hint="default"/>
      </w:rPr>
    </w:lvl>
    <w:lvl w:ilvl="6">
      <w:start w:val="1"/>
      <w:numFmt w:val="none"/>
      <w:lvlText w:val="-"/>
      <w:lvlJc w:val="left"/>
      <w:pPr>
        <w:tabs>
          <w:tab w:val="num" w:pos="3119"/>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21"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85633709">
    <w:abstractNumId w:val="6"/>
  </w:num>
  <w:num w:numId="2" w16cid:durableId="850339001">
    <w:abstractNumId w:val="10"/>
  </w:num>
  <w:num w:numId="3" w16cid:durableId="1690372922">
    <w:abstractNumId w:val="21"/>
  </w:num>
  <w:num w:numId="4" w16cid:durableId="664095841">
    <w:abstractNumId w:val="0"/>
  </w:num>
  <w:num w:numId="5" w16cid:durableId="1803579098">
    <w:abstractNumId w:val="4"/>
  </w:num>
  <w:num w:numId="6" w16cid:durableId="416906323">
    <w:abstractNumId w:val="11"/>
  </w:num>
  <w:num w:numId="7" w16cid:durableId="427123640">
    <w:abstractNumId w:val="17"/>
  </w:num>
  <w:num w:numId="8" w16cid:durableId="1477066576">
    <w:abstractNumId w:val="1"/>
  </w:num>
  <w:num w:numId="9" w16cid:durableId="1311246307">
    <w:abstractNumId w:val="14"/>
  </w:num>
  <w:num w:numId="10" w16cid:durableId="662271411">
    <w:abstractNumId w:val="20"/>
  </w:num>
  <w:num w:numId="11" w16cid:durableId="256527024">
    <w:abstractNumId w:val="15"/>
  </w:num>
  <w:num w:numId="12" w16cid:durableId="1725173492">
    <w:abstractNumId w:val="19"/>
  </w:num>
  <w:num w:numId="13" w16cid:durableId="1769690427">
    <w:abstractNumId w:val="8"/>
  </w:num>
  <w:num w:numId="14" w16cid:durableId="10809832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2356113">
    <w:abstractNumId w:val="13"/>
  </w:num>
  <w:num w:numId="16" w16cid:durableId="1488663471">
    <w:abstractNumId w:val="18"/>
  </w:num>
  <w:num w:numId="17" w16cid:durableId="2080402680">
    <w:abstractNumId w:val="9"/>
  </w:num>
  <w:num w:numId="18" w16cid:durableId="828908635">
    <w:abstractNumId w:val="3"/>
  </w:num>
  <w:num w:numId="19" w16cid:durableId="814840154">
    <w:abstractNumId w:val="12"/>
  </w:num>
  <w:num w:numId="20" w16cid:durableId="392513002">
    <w:abstractNumId w:val="5"/>
  </w:num>
  <w:num w:numId="21" w16cid:durableId="155851459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6B2F29"/>
    <w:rsid w:val="00000580"/>
    <w:rsid w:val="000011D8"/>
    <w:rsid w:val="000015F5"/>
    <w:rsid w:val="000016E5"/>
    <w:rsid w:val="00002A65"/>
    <w:rsid w:val="00003488"/>
    <w:rsid w:val="00005BE6"/>
    <w:rsid w:val="000064FD"/>
    <w:rsid w:val="00006CCB"/>
    <w:rsid w:val="00010969"/>
    <w:rsid w:val="00010AE8"/>
    <w:rsid w:val="00010BE9"/>
    <w:rsid w:val="00010F40"/>
    <w:rsid w:val="0001100E"/>
    <w:rsid w:val="00011169"/>
    <w:rsid w:val="000119FB"/>
    <w:rsid w:val="00012495"/>
    <w:rsid w:val="000125F2"/>
    <w:rsid w:val="00012EDC"/>
    <w:rsid w:val="00014DD6"/>
    <w:rsid w:val="00016677"/>
    <w:rsid w:val="0001673D"/>
    <w:rsid w:val="00016DF6"/>
    <w:rsid w:val="00016FA8"/>
    <w:rsid w:val="000201FF"/>
    <w:rsid w:val="000216EB"/>
    <w:rsid w:val="000225BD"/>
    <w:rsid w:val="0002343F"/>
    <w:rsid w:val="00023FB8"/>
    <w:rsid w:val="0002474C"/>
    <w:rsid w:val="00026970"/>
    <w:rsid w:val="0002772E"/>
    <w:rsid w:val="00030E42"/>
    <w:rsid w:val="000317D0"/>
    <w:rsid w:val="000319D8"/>
    <w:rsid w:val="00031A20"/>
    <w:rsid w:val="00032B31"/>
    <w:rsid w:val="00032EDA"/>
    <w:rsid w:val="0003401E"/>
    <w:rsid w:val="00034D51"/>
    <w:rsid w:val="00036550"/>
    <w:rsid w:val="000365D9"/>
    <w:rsid w:val="00036863"/>
    <w:rsid w:val="00036DE7"/>
    <w:rsid w:val="000377AA"/>
    <w:rsid w:val="00040433"/>
    <w:rsid w:val="00040773"/>
    <w:rsid w:val="0004287D"/>
    <w:rsid w:val="00042957"/>
    <w:rsid w:val="000436D9"/>
    <w:rsid w:val="00045F5F"/>
    <w:rsid w:val="0004657A"/>
    <w:rsid w:val="0005029E"/>
    <w:rsid w:val="00051F27"/>
    <w:rsid w:val="00052A75"/>
    <w:rsid w:val="00052DE8"/>
    <w:rsid w:val="000534A5"/>
    <w:rsid w:val="00054AC0"/>
    <w:rsid w:val="00056C30"/>
    <w:rsid w:val="0005710F"/>
    <w:rsid w:val="00060B09"/>
    <w:rsid w:val="0006162F"/>
    <w:rsid w:val="00061C64"/>
    <w:rsid w:val="0006200D"/>
    <w:rsid w:val="000639EC"/>
    <w:rsid w:val="00063C26"/>
    <w:rsid w:val="0006430F"/>
    <w:rsid w:val="00064C5E"/>
    <w:rsid w:val="000677ED"/>
    <w:rsid w:val="000679F8"/>
    <w:rsid w:val="000713B7"/>
    <w:rsid w:val="00072080"/>
    <w:rsid w:val="0007222F"/>
    <w:rsid w:val="00072CF9"/>
    <w:rsid w:val="00072EA0"/>
    <w:rsid w:val="00073667"/>
    <w:rsid w:val="000743C7"/>
    <w:rsid w:val="00076737"/>
    <w:rsid w:val="00076CAA"/>
    <w:rsid w:val="00081232"/>
    <w:rsid w:val="00081EEF"/>
    <w:rsid w:val="00082E38"/>
    <w:rsid w:val="00082F50"/>
    <w:rsid w:val="000847D2"/>
    <w:rsid w:val="000858E3"/>
    <w:rsid w:val="000862FA"/>
    <w:rsid w:val="00087CD1"/>
    <w:rsid w:val="00090176"/>
    <w:rsid w:val="00090589"/>
    <w:rsid w:val="00093584"/>
    <w:rsid w:val="0009600E"/>
    <w:rsid w:val="00096E42"/>
    <w:rsid w:val="000A0273"/>
    <w:rsid w:val="000A228F"/>
    <w:rsid w:val="000A416F"/>
    <w:rsid w:val="000A4288"/>
    <w:rsid w:val="000A590F"/>
    <w:rsid w:val="000A662B"/>
    <w:rsid w:val="000A7104"/>
    <w:rsid w:val="000A71AA"/>
    <w:rsid w:val="000A71DF"/>
    <w:rsid w:val="000A7C70"/>
    <w:rsid w:val="000B0072"/>
    <w:rsid w:val="000B238D"/>
    <w:rsid w:val="000B25C1"/>
    <w:rsid w:val="000B2911"/>
    <w:rsid w:val="000B2B15"/>
    <w:rsid w:val="000B37AB"/>
    <w:rsid w:val="000B5373"/>
    <w:rsid w:val="000B6727"/>
    <w:rsid w:val="000C0AFB"/>
    <w:rsid w:val="000C1D54"/>
    <w:rsid w:val="000C4626"/>
    <w:rsid w:val="000C53A4"/>
    <w:rsid w:val="000C5F80"/>
    <w:rsid w:val="000C7486"/>
    <w:rsid w:val="000D131E"/>
    <w:rsid w:val="000D53F0"/>
    <w:rsid w:val="000D5902"/>
    <w:rsid w:val="000D5AB1"/>
    <w:rsid w:val="000D5E87"/>
    <w:rsid w:val="000D78AD"/>
    <w:rsid w:val="000E02F9"/>
    <w:rsid w:val="000E0685"/>
    <w:rsid w:val="000E10E0"/>
    <w:rsid w:val="000E1808"/>
    <w:rsid w:val="000E1A33"/>
    <w:rsid w:val="000E1AC9"/>
    <w:rsid w:val="000E2B9D"/>
    <w:rsid w:val="000E2E8E"/>
    <w:rsid w:val="000E38E3"/>
    <w:rsid w:val="000E3FE5"/>
    <w:rsid w:val="000E4C13"/>
    <w:rsid w:val="000E508E"/>
    <w:rsid w:val="000E5A24"/>
    <w:rsid w:val="000E5F87"/>
    <w:rsid w:val="000E7563"/>
    <w:rsid w:val="000F0470"/>
    <w:rsid w:val="000F06CA"/>
    <w:rsid w:val="000F174B"/>
    <w:rsid w:val="000F1788"/>
    <w:rsid w:val="000F1A7A"/>
    <w:rsid w:val="000F4F35"/>
    <w:rsid w:val="000F50C2"/>
    <w:rsid w:val="000F50E5"/>
    <w:rsid w:val="000F588A"/>
    <w:rsid w:val="000F6435"/>
    <w:rsid w:val="000F717F"/>
    <w:rsid w:val="0010041F"/>
    <w:rsid w:val="00101928"/>
    <w:rsid w:val="00101D22"/>
    <w:rsid w:val="0010249F"/>
    <w:rsid w:val="00105175"/>
    <w:rsid w:val="001052DF"/>
    <w:rsid w:val="001058D5"/>
    <w:rsid w:val="00106141"/>
    <w:rsid w:val="0010684F"/>
    <w:rsid w:val="001070D7"/>
    <w:rsid w:val="001102B0"/>
    <w:rsid w:val="00113968"/>
    <w:rsid w:val="00113EFB"/>
    <w:rsid w:val="00114C04"/>
    <w:rsid w:val="001161AF"/>
    <w:rsid w:val="00117BA4"/>
    <w:rsid w:val="001249E5"/>
    <w:rsid w:val="00124BC3"/>
    <w:rsid w:val="00126B51"/>
    <w:rsid w:val="001312A0"/>
    <w:rsid w:val="00132DC9"/>
    <w:rsid w:val="00132E64"/>
    <w:rsid w:val="00133E86"/>
    <w:rsid w:val="00134D74"/>
    <w:rsid w:val="00137265"/>
    <w:rsid w:val="001403CD"/>
    <w:rsid w:val="0014286E"/>
    <w:rsid w:val="001439E3"/>
    <w:rsid w:val="00144C36"/>
    <w:rsid w:val="00145BB0"/>
    <w:rsid w:val="00146DD7"/>
    <w:rsid w:val="00150AF4"/>
    <w:rsid w:val="001528F3"/>
    <w:rsid w:val="00152F76"/>
    <w:rsid w:val="001532E6"/>
    <w:rsid w:val="00154342"/>
    <w:rsid w:val="001560F8"/>
    <w:rsid w:val="00157647"/>
    <w:rsid w:val="001634C8"/>
    <w:rsid w:val="001635C3"/>
    <w:rsid w:val="0016504B"/>
    <w:rsid w:val="001651D5"/>
    <w:rsid w:val="00167990"/>
    <w:rsid w:val="00170B6F"/>
    <w:rsid w:val="001711B3"/>
    <w:rsid w:val="0017166C"/>
    <w:rsid w:val="00173173"/>
    <w:rsid w:val="00173681"/>
    <w:rsid w:val="00173B23"/>
    <w:rsid w:val="001741D9"/>
    <w:rsid w:val="00177DC6"/>
    <w:rsid w:val="001819A6"/>
    <w:rsid w:val="00183939"/>
    <w:rsid w:val="00185447"/>
    <w:rsid w:val="0018572D"/>
    <w:rsid w:val="00187DA2"/>
    <w:rsid w:val="001908FB"/>
    <w:rsid w:val="00192EE8"/>
    <w:rsid w:val="001935BF"/>
    <w:rsid w:val="00193A71"/>
    <w:rsid w:val="00193D52"/>
    <w:rsid w:val="00194295"/>
    <w:rsid w:val="00195754"/>
    <w:rsid w:val="001966A5"/>
    <w:rsid w:val="00196989"/>
    <w:rsid w:val="00196C05"/>
    <w:rsid w:val="00196C30"/>
    <w:rsid w:val="00196D5C"/>
    <w:rsid w:val="00197245"/>
    <w:rsid w:val="001A0115"/>
    <w:rsid w:val="001A11DB"/>
    <w:rsid w:val="001A1378"/>
    <w:rsid w:val="001A1C1C"/>
    <w:rsid w:val="001A1E80"/>
    <w:rsid w:val="001A40E8"/>
    <w:rsid w:val="001A47A6"/>
    <w:rsid w:val="001A5FE8"/>
    <w:rsid w:val="001A61BB"/>
    <w:rsid w:val="001A7BB1"/>
    <w:rsid w:val="001B1166"/>
    <w:rsid w:val="001B1816"/>
    <w:rsid w:val="001B353C"/>
    <w:rsid w:val="001B4DC4"/>
    <w:rsid w:val="001B688C"/>
    <w:rsid w:val="001C0C8B"/>
    <w:rsid w:val="001C0DD4"/>
    <w:rsid w:val="001C1E87"/>
    <w:rsid w:val="001C3B05"/>
    <w:rsid w:val="001C4566"/>
    <w:rsid w:val="001C4C0A"/>
    <w:rsid w:val="001C5A5A"/>
    <w:rsid w:val="001C7AA8"/>
    <w:rsid w:val="001D1251"/>
    <w:rsid w:val="001D1B52"/>
    <w:rsid w:val="001D1DA8"/>
    <w:rsid w:val="001D2490"/>
    <w:rsid w:val="001D3771"/>
    <w:rsid w:val="001D39B6"/>
    <w:rsid w:val="001E0576"/>
    <w:rsid w:val="001E1C58"/>
    <w:rsid w:val="001E3AD8"/>
    <w:rsid w:val="001E421D"/>
    <w:rsid w:val="001E66CD"/>
    <w:rsid w:val="001F10C9"/>
    <w:rsid w:val="001F38C6"/>
    <w:rsid w:val="001F4560"/>
    <w:rsid w:val="001F4738"/>
    <w:rsid w:val="00200E10"/>
    <w:rsid w:val="002015A6"/>
    <w:rsid w:val="00202325"/>
    <w:rsid w:val="00202E92"/>
    <w:rsid w:val="00204153"/>
    <w:rsid w:val="00204640"/>
    <w:rsid w:val="00204DF4"/>
    <w:rsid w:val="00204ED9"/>
    <w:rsid w:val="002054DA"/>
    <w:rsid w:val="0020557C"/>
    <w:rsid w:val="00205F7F"/>
    <w:rsid w:val="00206692"/>
    <w:rsid w:val="00210D4F"/>
    <w:rsid w:val="00211B98"/>
    <w:rsid w:val="00211DBD"/>
    <w:rsid w:val="00212958"/>
    <w:rsid w:val="002159ED"/>
    <w:rsid w:val="00220013"/>
    <w:rsid w:val="00221A64"/>
    <w:rsid w:val="00222C3B"/>
    <w:rsid w:val="00223AAC"/>
    <w:rsid w:val="002241AD"/>
    <w:rsid w:val="0022611C"/>
    <w:rsid w:val="00227A51"/>
    <w:rsid w:val="00230003"/>
    <w:rsid w:val="002318C1"/>
    <w:rsid w:val="002335E0"/>
    <w:rsid w:val="00233B84"/>
    <w:rsid w:val="00233D37"/>
    <w:rsid w:val="00235152"/>
    <w:rsid w:val="00235995"/>
    <w:rsid w:val="002369F7"/>
    <w:rsid w:val="00236AAE"/>
    <w:rsid w:val="00241599"/>
    <w:rsid w:val="0024164F"/>
    <w:rsid w:val="00241BEA"/>
    <w:rsid w:val="00241E20"/>
    <w:rsid w:val="0024235D"/>
    <w:rsid w:val="00242649"/>
    <w:rsid w:val="002442EE"/>
    <w:rsid w:val="0024527D"/>
    <w:rsid w:val="00246745"/>
    <w:rsid w:val="002506B6"/>
    <w:rsid w:val="002509B4"/>
    <w:rsid w:val="00250AB8"/>
    <w:rsid w:val="00250ABC"/>
    <w:rsid w:val="00250F17"/>
    <w:rsid w:val="0025209C"/>
    <w:rsid w:val="0025246F"/>
    <w:rsid w:val="00252635"/>
    <w:rsid w:val="00254B34"/>
    <w:rsid w:val="00254C7F"/>
    <w:rsid w:val="00256D5A"/>
    <w:rsid w:val="00256D9E"/>
    <w:rsid w:val="00260E17"/>
    <w:rsid w:val="00261393"/>
    <w:rsid w:val="00262F89"/>
    <w:rsid w:val="00265C1B"/>
    <w:rsid w:val="002679B2"/>
    <w:rsid w:val="00267E51"/>
    <w:rsid w:val="00272CE7"/>
    <w:rsid w:val="00273690"/>
    <w:rsid w:val="00273A54"/>
    <w:rsid w:val="002742CB"/>
    <w:rsid w:val="00275AE9"/>
    <w:rsid w:val="00276655"/>
    <w:rsid w:val="00276C37"/>
    <w:rsid w:val="00276D97"/>
    <w:rsid w:val="00276F43"/>
    <w:rsid w:val="0027773E"/>
    <w:rsid w:val="002778E5"/>
    <w:rsid w:val="00283045"/>
    <w:rsid w:val="002832D2"/>
    <w:rsid w:val="00285C4B"/>
    <w:rsid w:val="00286A2C"/>
    <w:rsid w:val="00286AB2"/>
    <w:rsid w:val="0028797D"/>
    <w:rsid w:val="00287B7D"/>
    <w:rsid w:val="00290800"/>
    <w:rsid w:val="00290B6B"/>
    <w:rsid w:val="00291664"/>
    <w:rsid w:val="0029224F"/>
    <w:rsid w:val="002935E8"/>
    <w:rsid w:val="00293F50"/>
    <w:rsid w:val="00294306"/>
    <w:rsid w:val="00294FE3"/>
    <w:rsid w:val="00295D07"/>
    <w:rsid w:val="0029746A"/>
    <w:rsid w:val="002A039D"/>
    <w:rsid w:val="002A0D50"/>
    <w:rsid w:val="002A11D5"/>
    <w:rsid w:val="002A1DB0"/>
    <w:rsid w:val="002A2F4F"/>
    <w:rsid w:val="002A31A4"/>
    <w:rsid w:val="002A378B"/>
    <w:rsid w:val="002A3D0B"/>
    <w:rsid w:val="002A5A88"/>
    <w:rsid w:val="002A5D60"/>
    <w:rsid w:val="002A60BF"/>
    <w:rsid w:val="002A66D1"/>
    <w:rsid w:val="002A6704"/>
    <w:rsid w:val="002A6E67"/>
    <w:rsid w:val="002B08C8"/>
    <w:rsid w:val="002B1948"/>
    <w:rsid w:val="002B1A92"/>
    <w:rsid w:val="002B2ED7"/>
    <w:rsid w:val="002B3917"/>
    <w:rsid w:val="002B3B75"/>
    <w:rsid w:val="002B44C0"/>
    <w:rsid w:val="002B5EDF"/>
    <w:rsid w:val="002B7FFD"/>
    <w:rsid w:val="002C1023"/>
    <w:rsid w:val="002C2564"/>
    <w:rsid w:val="002C2568"/>
    <w:rsid w:val="002C2A94"/>
    <w:rsid w:val="002C2CF1"/>
    <w:rsid w:val="002C629A"/>
    <w:rsid w:val="002D0022"/>
    <w:rsid w:val="002D1297"/>
    <w:rsid w:val="002D1477"/>
    <w:rsid w:val="002D1BA2"/>
    <w:rsid w:val="002D2A08"/>
    <w:rsid w:val="002D663A"/>
    <w:rsid w:val="002D6746"/>
    <w:rsid w:val="002E2295"/>
    <w:rsid w:val="002E39C3"/>
    <w:rsid w:val="002E3DD5"/>
    <w:rsid w:val="002E49A6"/>
    <w:rsid w:val="002E4FA0"/>
    <w:rsid w:val="002E5D13"/>
    <w:rsid w:val="002F0577"/>
    <w:rsid w:val="002F0696"/>
    <w:rsid w:val="002F29D3"/>
    <w:rsid w:val="002F3D63"/>
    <w:rsid w:val="002F4E65"/>
    <w:rsid w:val="002F5188"/>
    <w:rsid w:val="002F58A3"/>
    <w:rsid w:val="002F5AF1"/>
    <w:rsid w:val="002F5CA2"/>
    <w:rsid w:val="002F6011"/>
    <w:rsid w:val="003011AA"/>
    <w:rsid w:val="00301769"/>
    <w:rsid w:val="003028D9"/>
    <w:rsid w:val="00302E24"/>
    <w:rsid w:val="003038ED"/>
    <w:rsid w:val="00303F74"/>
    <w:rsid w:val="00304F6F"/>
    <w:rsid w:val="00305B29"/>
    <w:rsid w:val="00305F9A"/>
    <w:rsid w:val="00306BF6"/>
    <w:rsid w:val="0030743A"/>
    <w:rsid w:val="00314BE6"/>
    <w:rsid w:val="0031512A"/>
    <w:rsid w:val="003152C9"/>
    <w:rsid w:val="003160EC"/>
    <w:rsid w:val="003166F3"/>
    <w:rsid w:val="00317ADB"/>
    <w:rsid w:val="00317D44"/>
    <w:rsid w:val="003202E6"/>
    <w:rsid w:val="00320BFD"/>
    <w:rsid w:val="00322951"/>
    <w:rsid w:val="003232B1"/>
    <w:rsid w:val="00323956"/>
    <w:rsid w:val="003268E3"/>
    <w:rsid w:val="00326BAC"/>
    <w:rsid w:val="00327001"/>
    <w:rsid w:val="003279F1"/>
    <w:rsid w:val="0033085C"/>
    <w:rsid w:val="00331F06"/>
    <w:rsid w:val="00332966"/>
    <w:rsid w:val="0033353E"/>
    <w:rsid w:val="003337B4"/>
    <w:rsid w:val="00333EB0"/>
    <w:rsid w:val="00335C8D"/>
    <w:rsid w:val="0033616A"/>
    <w:rsid w:val="0033713E"/>
    <w:rsid w:val="0033719D"/>
    <w:rsid w:val="00342A72"/>
    <w:rsid w:val="00343037"/>
    <w:rsid w:val="00343851"/>
    <w:rsid w:val="00344D1F"/>
    <w:rsid w:val="003472F5"/>
    <w:rsid w:val="003476AC"/>
    <w:rsid w:val="00347A5E"/>
    <w:rsid w:val="00350850"/>
    <w:rsid w:val="00352591"/>
    <w:rsid w:val="00356454"/>
    <w:rsid w:val="00356C5F"/>
    <w:rsid w:val="00361969"/>
    <w:rsid w:val="0036271F"/>
    <w:rsid w:val="0036337E"/>
    <w:rsid w:val="00363AFC"/>
    <w:rsid w:val="00363C3D"/>
    <w:rsid w:val="003641C1"/>
    <w:rsid w:val="00366244"/>
    <w:rsid w:val="00370526"/>
    <w:rsid w:val="00370553"/>
    <w:rsid w:val="003707EA"/>
    <w:rsid w:val="00370850"/>
    <w:rsid w:val="00370868"/>
    <w:rsid w:val="00370A3B"/>
    <w:rsid w:val="00372A6D"/>
    <w:rsid w:val="003738FC"/>
    <w:rsid w:val="00376BCA"/>
    <w:rsid w:val="003804C7"/>
    <w:rsid w:val="003818D8"/>
    <w:rsid w:val="00382E5D"/>
    <w:rsid w:val="0038391C"/>
    <w:rsid w:val="003841B2"/>
    <w:rsid w:val="00385847"/>
    <w:rsid w:val="0038628E"/>
    <w:rsid w:val="0038639A"/>
    <w:rsid w:val="00386E34"/>
    <w:rsid w:val="00387AA8"/>
    <w:rsid w:val="00387EA5"/>
    <w:rsid w:val="003903AE"/>
    <w:rsid w:val="00390F84"/>
    <w:rsid w:val="003922EC"/>
    <w:rsid w:val="00392BD7"/>
    <w:rsid w:val="0039480F"/>
    <w:rsid w:val="00395AA2"/>
    <w:rsid w:val="0039793E"/>
    <w:rsid w:val="003A2449"/>
    <w:rsid w:val="003A27C8"/>
    <w:rsid w:val="003A2DCC"/>
    <w:rsid w:val="003A36DC"/>
    <w:rsid w:val="003A4C5C"/>
    <w:rsid w:val="003A601B"/>
    <w:rsid w:val="003A7B67"/>
    <w:rsid w:val="003B3FE5"/>
    <w:rsid w:val="003B51F7"/>
    <w:rsid w:val="003B528F"/>
    <w:rsid w:val="003B5A84"/>
    <w:rsid w:val="003B7117"/>
    <w:rsid w:val="003B7575"/>
    <w:rsid w:val="003B76E2"/>
    <w:rsid w:val="003C03BE"/>
    <w:rsid w:val="003C1B8B"/>
    <w:rsid w:val="003C2255"/>
    <w:rsid w:val="003C30E6"/>
    <w:rsid w:val="003C3898"/>
    <w:rsid w:val="003C4E66"/>
    <w:rsid w:val="003C5343"/>
    <w:rsid w:val="003C6475"/>
    <w:rsid w:val="003C6BA2"/>
    <w:rsid w:val="003C7756"/>
    <w:rsid w:val="003D0A7F"/>
    <w:rsid w:val="003D2381"/>
    <w:rsid w:val="003D2C1D"/>
    <w:rsid w:val="003D2E92"/>
    <w:rsid w:val="003D2FE5"/>
    <w:rsid w:val="003E2788"/>
    <w:rsid w:val="003E2BA5"/>
    <w:rsid w:val="003E4A33"/>
    <w:rsid w:val="003E4C42"/>
    <w:rsid w:val="003E6E11"/>
    <w:rsid w:val="003E74B6"/>
    <w:rsid w:val="003E7F80"/>
    <w:rsid w:val="003F26A0"/>
    <w:rsid w:val="003F37F6"/>
    <w:rsid w:val="003F50F8"/>
    <w:rsid w:val="003F7ACE"/>
    <w:rsid w:val="00400B68"/>
    <w:rsid w:val="004015D7"/>
    <w:rsid w:val="004030B8"/>
    <w:rsid w:val="00403BD6"/>
    <w:rsid w:val="004040C9"/>
    <w:rsid w:val="004050A2"/>
    <w:rsid w:val="0040704A"/>
    <w:rsid w:val="004071ED"/>
    <w:rsid w:val="004077F2"/>
    <w:rsid w:val="004079FB"/>
    <w:rsid w:val="004109DB"/>
    <w:rsid w:val="00410B86"/>
    <w:rsid w:val="004137A0"/>
    <w:rsid w:val="0041466A"/>
    <w:rsid w:val="00415208"/>
    <w:rsid w:val="00416055"/>
    <w:rsid w:val="004160CC"/>
    <w:rsid w:val="00417641"/>
    <w:rsid w:val="00421540"/>
    <w:rsid w:val="00421B23"/>
    <w:rsid w:val="004225A0"/>
    <w:rsid w:val="0042329D"/>
    <w:rsid w:val="00423428"/>
    <w:rsid w:val="00425E78"/>
    <w:rsid w:val="0042628C"/>
    <w:rsid w:val="00426330"/>
    <w:rsid w:val="00427A15"/>
    <w:rsid w:val="00430054"/>
    <w:rsid w:val="004312BE"/>
    <w:rsid w:val="00433DDD"/>
    <w:rsid w:val="00433EAB"/>
    <w:rsid w:val="0043443C"/>
    <w:rsid w:val="004368D0"/>
    <w:rsid w:val="00440C8F"/>
    <w:rsid w:val="0044319C"/>
    <w:rsid w:val="00444104"/>
    <w:rsid w:val="00444158"/>
    <w:rsid w:val="004458A8"/>
    <w:rsid w:val="00446A59"/>
    <w:rsid w:val="004471F7"/>
    <w:rsid w:val="00450B80"/>
    <w:rsid w:val="00453983"/>
    <w:rsid w:val="00453AFC"/>
    <w:rsid w:val="004541F5"/>
    <w:rsid w:val="0046775F"/>
    <w:rsid w:val="0047016F"/>
    <w:rsid w:val="00470DC0"/>
    <w:rsid w:val="00471A1E"/>
    <w:rsid w:val="00471ED4"/>
    <w:rsid w:val="00472EBD"/>
    <w:rsid w:val="00475480"/>
    <w:rsid w:val="00475562"/>
    <w:rsid w:val="00476383"/>
    <w:rsid w:val="00476A4F"/>
    <w:rsid w:val="00477080"/>
    <w:rsid w:val="0048156F"/>
    <w:rsid w:val="0048189C"/>
    <w:rsid w:val="00481BCC"/>
    <w:rsid w:val="004835E8"/>
    <w:rsid w:val="00483B3B"/>
    <w:rsid w:val="004842DC"/>
    <w:rsid w:val="00484307"/>
    <w:rsid w:val="00484B3B"/>
    <w:rsid w:val="00485ACB"/>
    <w:rsid w:val="00485E08"/>
    <w:rsid w:val="00485E31"/>
    <w:rsid w:val="00486B7C"/>
    <w:rsid w:val="004870EA"/>
    <w:rsid w:val="004872B6"/>
    <w:rsid w:val="00487AC5"/>
    <w:rsid w:val="004903D1"/>
    <w:rsid w:val="00490938"/>
    <w:rsid w:val="00490EE6"/>
    <w:rsid w:val="004927A2"/>
    <w:rsid w:val="00492D26"/>
    <w:rsid w:val="0049322C"/>
    <w:rsid w:val="004943CB"/>
    <w:rsid w:val="00494E21"/>
    <w:rsid w:val="00495C70"/>
    <w:rsid w:val="00495DC1"/>
    <w:rsid w:val="00496232"/>
    <w:rsid w:val="00496A6B"/>
    <w:rsid w:val="004A272F"/>
    <w:rsid w:val="004A2EBA"/>
    <w:rsid w:val="004A3F3F"/>
    <w:rsid w:val="004A4600"/>
    <w:rsid w:val="004A59CD"/>
    <w:rsid w:val="004A6021"/>
    <w:rsid w:val="004A6063"/>
    <w:rsid w:val="004B04E7"/>
    <w:rsid w:val="004B077D"/>
    <w:rsid w:val="004B2729"/>
    <w:rsid w:val="004B4BBC"/>
    <w:rsid w:val="004B5BC0"/>
    <w:rsid w:val="004B5DE2"/>
    <w:rsid w:val="004B7329"/>
    <w:rsid w:val="004B7414"/>
    <w:rsid w:val="004C0497"/>
    <w:rsid w:val="004C070E"/>
    <w:rsid w:val="004C1645"/>
    <w:rsid w:val="004C17DD"/>
    <w:rsid w:val="004C1E43"/>
    <w:rsid w:val="004C1EF1"/>
    <w:rsid w:val="004C2A4E"/>
    <w:rsid w:val="004C2CC3"/>
    <w:rsid w:val="004C4826"/>
    <w:rsid w:val="004C600D"/>
    <w:rsid w:val="004C65AD"/>
    <w:rsid w:val="004C7A90"/>
    <w:rsid w:val="004D02F8"/>
    <w:rsid w:val="004D0DF5"/>
    <w:rsid w:val="004D0F5D"/>
    <w:rsid w:val="004D116C"/>
    <w:rsid w:val="004D1BD8"/>
    <w:rsid w:val="004D2642"/>
    <w:rsid w:val="004D2A28"/>
    <w:rsid w:val="004D433A"/>
    <w:rsid w:val="004D4433"/>
    <w:rsid w:val="004D4E92"/>
    <w:rsid w:val="004D63D2"/>
    <w:rsid w:val="004D6B18"/>
    <w:rsid w:val="004E2147"/>
    <w:rsid w:val="004E2915"/>
    <w:rsid w:val="004E3998"/>
    <w:rsid w:val="004E4656"/>
    <w:rsid w:val="004E65F0"/>
    <w:rsid w:val="004E7A53"/>
    <w:rsid w:val="004E7C0E"/>
    <w:rsid w:val="004F109C"/>
    <w:rsid w:val="004F2098"/>
    <w:rsid w:val="004F438D"/>
    <w:rsid w:val="004F7333"/>
    <w:rsid w:val="004F73BE"/>
    <w:rsid w:val="004F73E5"/>
    <w:rsid w:val="00500A77"/>
    <w:rsid w:val="00502250"/>
    <w:rsid w:val="00505273"/>
    <w:rsid w:val="0050640D"/>
    <w:rsid w:val="00511B6B"/>
    <w:rsid w:val="00512B06"/>
    <w:rsid w:val="005145A6"/>
    <w:rsid w:val="00514C33"/>
    <w:rsid w:val="00517D5C"/>
    <w:rsid w:val="00520066"/>
    <w:rsid w:val="00521F26"/>
    <w:rsid w:val="00522C12"/>
    <w:rsid w:val="00523D7B"/>
    <w:rsid w:val="005251D9"/>
    <w:rsid w:val="005259CF"/>
    <w:rsid w:val="00525AF2"/>
    <w:rsid w:val="005263AD"/>
    <w:rsid w:val="005265AD"/>
    <w:rsid w:val="0053024E"/>
    <w:rsid w:val="00531B5F"/>
    <w:rsid w:val="00534AB7"/>
    <w:rsid w:val="0053509C"/>
    <w:rsid w:val="005422E7"/>
    <w:rsid w:val="005424F3"/>
    <w:rsid w:val="005467BC"/>
    <w:rsid w:val="00546D13"/>
    <w:rsid w:val="00551C5C"/>
    <w:rsid w:val="00552315"/>
    <w:rsid w:val="0055327D"/>
    <w:rsid w:val="005533A8"/>
    <w:rsid w:val="0055450A"/>
    <w:rsid w:val="0055624D"/>
    <w:rsid w:val="005568EA"/>
    <w:rsid w:val="00561865"/>
    <w:rsid w:val="00562FE7"/>
    <w:rsid w:val="00563F57"/>
    <w:rsid w:val="00564666"/>
    <w:rsid w:val="00565013"/>
    <w:rsid w:val="005654C3"/>
    <w:rsid w:val="00566403"/>
    <w:rsid w:val="0056743B"/>
    <w:rsid w:val="00567E0C"/>
    <w:rsid w:val="00567F45"/>
    <w:rsid w:val="0057084B"/>
    <w:rsid w:val="0057201A"/>
    <w:rsid w:val="00573330"/>
    <w:rsid w:val="00573BA6"/>
    <w:rsid w:val="0057472B"/>
    <w:rsid w:val="00576839"/>
    <w:rsid w:val="0058002A"/>
    <w:rsid w:val="005815D1"/>
    <w:rsid w:val="0058192E"/>
    <w:rsid w:val="00581F8F"/>
    <w:rsid w:val="0058212A"/>
    <w:rsid w:val="0058278A"/>
    <w:rsid w:val="0058304C"/>
    <w:rsid w:val="0058356F"/>
    <w:rsid w:val="00583F89"/>
    <w:rsid w:val="00584128"/>
    <w:rsid w:val="00584604"/>
    <w:rsid w:val="00584A48"/>
    <w:rsid w:val="00585B61"/>
    <w:rsid w:val="00585EF5"/>
    <w:rsid w:val="005864E0"/>
    <w:rsid w:val="00586896"/>
    <w:rsid w:val="00586FE1"/>
    <w:rsid w:val="00587FBD"/>
    <w:rsid w:val="0059008E"/>
    <w:rsid w:val="0059182C"/>
    <w:rsid w:val="00592326"/>
    <w:rsid w:val="005934D1"/>
    <w:rsid w:val="005941CF"/>
    <w:rsid w:val="00596C97"/>
    <w:rsid w:val="005A1257"/>
    <w:rsid w:val="005A3C94"/>
    <w:rsid w:val="005A3E5F"/>
    <w:rsid w:val="005A4934"/>
    <w:rsid w:val="005A5ACD"/>
    <w:rsid w:val="005A5EF7"/>
    <w:rsid w:val="005A7469"/>
    <w:rsid w:val="005A77BB"/>
    <w:rsid w:val="005B07F0"/>
    <w:rsid w:val="005B188B"/>
    <w:rsid w:val="005B357A"/>
    <w:rsid w:val="005B3B63"/>
    <w:rsid w:val="005B4121"/>
    <w:rsid w:val="005B4B0D"/>
    <w:rsid w:val="005B50C7"/>
    <w:rsid w:val="005B52E7"/>
    <w:rsid w:val="005B5EC0"/>
    <w:rsid w:val="005B6762"/>
    <w:rsid w:val="005B685F"/>
    <w:rsid w:val="005B6EFE"/>
    <w:rsid w:val="005B7A88"/>
    <w:rsid w:val="005C1997"/>
    <w:rsid w:val="005C271B"/>
    <w:rsid w:val="005C3E32"/>
    <w:rsid w:val="005C5205"/>
    <w:rsid w:val="005C6D82"/>
    <w:rsid w:val="005C786C"/>
    <w:rsid w:val="005C7A35"/>
    <w:rsid w:val="005D0DF6"/>
    <w:rsid w:val="005D0E58"/>
    <w:rsid w:val="005D1DED"/>
    <w:rsid w:val="005D23AD"/>
    <w:rsid w:val="005D3527"/>
    <w:rsid w:val="005D440E"/>
    <w:rsid w:val="005D4D3C"/>
    <w:rsid w:val="005D502F"/>
    <w:rsid w:val="005D5760"/>
    <w:rsid w:val="005D5957"/>
    <w:rsid w:val="005E05CC"/>
    <w:rsid w:val="005E0CB7"/>
    <w:rsid w:val="005E1270"/>
    <w:rsid w:val="005E4D91"/>
    <w:rsid w:val="005E4EE4"/>
    <w:rsid w:val="005E5B84"/>
    <w:rsid w:val="005E5E10"/>
    <w:rsid w:val="005E663E"/>
    <w:rsid w:val="005E713C"/>
    <w:rsid w:val="005E773F"/>
    <w:rsid w:val="005F04F3"/>
    <w:rsid w:val="005F0B8F"/>
    <w:rsid w:val="005F0FFD"/>
    <w:rsid w:val="005F3DAC"/>
    <w:rsid w:val="005F5AD5"/>
    <w:rsid w:val="005F70E2"/>
    <w:rsid w:val="0060085F"/>
    <w:rsid w:val="0060256C"/>
    <w:rsid w:val="00604836"/>
    <w:rsid w:val="00604860"/>
    <w:rsid w:val="00605305"/>
    <w:rsid w:val="0060726A"/>
    <w:rsid w:val="00607349"/>
    <w:rsid w:val="00607D5C"/>
    <w:rsid w:val="006103A8"/>
    <w:rsid w:val="0061129B"/>
    <w:rsid w:val="006113F7"/>
    <w:rsid w:val="00611797"/>
    <w:rsid w:val="00613C95"/>
    <w:rsid w:val="00613CB5"/>
    <w:rsid w:val="00613D40"/>
    <w:rsid w:val="00615401"/>
    <w:rsid w:val="00615850"/>
    <w:rsid w:val="00615F7B"/>
    <w:rsid w:val="00616586"/>
    <w:rsid w:val="00616DE2"/>
    <w:rsid w:val="006175DC"/>
    <w:rsid w:val="00617635"/>
    <w:rsid w:val="00620175"/>
    <w:rsid w:val="00620B4B"/>
    <w:rsid w:val="0062165D"/>
    <w:rsid w:val="006216D2"/>
    <w:rsid w:val="0062176E"/>
    <w:rsid w:val="00621B74"/>
    <w:rsid w:val="00623086"/>
    <w:rsid w:val="006241A6"/>
    <w:rsid w:val="00625FA4"/>
    <w:rsid w:val="00626DFE"/>
    <w:rsid w:val="00630805"/>
    <w:rsid w:val="006326E5"/>
    <w:rsid w:val="00633739"/>
    <w:rsid w:val="00633BE1"/>
    <w:rsid w:val="00633CE8"/>
    <w:rsid w:val="00633FD8"/>
    <w:rsid w:val="00634472"/>
    <w:rsid w:val="006352D8"/>
    <w:rsid w:val="00635D14"/>
    <w:rsid w:val="00636956"/>
    <w:rsid w:val="00636BBD"/>
    <w:rsid w:val="00637337"/>
    <w:rsid w:val="006376BB"/>
    <w:rsid w:val="00640567"/>
    <w:rsid w:val="00640CE3"/>
    <w:rsid w:val="006410C4"/>
    <w:rsid w:val="00641389"/>
    <w:rsid w:val="00641791"/>
    <w:rsid w:val="00646B49"/>
    <w:rsid w:val="00650FF9"/>
    <w:rsid w:val="00651269"/>
    <w:rsid w:val="00656779"/>
    <w:rsid w:val="00657368"/>
    <w:rsid w:val="006575A5"/>
    <w:rsid w:val="00657AAC"/>
    <w:rsid w:val="00660F64"/>
    <w:rsid w:val="00664F27"/>
    <w:rsid w:val="00665437"/>
    <w:rsid w:val="00666122"/>
    <w:rsid w:val="00666B38"/>
    <w:rsid w:val="00666D36"/>
    <w:rsid w:val="00666FF5"/>
    <w:rsid w:val="006676DF"/>
    <w:rsid w:val="00667E29"/>
    <w:rsid w:val="00670B3A"/>
    <w:rsid w:val="006718A7"/>
    <w:rsid w:val="00671F42"/>
    <w:rsid w:val="006726AE"/>
    <w:rsid w:val="006734B5"/>
    <w:rsid w:val="00674175"/>
    <w:rsid w:val="006743BD"/>
    <w:rsid w:val="00674F19"/>
    <w:rsid w:val="0067550B"/>
    <w:rsid w:val="006767BB"/>
    <w:rsid w:val="00677F01"/>
    <w:rsid w:val="00683A92"/>
    <w:rsid w:val="0068418F"/>
    <w:rsid w:val="006846F2"/>
    <w:rsid w:val="00684762"/>
    <w:rsid w:val="00684DA4"/>
    <w:rsid w:val="00686334"/>
    <w:rsid w:val="00687177"/>
    <w:rsid w:val="00687946"/>
    <w:rsid w:val="006900AD"/>
    <w:rsid w:val="00690C98"/>
    <w:rsid w:val="006914CB"/>
    <w:rsid w:val="006916C6"/>
    <w:rsid w:val="00692755"/>
    <w:rsid w:val="006942A0"/>
    <w:rsid w:val="00695121"/>
    <w:rsid w:val="006971A1"/>
    <w:rsid w:val="00697BF2"/>
    <w:rsid w:val="006A1173"/>
    <w:rsid w:val="006A162A"/>
    <w:rsid w:val="006A24BB"/>
    <w:rsid w:val="006A34FB"/>
    <w:rsid w:val="006A3FFE"/>
    <w:rsid w:val="006A633B"/>
    <w:rsid w:val="006A6823"/>
    <w:rsid w:val="006A7A4E"/>
    <w:rsid w:val="006B0F86"/>
    <w:rsid w:val="006B2F29"/>
    <w:rsid w:val="006B408B"/>
    <w:rsid w:val="006B433B"/>
    <w:rsid w:val="006B4421"/>
    <w:rsid w:val="006B51FA"/>
    <w:rsid w:val="006B61FE"/>
    <w:rsid w:val="006B6743"/>
    <w:rsid w:val="006C06CE"/>
    <w:rsid w:val="006C21D8"/>
    <w:rsid w:val="006C2A6C"/>
    <w:rsid w:val="006C2D34"/>
    <w:rsid w:val="006C3289"/>
    <w:rsid w:val="006C342A"/>
    <w:rsid w:val="006C36F1"/>
    <w:rsid w:val="006C4063"/>
    <w:rsid w:val="006C519C"/>
    <w:rsid w:val="006C6BE0"/>
    <w:rsid w:val="006C7E0A"/>
    <w:rsid w:val="006D088B"/>
    <w:rsid w:val="006D0A1F"/>
    <w:rsid w:val="006D0DA3"/>
    <w:rsid w:val="006D17C0"/>
    <w:rsid w:val="006D185C"/>
    <w:rsid w:val="006D294D"/>
    <w:rsid w:val="006D314F"/>
    <w:rsid w:val="006D34BA"/>
    <w:rsid w:val="006D45E5"/>
    <w:rsid w:val="006D4750"/>
    <w:rsid w:val="006D562F"/>
    <w:rsid w:val="006D5C17"/>
    <w:rsid w:val="006D7321"/>
    <w:rsid w:val="006D7F97"/>
    <w:rsid w:val="006E156D"/>
    <w:rsid w:val="006E1BF0"/>
    <w:rsid w:val="006E2BDD"/>
    <w:rsid w:val="006E38A9"/>
    <w:rsid w:val="006E411A"/>
    <w:rsid w:val="006E4B77"/>
    <w:rsid w:val="006E78E0"/>
    <w:rsid w:val="006E7940"/>
    <w:rsid w:val="006E7C7D"/>
    <w:rsid w:val="006F1295"/>
    <w:rsid w:val="006F1E14"/>
    <w:rsid w:val="006F330A"/>
    <w:rsid w:val="006F3B72"/>
    <w:rsid w:val="006F4A45"/>
    <w:rsid w:val="006F5791"/>
    <w:rsid w:val="006F6285"/>
    <w:rsid w:val="006F62ED"/>
    <w:rsid w:val="006F63F4"/>
    <w:rsid w:val="006F6833"/>
    <w:rsid w:val="007003C2"/>
    <w:rsid w:val="00700402"/>
    <w:rsid w:val="00700A77"/>
    <w:rsid w:val="0070158F"/>
    <w:rsid w:val="0070171E"/>
    <w:rsid w:val="00703E8F"/>
    <w:rsid w:val="007045C3"/>
    <w:rsid w:val="0070476B"/>
    <w:rsid w:val="00704C21"/>
    <w:rsid w:val="007052B4"/>
    <w:rsid w:val="0070535D"/>
    <w:rsid w:val="007058D6"/>
    <w:rsid w:val="007065C7"/>
    <w:rsid w:val="00706BA3"/>
    <w:rsid w:val="00707052"/>
    <w:rsid w:val="007077B9"/>
    <w:rsid w:val="00713E65"/>
    <w:rsid w:val="00714521"/>
    <w:rsid w:val="00714C09"/>
    <w:rsid w:val="00715590"/>
    <w:rsid w:val="00716959"/>
    <w:rsid w:val="00720D17"/>
    <w:rsid w:val="0072168B"/>
    <w:rsid w:val="00721CBB"/>
    <w:rsid w:val="007227D6"/>
    <w:rsid w:val="00722A91"/>
    <w:rsid w:val="00722CAE"/>
    <w:rsid w:val="00724E67"/>
    <w:rsid w:val="00725DB0"/>
    <w:rsid w:val="00726F92"/>
    <w:rsid w:val="0072705F"/>
    <w:rsid w:val="007270C9"/>
    <w:rsid w:val="00730C04"/>
    <w:rsid w:val="007316FD"/>
    <w:rsid w:val="00733307"/>
    <w:rsid w:val="00733501"/>
    <w:rsid w:val="007350CE"/>
    <w:rsid w:val="0073573A"/>
    <w:rsid w:val="0073626A"/>
    <w:rsid w:val="007364DA"/>
    <w:rsid w:val="00740096"/>
    <w:rsid w:val="0074104B"/>
    <w:rsid w:val="007414D9"/>
    <w:rsid w:val="00741587"/>
    <w:rsid w:val="00741D97"/>
    <w:rsid w:val="00742725"/>
    <w:rsid w:val="007442B9"/>
    <w:rsid w:val="00745BE9"/>
    <w:rsid w:val="00746085"/>
    <w:rsid w:val="00746762"/>
    <w:rsid w:val="007474C5"/>
    <w:rsid w:val="007475AF"/>
    <w:rsid w:val="00747FD1"/>
    <w:rsid w:val="0075020B"/>
    <w:rsid w:val="00750D67"/>
    <w:rsid w:val="0075219F"/>
    <w:rsid w:val="00753016"/>
    <w:rsid w:val="00755F48"/>
    <w:rsid w:val="00756685"/>
    <w:rsid w:val="00756BA6"/>
    <w:rsid w:val="00756DCE"/>
    <w:rsid w:val="00760EB2"/>
    <w:rsid w:val="00763013"/>
    <w:rsid w:val="007632F6"/>
    <w:rsid w:val="0076564E"/>
    <w:rsid w:val="00765C8E"/>
    <w:rsid w:val="007668CA"/>
    <w:rsid w:val="0077068C"/>
    <w:rsid w:val="00770BF1"/>
    <w:rsid w:val="00770D1B"/>
    <w:rsid w:val="00772020"/>
    <w:rsid w:val="00773421"/>
    <w:rsid w:val="00776EFF"/>
    <w:rsid w:val="00780709"/>
    <w:rsid w:val="00780D8C"/>
    <w:rsid w:val="007810D2"/>
    <w:rsid w:val="00782EC9"/>
    <w:rsid w:val="0078511A"/>
    <w:rsid w:val="00785ADE"/>
    <w:rsid w:val="00786C0A"/>
    <w:rsid w:val="00786C47"/>
    <w:rsid w:val="00787B1D"/>
    <w:rsid w:val="00790154"/>
    <w:rsid w:val="0079132F"/>
    <w:rsid w:val="00791606"/>
    <w:rsid w:val="00792BBC"/>
    <w:rsid w:val="00795E00"/>
    <w:rsid w:val="0079772A"/>
    <w:rsid w:val="007A0D29"/>
    <w:rsid w:val="007A0E2F"/>
    <w:rsid w:val="007A3217"/>
    <w:rsid w:val="007A3B4B"/>
    <w:rsid w:val="007A5A86"/>
    <w:rsid w:val="007A5D63"/>
    <w:rsid w:val="007A6019"/>
    <w:rsid w:val="007A74DD"/>
    <w:rsid w:val="007A78C1"/>
    <w:rsid w:val="007B2868"/>
    <w:rsid w:val="007B2CB2"/>
    <w:rsid w:val="007B31D5"/>
    <w:rsid w:val="007B3213"/>
    <w:rsid w:val="007B5679"/>
    <w:rsid w:val="007B59AB"/>
    <w:rsid w:val="007B67A7"/>
    <w:rsid w:val="007B6FD7"/>
    <w:rsid w:val="007C3E24"/>
    <w:rsid w:val="007C44EB"/>
    <w:rsid w:val="007C5AB8"/>
    <w:rsid w:val="007C5EB1"/>
    <w:rsid w:val="007C6349"/>
    <w:rsid w:val="007C64D7"/>
    <w:rsid w:val="007C6B2D"/>
    <w:rsid w:val="007C784B"/>
    <w:rsid w:val="007D07E4"/>
    <w:rsid w:val="007D106B"/>
    <w:rsid w:val="007D235D"/>
    <w:rsid w:val="007D27E8"/>
    <w:rsid w:val="007D719F"/>
    <w:rsid w:val="007D71CE"/>
    <w:rsid w:val="007D7D3E"/>
    <w:rsid w:val="007E01F9"/>
    <w:rsid w:val="007E29D1"/>
    <w:rsid w:val="007E425F"/>
    <w:rsid w:val="007E4CF1"/>
    <w:rsid w:val="007E5236"/>
    <w:rsid w:val="007E5726"/>
    <w:rsid w:val="007E7D70"/>
    <w:rsid w:val="007F48E4"/>
    <w:rsid w:val="007F4A5F"/>
    <w:rsid w:val="007F52EA"/>
    <w:rsid w:val="007F6498"/>
    <w:rsid w:val="007F7085"/>
    <w:rsid w:val="007F7B1C"/>
    <w:rsid w:val="007F7E36"/>
    <w:rsid w:val="00801BED"/>
    <w:rsid w:val="008029E5"/>
    <w:rsid w:val="00803546"/>
    <w:rsid w:val="00803784"/>
    <w:rsid w:val="00803A0B"/>
    <w:rsid w:val="00804290"/>
    <w:rsid w:val="0080445F"/>
    <w:rsid w:val="008051C3"/>
    <w:rsid w:val="00806192"/>
    <w:rsid w:val="008076FE"/>
    <w:rsid w:val="00811369"/>
    <w:rsid w:val="00811D00"/>
    <w:rsid w:val="0081214A"/>
    <w:rsid w:val="0081283A"/>
    <w:rsid w:val="00814C33"/>
    <w:rsid w:val="00816360"/>
    <w:rsid w:val="00816BFE"/>
    <w:rsid w:val="008175DB"/>
    <w:rsid w:val="00817EAC"/>
    <w:rsid w:val="00820F31"/>
    <w:rsid w:val="008211CB"/>
    <w:rsid w:val="008215B8"/>
    <w:rsid w:val="00822034"/>
    <w:rsid w:val="0082251B"/>
    <w:rsid w:val="0082318B"/>
    <w:rsid w:val="00826A9C"/>
    <w:rsid w:val="008307CE"/>
    <w:rsid w:val="00830CE6"/>
    <w:rsid w:val="0083136D"/>
    <w:rsid w:val="00832A2A"/>
    <w:rsid w:val="00833728"/>
    <w:rsid w:val="00834594"/>
    <w:rsid w:val="00834EEA"/>
    <w:rsid w:val="00837626"/>
    <w:rsid w:val="00837CAE"/>
    <w:rsid w:val="00837F9E"/>
    <w:rsid w:val="0084014C"/>
    <w:rsid w:val="00841B0B"/>
    <w:rsid w:val="008434B3"/>
    <w:rsid w:val="008443B5"/>
    <w:rsid w:val="00845316"/>
    <w:rsid w:val="00845892"/>
    <w:rsid w:val="008458D0"/>
    <w:rsid w:val="00846BDA"/>
    <w:rsid w:val="00847A67"/>
    <w:rsid w:val="008505C3"/>
    <w:rsid w:val="0085221F"/>
    <w:rsid w:val="008539C8"/>
    <w:rsid w:val="00854DBD"/>
    <w:rsid w:val="00854EAB"/>
    <w:rsid w:val="0085556B"/>
    <w:rsid w:val="00855588"/>
    <w:rsid w:val="00855916"/>
    <w:rsid w:val="00860CE4"/>
    <w:rsid w:val="008621B0"/>
    <w:rsid w:val="008623A6"/>
    <w:rsid w:val="00862416"/>
    <w:rsid w:val="0086393D"/>
    <w:rsid w:val="00863B4D"/>
    <w:rsid w:val="0086401F"/>
    <w:rsid w:val="008659ED"/>
    <w:rsid w:val="00865C2E"/>
    <w:rsid w:val="00867A98"/>
    <w:rsid w:val="00871247"/>
    <w:rsid w:val="00871932"/>
    <w:rsid w:val="00872207"/>
    <w:rsid w:val="008747B5"/>
    <w:rsid w:val="00874E6D"/>
    <w:rsid w:val="00875BE5"/>
    <w:rsid w:val="00881B8A"/>
    <w:rsid w:val="00882710"/>
    <w:rsid w:val="00883B61"/>
    <w:rsid w:val="0088488F"/>
    <w:rsid w:val="00887474"/>
    <w:rsid w:val="0089011B"/>
    <w:rsid w:val="0089183E"/>
    <w:rsid w:val="008918F9"/>
    <w:rsid w:val="008919E5"/>
    <w:rsid w:val="00891C9E"/>
    <w:rsid w:val="00892A27"/>
    <w:rsid w:val="00893D7C"/>
    <w:rsid w:val="0089434D"/>
    <w:rsid w:val="00895245"/>
    <w:rsid w:val="008960B8"/>
    <w:rsid w:val="0089787E"/>
    <w:rsid w:val="008978E9"/>
    <w:rsid w:val="00897BD3"/>
    <w:rsid w:val="008A17A5"/>
    <w:rsid w:val="008A38CA"/>
    <w:rsid w:val="008A3C3B"/>
    <w:rsid w:val="008A42C7"/>
    <w:rsid w:val="008A6FC3"/>
    <w:rsid w:val="008A7A55"/>
    <w:rsid w:val="008B04FD"/>
    <w:rsid w:val="008B0DB9"/>
    <w:rsid w:val="008B1A41"/>
    <w:rsid w:val="008B2362"/>
    <w:rsid w:val="008B2697"/>
    <w:rsid w:val="008B36AA"/>
    <w:rsid w:val="008B3C75"/>
    <w:rsid w:val="008B4AB5"/>
    <w:rsid w:val="008B7410"/>
    <w:rsid w:val="008B76F2"/>
    <w:rsid w:val="008B7C95"/>
    <w:rsid w:val="008C004B"/>
    <w:rsid w:val="008C15CC"/>
    <w:rsid w:val="008C2107"/>
    <w:rsid w:val="008C4E56"/>
    <w:rsid w:val="008D286F"/>
    <w:rsid w:val="008D33C7"/>
    <w:rsid w:val="008D5D46"/>
    <w:rsid w:val="008D5F95"/>
    <w:rsid w:val="008D7D65"/>
    <w:rsid w:val="008E1DEF"/>
    <w:rsid w:val="008E3E3C"/>
    <w:rsid w:val="008E5FB7"/>
    <w:rsid w:val="008E6055"/>
    <w:rsid w:val="008E65BD"/>
    <w:rsid w:val="008E7C9B"/>
    <w:rsid w:val="008F3925"/>
    <w:rsid w:val="008F3A65"/>
    <w:rsid w:val="008F45CB"/>
    <w:rsid w:val="008F494E"/>
    <w:rsid w:val="008F54B9"/>
    <w:rsid w:val="008F553D"/>
    <w:rsid w:val="008F55AF"/>
    <w:rsid w:val="008F58CC"/>
    <w:rsid w:val="008F5B7E"/>
    <w:rsid w:val="008F5D20"/>
    <w:rsid w:val="008F5FE3"/>
    <w:rsid w:val="008F6F11"/>
    <w:rsid w:val="008F70E2"/>
    <w:rsid w:val="0090207A"/>
    <w:rsid w:val="00902F19"/>
    <w:rsid w:val="009035BB"/>
    <w:rsid w:val="00904241"/>
    <w:rsid w:val="00904CEF"/>
    <w:rsid w:val="00905325"/>
    <w:rsid w:val="00906294"/>
    <w:rsid w:val="00912281"/>
    <w:rsid w:val="00915A05"/>
    <w:rsid w:val="009171D7"/>
    <w:rsid w:val="00917DBD"/>
    <w:rsid w:val="00921568"/>
    <w:rsid w:val="0092231A"/>
    <w:rsid w:val="0092377C"/>
    <w:rsid w:val="00923A19"/>
    <w:rsid w:val="00923CB5"/>
    <w:rsid w:val="0092504C"/>
    <w:rsid w:val="009255B1"/>
    <w:rsid w:val="00927477"/>
    <w:rsid w:val="009337DE"/>
    <w:rsid w:val="00934CC3"/>
    <w:rsid w:val="0093531F"/>
    <w:rsid w:val="00936199"/>
    <w:rsid w:val="009361C0"/>
    <w:rsid w:val="00940062"/>
    <w:rsid w:val="009406E8"/>
    <w:rsid w:val="00941FCB"/>
    <w:rsid w:val="00943125"/>
    <w:rsid w:val="009432C2"/>
    <w:rsid w:val="0094371A"/>
    <w:rsid w:val="009441FF"/>
    <w:rsid w:val="00946F41"/>
    <w:rsid w:val="009556E6"/>
    <w:rsid w:val="00957E8C"/>
    <w:rsid w:val="00961FC9"/>
    <w:rsid w:val="0096257C"/>
    <w:rsid w:val="009632D1"/>
    <w:rsid w:val="009634BA"/>
    <w:rsid w:val="009634EB"/>
    <w:rsid w:val="00964128"/>
    <w:rsid w:val="00964273"/>
    <w:rsid w:val="00965950"/>
    <w:rsid w:val="00966C9A"/>
    <w:rsid w:val="00966F11"/>
    <w:rsid w:val="00967541"/>
    <w:rsid w:val="009676E1"/>
    <w:rsid w:val="00967B8B"/>
    <w:rsid w:val="0097011B"/>
    <w:rsid w:val="0097098F"/>
    <w:rsid w:val="00972136"/>
    <w:rsid w:val="009723C7"/>
    <w:rsid w:val="0097372A"/>
    <w:rsid w:val="00973942"/>
    <w:rsid w:val="00974AC2"/>
    <w:rsid w:val="00974E5E"/>
    <w:rsid w:val="00975D2D"/>
    <w:rsid w:val="00976740"/>
    <w:rsid w:val="00976914"/>
    <w:rsid w:val="00976982"/>
    <w:rsid w:val="009771D6"/>
    <w:rsid w:val="0097732F"/>
    <w:rsid w:val="009809D7"/>
    <w:rsid w:val="00981A0F"/>
    <w:rsid w:val="00981A4B"/>
    <w:rsid w:val="00982A15"/>
    <w:rsid w:val="00985072"/>
    <w:rsid w:val="009873A4"/>
    <w:rsid w:val="00987EE9"/>
    <w:rsid w:val="00992FB8"/>
    <w:rsid w:val="00994B74"/>
    <w:rsid w:val="00994F82"/>
    <w:rsid w:val="00995293"/>
    <w:rsid w:val="00995BA7"/>
    <w:rsid w:val="00995D32"/>
    <w:rsid w:val="009966D7"/>
    <w:rsid w:val="00996E4D"/>
    <w:rsid w:val="0099797B"/>
    <w:rsid w:val="009A1A1F"/>
    <w:rsid w:val="009A1B3E"/>
    <w:rsid w:val="009A228D"/>
    <w:rsid w:val="009A2B64"/>
    <w:rsid w:val="009A40C0"/>
    <w:rsid w:val="009A5040"/>
    <w:rsid w:val="009A505B"/>
    <w:rsid w:val="009A5139"/>
    <w:rsid w:val="009A53B3"/>
    <w:rsid w:val="009A59A4"/>
    <w:rsid w:val="009A5C58"/>
    <w:rsid w:val="009A7119"/>
    <w:rsid w:val="009A7E66"/>
    <w:rsid w:val="009B032D"/>
    <w:rsid w:val="009B097B"/>
    <w:rsid w:val="009B0996"/>
    <w:rsid w:val="009B09A7"/>
    <w:rsid w:val="009B0AC0"/>
    <w:rsid w:val="009B1010"/>
    <w:rsid w:val="009B2C44"/>
    <w:rsid w:val="009B3219"/>
    <w:rsid w:val="009B33E5"/>
    <w:rsid w:val="009B6928"/>
    <w:rsid w:val="009B69B1"/>
    <w:rsid w:val="009B69FD"/>
    <w:rsid w:val="009B717A"/>
    <w:rsid w:val="009B71F0"/>
    <w:rsid w:val="009B737E"/>
    <w:rsid w:val="009C0994"/>
    <w:rsid w:val="009C1C3F"/>
    <w:rsid w:val="009C4A18"/>
    <w:rsid w:val="009C5754"/>
    <w:rsid w:val="009D0F56"/>
    <w:rsid w:val="009D18E1"/>
    <w:rsid w:val="009D1A9A"/>
    <w:rsid w:val="009D26FB"/>
    <w:rsid w:val="009D6384"/>
    <w:rsid w:val="009D6A93"/>
    <w:rsid w:val="009D7F57"/>
    <w:rsid w:val="009E1BAC"/>
    <w:rsid w:val="009E3BC2"/>
    <w:rsid w:val="009E4975"/>
    <w:rsid w:val="009E5427"/>
    <w:rsid w:val="009E60BF"/>
    <w:rsid w:val="009E6C1A"/>
    <w:rsid w:val="009F0B00"/>
    <w:rsid w:val="009F0CE3"/>
    <w:rsid w:val="009F16F4"/>
    <w:rsid w:val="009F1A7D"/>
    <w:rsid w:val="009F28A7"/>
    <w:rsid w:val="009F3891"/>
    <w:rsid w:val="009F4172"/>
    <w:rsid w:val="009F49B4"/>
    <w:rsid w:val="009F4B4E"/>
    <w:rsid w:val="009F55DA"/>
    <w:rsid w:val="009F5D7E"/>
    <w:rsid w:val="009F677E"/>
    <w:rsid w:val="00A00447"/>
    <w:rsid w:val="00A02415"/>
    <w:rsid w:val="00A02584"/>
    <w:rsid w:val="00A0305B"/>
    <w:rsid w:val="00A034D5"/>
    <w:rsid w:val="00A034E1"/>
    <w:rsid w:val="00A038DE"/>
    <w:rsid w:val="00A03D89"/>
    <w:rsid w:val="00A03E5C"/>
    <w:rsid w:val="00A11CB9"/>
    <w:rsid w:val="00A120C2"/>
    <w:rsid w:val="00A14711"/>
    <w:rsid w:val="00A16D2A"/>
    <w:rsid w:val="00A2261F"/>
    <w:rsid w:val="00A23903"/>
    <w:rsid w:val="00A2425D"/>
    <w:rsid w:val="00A244B0"/>
    <w:rsid w:val="00A24B03"/>
    <w:rsid w:val="00A25863"/>
    <w:rsid w:val="00A26AA5"/>
    <w:rsid w:val="00A30881"/>
    <w:rsid w:val="00A32EF4"/>
    <w:rsid w:val="00A34B2A"/>
    <w:rsid w:val="00A40F3F"/>
    <w:rsid w:val="00A41BAF"/>
    <w:rsid w:val="00A4252C"/>
    <w:rsid w:val="00A4482F"/>
    <w:rsid w:val="00A4485E"/>
    <w:rsid w:val="00A45702"/>
    <w:rsid w:val="00A45D36"/>
    <w:rsid w:val="00A45E18"/>
    <w:rsid w:val="00A466EA"/>
    <w:rsid w:val="00A51200"/>
    <w:rsid w:val="00A533BA"/>
    <w:rsid w:val="00A53A82"/>
    <w:rsid w:val="00A53B4B"/>
    <w:rsid w:val="00A53BA5"/>
    <w:rsid w:val="00A54A2E"/>
    <w:rsid w:val="00A555E6"/>
    <w:rsid w:val="00A57274"/>
    <w:rsid w:val="00A57E7E"/>
    <w:rsid w:val="00A6144D"/>
    <w:rsid w:val="00A64B4A"/>
    <w:rsid w:val="00A64F91"/>
    <w:rsid w:val="00A652FB"/>
    <w:rsid w:val="00A678A1"/>
    <w:rsid w:val="00A70457"/>
    <w:rsid w:val="00A71224"/>
    <w:rsid w:val="00A7393E"/>
    <w:rsid w:val="00A751EE"/>
    <w:rsid w:val="00A76595"/>
    <w:rsid w:val="00A7796C"/>
    <w:rsid w:val="00A77F8F"/>
    <w:rsid w:val="00A82640"/>
    <w:rsid w:val="00A84E85"/>
    <w:rsid w:val="00A86507"/>
    <w:rsid w:val="00A8666C"/>
    <w:rsid w:val="00A87FA8"/>
    <w:rsid w:val="00A91627"/>
    <w:rsid w:val="00A9175F"/>
    <w:rsid w:val="00A929E4"/>
    <w:rsid w:val="00A952BE"/>
    <w:rsid w:val="00A956BF"/>
    <w:rsid w:val="00A973A2"/>
    <w:rsid w:val="00AA0E51"/>
    <w:rsid w:val="00AA3D76"/>
    <w:rsid w:val="00AA40E9"/>
    <w:rsid w:val="00AA6FBC"/>
    <w:rsid w:val="00AA7DF2"/>
    <w:rsid w:val="00AB0561"/>
    <w:rsid w:val="00AB1B1F"/>
    <w:rsid w:val="00AB1BB6"/>
    <w:rsid w:val="00AB2ABC"/>
    <w:rsid w:val="00AB2BC5"/>
    <w:rsid w:val="00AB39BC"/>
    <w:rsid w:val="00AB3A60"/>
    <w:rsid w:val="00AB4F59"/>
    <w:rsid w:val="00AB646E"/>
    <w:rsid w:val="00AB6D68"/>
    <w:rsid w:val="00AC0269"/>
    <w:rsid w:val="00AC1935"/>
    <w:rsid w:val="00AC1B6A"/>
    <w:rsid w:val="00AC200C"/>
    <w:rsid w:val="00AC2491"/>
    <w:rsid w:val="00AC24DE"/>
    <w:rsid w:val="00AC3C2F"/>
    <w:rsid w:val="00AC3CC3"/>
    <w:rsid w:val="00AC43CA"/>
    <w:rsid w:val="00AC5A90"/>
    <w:rsid w:val="00AC633E"/>
    <w:rsid w:val="00AD00D0"/>
    <w:rsid w:val="00AD0567"/>
    <w:rsid w:val="00AD1F95"/>
    <w:rsid w:val="00AD2C7B"/>
    <w:rsid w:val="00AD3C8A"/>
    <w:rsid w:val="00AD3DE5"/>
    <w:rsid w:val="00AD491D"/>
    <w:rsid w:val="00AD597E"/>
    <w:rsid w:val="00AD7804"/>
    <w:rsid w:val="00AE1C33"/>
    <w:rsid w:val="00AE1EE8"/>
    <w:rsid w:val="00AE262E"/>
    <w:rsid w:val="00AE2CC5"/>
    <w:rsid w:val="00AE3E7D"/>
    <w:rsid w:val="00AE5522"/>
    <w:rsid w:val="00AE5805"/>
    <w:rsid w:val="00AF0A20"/>
    <w:rsid w:val="00AF1227"/>
    <w:rsid w:val="00AF2564"/>
    <w:rsid w:val="00AF2BA5"/>
    <w:rsid w:val="00AF4B07"/>
    <w:rsid w:val="00AF5439"/>
    <w:rsid w:val="00AF5DCD"/>
    <w:rsid w:val="00AF5DED"/>
    <w:rsid w:val="00AF60C2"/>
    <w:rsid w:val="00AF707F"/>
    <w:rsid w:val="00B01ACC"/>
    <w:rsid w:val="00B031DA"/>
    <w:rsid w:val="00B03862"/>
    <w:rsid w:val="00B04A9E"/>
    <w:rsid w:val="00B050FB"/>
    <w:rsid w:val="00B06E7D"/>
    <w:rsid w:val="00B073C4"/>
    <w:rsid w:val="00B0753E"/>
    <w:rsid w:val="00B07B94"/>
    <w:rsid w:val="00B102C3"/>
    <w:rsid w:val="00B1067C"/>
    <w:rsid w:val="00B10C08"/>
    <w:rsid w:val="00B10C53"/>
    <w:rsid w:val="00B10E62"/>
    <w:rsid w:val="00B119B3"/>
    <w:rsid w:val="00B11A23"/>
    <w:rsid w:val="00B11A5D"/>
    <w:rsid w:val="00B12248"/>
    <w:rsid w:val="00B12589"/>
    <w:rsid w:val="00B15916"/>
    <w:rsid w:val="00B16497"/>
    <w:rsid w:val="00B17F1B"/>
    <w:rsid w:val="00B20DF6"/>
    <w:rsid w:val="00B21873"/>
    <w:rsid w:val="00B22A59"/>
    <w:rsid w:val="00B23101"/>
    <w:rsid w:val="00B241BE"/>
    <w:rsid w:val="00B30AC7"/>
    <w:rsid w:val="00B30CBB"/>
    <w:rsid w:val="00B36BE2"/>
    <w:rsid w:val="00B37D97"/>
    <w:rsid w:val="00B40E02"/>
    <w:rsid w:val="00B435AA"/>
    <w:rsid w:val="00B43DB8"/>
    <w:rsid w:val="00B4624E"/>
    <w:rsid w:val="00B4649A"/>
    <w:rsid w:val="00B47E60"/>
    <w:rsid w:val="00B510E1"/>
    <w:rsid w:val="00B53B9C"/>
    <w:rsid w:val="00B56946"/>
    <w:rsid w:val="00B619C4"/>
    <w:rsid w:val="00B61EB3"/>
    <w:rsid w:val="00B62881"/>
    <w:rsid w:val="00B63775"/>
    <w:rsid w:val="00B646FF"/>
    <w:rsid w:val="00B64FF6"/>
    <w:rsid w:val="00B65BE3"/>
    <w:rsid w:val="00B666C6"/>
    <w:rsid w:val="00B6678C"/>
    <w:rsid w:val="00B672DB"/>
    <w:rsid w:val="00B67674"/>
    <w:rsid w:val="00B677F2"/>
    <w:rsid w:val="00B67AA2"/>
    <w:rsid w:val="00B67E93"/>
    <w:rsid w:val="00B716AB"/>
    <w:rsid w:val="00B724D2"/>
    <w:rsid w:val="00B7313F"/>
    <w:rsid w:val="00B73155"/>
    <w:rsid w:val="00B75994"/>
    <w:rsid w:val="00B762B6"/>
    <w:rsid w:val="00B767F0"/>
    <w:rsid w:val="00B768F3"/>
    <w:rsid w:val="00B77BE7"/>
    <w:rsid w:val="00B77DEB"/>
    <w:rsid w:val="00B80139"/>
    <w:rsid w:val="00B8108E"/>
    <w:rsid w:val="00B83020"/>
    <w:rsid w:val="00B83723"/>
    <w:rsid w:val="00B83DC4"/>
    <w:rsid w:val="00B8462A"/>
    <w:rsid w:val="00B84736"/>
    <w:rsid w:val="00B852F7"/>
    <w:rsid w:val="00B85C72"/>
    <w:rsid w:val="00B86121"/>
    <w:rsid w:val="00B87682"/>
    <w:rsid w:val="00B907F7"/>
    <w:rsid w:val="00B92229"/>
    <w:rsid w:val="00B926B2"/>
    <w:rsid w:val="00B9334A"/>
    <w:rsid w:val="00B93A45"/>
    <w:rsid w:val="00B94357"/>
    <w:rsid w:val="00B94846"/>
    <w:rsid w:val="00B97310"/>
    <w:rsid w:val="00BA058D"/>
    <w:rsid w:val="00BA0AFB"/>
    <w:rsid w:val="00BA14E3"/>
    <w:rsid w:val="00BA342D"/>
    <w:rsid w:val="00BA568C"/>
    <w:rsid w:val="00BA5CAB"/>
    <w:rsid w:val="00BA62D6"/>
    <w:rsid w:val="00BA7150"/>
    <w:rsid w:val="00BB0AB9"/>
    <w:rsid w:val="00BB1084"/>
    <w:rsid w:val="00BB1562"/>
    <w:rsid w:val="00BB27B7"/>
    <w:rsid w:val="00BB3301"/>
    <w:rsid w:val="00BB3403"/>
    <w:rsid w:val="00BB3617"/>
    <w:rsid w:val="00BB38EA"/>
    <w:rsid w:val="00BB6C0E"/>
    <w:rsid w:val="00BB6ECD"/>
    <w:rsid w:val="00BB7125"/>
    <w:rsid w:val="00BB739D"/>
    <w:rsid w:val="00BC2165"/>
    <w:rsid w:val="00BC570B"/>
    <w:rsid w:val="00BD2D2D"/>
    <w:rsid w:val="00BD2D3E"/>
    <w:rsid w:val="00BD3EF6"/>
    <w:rsid w:val="00BD4EE2"/>
    <w:rsid w:val="00BD771C"/>
    <w:rsid w:val="00BD7767"/>
    <w:rsid w:val="00BD78C1"/>
    <w:rsid w:val="00BD7ABC"/>
    <w:rsid w:val="00BD7F66"/>
    <w:rsid w:val="00BE0017"/>
    <w:rsid w:val="00BE2869"/>
    <w:rsid w:val="00BE4023"/>
    <w:rsid w:val="00BE435E"/>
    <w:rsid w:val="00BE7384"/>
    <w:rsid w:val="00BE7A43"/>
    <w:rsid w:val="00BF079E"/>
    <w:rsid w:val="00BF1672"/>
    <w:rsid w:val="00BF2A98"/>
    <w:rsid w:val="00BF2D2E"/>
    <w:rsid w:val="00BF329F"/>
    <w:rsid w:val="00BF34C4"/>
    <w:rsid w:val="00BF3A15"/>
    <w:rsid w:val="00BF3B7F"/>
    <w:rsid w:val="00BF43C7"/>
    <w:rsid w:val="00BF4E53"/>
    <w:rsid w:val="00BF5F23"/>
    <w:rsid w:val="00BF6F50"/>
    <w:rsid w:val="00BF7B01"/>
    <w:rsid w:val="00C01E83"/>
    <w:rsid w:val="00C03836"/>
    <w:rsid w:val="00C04518"/>
    <w:rsid w:val="00C0549D"/>
    <w:rsid w:val="00C05DB1"/>
    <w:rsid w:val="00C064C3"/>
    <w:rsid w:val="00C07BF2"/>
    <w:rsid w:val="00C114CA"/>
    <w:rsid w:val="00C117CD"/>
    <w:rsid w:val="00C1200A"/>
    <w:rsid w:val="00C14039"/>
    <w:rsid w:val="00C17623"/>
    <w:rsid w:val="00C17B3F"/>
    <w:rsid w:val="00C17E7A"/>
    <w:rsid w:val="00C20217"/>
    <w:rsid w:val="00C232D7"/>
    <w:rsid w:val="00C25FD5"/>
    <w:rsid w:val="00C26BDD"/>
    <w:rsid w:val="00C27656"/>
    <w:rsid w:val="00C27CB0"/>
    <w:rsid w:val="00C30EDF"/>
    <w:rsid w:val="00C329D4"/>
    <w:rsid w:val="00C33176"/>
    <w:rsid w:val="00C34D7B"/>
    <w:rsid w:val="00C37DED"/>
    <w:rsid w:val="00C4087C"/>
    <w:rsid w:val="00C41D7E"/>
    <w:rsid w:val="00C441ED"/>
    <w:rsid w:val="00C447A4"/>
    <w:rsid w:val="00C45CE7"/>
    <w:rsid w:val="00C4610B"/>
    <w:rsid w:val="00C461A3"/>
    <w:rsid w:val="00C4668C"/>
    <w:rsid w:val="00C51893"/>
    <w:rsid w:val="00C52FEA"/>
    <w:rsid w:val="00C54B06"/>
    <w:rsid w:val="00C54C57"/>
    <w:rsid w:val="00C54FEF"/>
    <w:rsid w:val="00C55283"/>
    <w:rsid w:val="00C55926"/>
    <w:rsid w:val="00C56073"/>
    <w:rsid w:val="00C56117"/>
    <w:rsid w:val="00C60664"/>
    <w:rsid w:val="00C61E64"/>
    <w:rsid w:val="00C62DCE"/>
    <w:rsid w:val="00C6342D"/>
    <w:rsid w:val="00C63C77"/>
    <w:rsid w:val="00C63EC8"/>
    <w:rsid w:val="00C6517D"/>
    <w:rsid w:val="00C65316"/>
    <w:rsid w:val="00C66202"/>
    <w:rsid w:val="00C66FBA"/>
    <w:rsid w:val="00C67FEA"/>
    <w:rsid w:val="00C7025C"/>
    <w:rsid w:val="00C7074F"/>
    <w:rsid w:val="00C7092D"/>
    <w:rsid w:val="00C71930"/>
    <w:rsid w:val="00C71EA7"/>
    <w:rsid w:val="00C72941"/>
    <w:rsid w:val="00C73570"/>
    <w:rsid w:val="00C753D2"/>
    <w:rsid w:val="00C754DC"/>
    <w:rsid w:val="00C75924"/>
    <w:rsid w:val="00C7623B"/>
    <w:rsid w:val="00C76F21"/>
    <w:rsid w:val="00C77734"/>
    <w:rsid w:val="00C81005"/>
    <w:rsid w:val="00C829A4"/>
    <w:rsid w:val="00C83030"/>
    <w:rsid w:val="00C8484D"/>
    <w:rsid w:val="00C85B5F"/>
    <w:rsid w:val="00C85D2F"/>
    <w:rsid w:val="00C86F2A"/>
    <w:rsid w:val="00C8746C"/>
    <w:rsid w:val="00C87EAF"/>
    <w:rsid w:val="00C90382"/>
    <w:rsid w:val="00C909A2"/>
    <w:rsid w:val="00C90B83"/>
    <w:rsid w:val="00C9118C"/>
    <w:rsid w:val="00C921BC"/>
    <w:rsid w:val="00C92C20"/>
    <w:rsid w:val="00C94E36"/>
    <w:rsid w:val="00C95944"/>
    <w:rsid w:val="00C9598F"/>
    <w:rsid w:val="00C9621B"/>
    <w:rsid w:val="00C9697C"/>
    <w:rsid w:val="00C96B6D"/>
    <w:rsid w:val="00CA05D0"/>
    <w:rsid w:val="00CA0C47"/>
    <w:rsid w:val="00CA2795"/>
    <w:rsid w:val="00CA2FFB"/>
    <w:rsid w:val="00CA5035"/>
    <w:rsid w:val="00CA503E"/>
    <w:rsid w:val="00CA5504"/>
    <w:rsid w:val="00CA5971"/>
    <w:rsid w:val="00CA6774"/>
    <w:rsid w:val="00CA6C69"/>
    <w:rsid w:val="00CA6DA2"/>
    <w:rsid w:val="00CB1BD4"/>
    <w:rsid w:val="00CB4C95"/>
    <w:rsid w:val="00CB4ED1"/>
    <w:rsid w:val="00CB5BAA"/>
    <w:rsid w:val="00CB5EC6"/>
    <w:rsid w:val="00CB617C"/>
    <w:rsid w:val="00CB6C9B"/>
    <w:rsid w:val="00CB6E42"/>
    <w:rsid w:val="00CC011A"/>
    <w:rsid w:val="00CC0CD4"/>
    <w:rsid w:val="00CC3575"/>
    <w:rsid w:val="00CC398A"/>
    <w:rsid w:val="00CC3EE6"/>
    <w:rsid w:val="00CC4358"/>
    <w:rsid w:val="00CC46E7"/>
    <w:rsid w:val="00CC4750"/>
    <w:rsid w:val="00CC559C"/>
    <w:rsid w:val="00CC56B6"/>
    <w:rsid w:val="00CC6D3C"/>
    <w:rsid w:val="00CD03B0"/>
    <w:rsid w:val="00CD1470"/>
    <w:rsid w:val="00CD2EFC"/>
    <w:rsid w:val="00CD385A"/>
    <w:rsid w:val="00CD3D85"/>
    <w:rsid w:val="00CD3F15"/>
    <w:rsid w:val="00CD430C"/>
    <w:rsid w:val="00CD46EE"/>
    <w:rsid w:val="00CD4E69"/>
    <w:rsid w:val="00CD58ED"/>
    <w:rsid w:val="00CD603B"/>
    <w:rsid w:val="00CD7CF8"/>
    <w:rsid w:val="00CE0036"/>
    <w:rsid w:val="00CE035A"/>
    <w:rsid w:val="00CE12B5"/>
    <w:rsid w:val="00CE19DE"/>
    <w:rsid w:val="00CE2169"/>
    <w:rsid w:val="00CE23E4"/>
    <w:rsid w:val="00CE27A4"/>
    <w:rsid w:val="00CE42C1"/>
    <w:rsid w:val="00CE5033"/>
    <w:rsid w:val="00CE5040"/>
    <w:rsid w:val="00CE5BC9"/>
    <w:rsid w:val="00CF230E"/>
    <w:rsid w:val="00CF2C34"/>
    <w:rsid w:val="00CF326E"/>
    <w:rsid w:val="00CF426D"/>
    <w:rsid w:val="00CF4463"/>
    <w:rsid w:val="00CF54FB"/>
    <w:rsid w:val="00CF6952"/>
    <w:rsid w:val="00D009E2"/>
    <w:rsid w:val="00D01ECA"/>
    <w:rsid w:val="00D03C5E"/>
    <w:rsid w:val="00D05613"/>
    <w:rsid w:val="00D06719"/>
    <w:rsid w:val="00D06FD8"/>
    <w:rsid w:val="00D078F0"/>
    <w:rsid w:val="00D10732"/>
    <w:rsid w:val="00D1222D"/>
    <w:rsid w:val="00D12B73"/>
    <w:rsid w:val="00D134F0"/>
    <w:rsid w:val="00D13756"/>
    <w:rsid w:val="00D148D4"/>
    <w:rsid w:val="00D169D6"/>
    <w:rsid w:val="00D16F48"/>
    <w:rsid w:val="00D170ED"/>
    <w:rsid w:val="00D2045E"/>
    <w:rsid w:val="00D21314"/>
    <w:rsid w:val="00D24C2D"/>
    <w:rsid w:val="00D26480"/>
    <w:rsid w:val="00D264E6"/>
    <w:rsid w:val="00D2686B"/>
    <w:rsid w:val="00D26A2D"/>
    <w:rsid w:val="00D26C78"/>
    <w:rsid w:val="00D27F5C"/>
    <w:rsid w:val="00D31933"/>
    <w:rsid w:val="00D332B7"/>
    <w:rsid w:val="00D3623A"/>
    <w:rsid w:val="00D41789"/>
    <w:rsid w:val="00D42982"/>
    <w:rsid w:val="00D430D0"/>
    <w:rsid w:val="00D443F3"/>
    <w:rsid w:val="00D44B9E"/>
    <w:rsid w:val="00D45FFC"/>
    <w:rsid w:val="00D46345"/>
    <w:rsid w:val="00D4685B"/>
    <w:rsid w:val="00D50757"/>
    <w:rsid w:val="00D52681"/>
    <w:rsid w:val="00D5283F"/>
    <w:rsid w:val="00D5294E"/>
    <w:rsid w:val="00D5422C"/>
    <w:rsid w:val="00D54B47"/>
    <w:rsid w:val="00D5501A"/>
    <w:rsid w:val="00D55497"/>
    <w:rsid w:val="00D55579"/>
    <w:rsid w:val="00D55890"/>
    <w:rsid w:val="00D55935"/>
    <w:rsid w:val="00D60C3B"/>
    <w:rsid w:val="00D60C75"/>
    <w:rsid w:val="00D611D4"/>
    <w:rsid w:val="00D61F24"/>
    <w:rsid w:val="00D62BFE"/>
    <w:rsid w:val="00D63585"/>
    <w:rsid w:val="00D64463"/>
    <w:rsid w:val="00D64E89"/>
    <w:rsid w:val="00D6704D"/>
    <w:rsid w:val="00D707C7"/>
    <w:rsid w:val="00D7210E"/>
    <w:rsid w:val="00D7297F"/>
    <w:rsid w:val="00D80FFA"/>
    <w:rsid w:val="00D81201"/>
    <w:rsid w:val="00D84366"/>
    <w:rsid w:val="00D853FB"/>
    <w:rsid w:val="00D856AC"/>
    <w:rsid w:val="00D8574F"/>
    <w:rsid w:val="00D85762"/>
    <w:rsid w:val="00D86166"/>
    <w:rsid w:val="00D901E2"/>
    <w:rsid w:val="00D90260"/>
    <w:rsid w:val="00D9162E"/>
    <w:rsid w:val="00D91950"/>
    <w:rsid w:val="00D91C2F"/>
    <w:rsid w:val="00D92DAE"/>
    <w:rsid w:val="00D944D5"/>
    <w:rsid w:val="00D95645"/>
    <w:rsid w:val="00D96146"/>
    <w:rsid w:val="00D96204"/>
    <w:rsid w:val="00D96460"/>
    <w:rsid w:val="00D975B9"/>
    <w:rsid w:val="00D97F33"/>
    <w:rsid w:val="00DA20A9"/>
    <w:rsid w:val="00DA29B7"/>
    <w:rsid w:val="00DA29F9"/>
    <w:rsid w:val="00DA2DC9"/>
    <w:rsid w:val="00DA36B0"/>
    <w:rsid w:val="00DA416E"/>
    <w:rsid w:val="00DA4257"/>
    <w:rsid w:val="00DA7BF5"/>
    <w:rsid w:val="00DB15C1"/>
    <w:rsid w:val="00DB26B4"/>
    <w:rsid w:val="00DB2B24"/>
    <w:rsid w:val="00DB4C8C"/>
    <w:rsid w:val="00DB622E"/>
    <w:rsid w:val="00DB6AE3"/>
    <w:rsid w:val="00DC026E"/>
    <w:rsid w:val="00DC09CF"/>
    <w:rsid w:val="00DC0AE8"/>
    <w:rsid w:val="00DC23C6"/>
    <w:rsid w:val="00DC2EBA"/>
    <w:rsid w:val="00DC5FE3"/>
    <w:rsid w:val="00DC6A53"/>
    <w:rsid w:val="00DC6B64"/>
    <w:rsid w:val="00DC763A"/>
    <w:rsid w:val="00DC7CA1"/>
    <w:rsid w:val="00DD08FF"/>
    <w:rsid w:val="00DD0A6B"/>
    <w:rsid w:val="00DD1145"/>
    <w:rsid w:val="00DD1922"/>
    <w:rsid w:val="00DD23D4"/>
    <w:rsid w:val="00DD2BA4"/>
    <w:rsid w:val="00DD2BCE"/>
    <w:rsid w:val="00DD2E28"/>
    <w:rsid w:val="00DD32D3"/>
    <w:rsid w:val="00DD3637"/>
    <w:rsid w:val="00DD4B89"/>
    <w:rsid w:val="00DD5667"/>
    <w:rsid w:val="00DD5C46"/>
    <w:rsid w:val="00DD5D33"/>
    <w:rsid w:val="00DD6CB3"/>
    <w:rsid w:val="00DD73B0"/>
    <w:rsid w:val="00DD7695"/>
    <w:rsid w:val="00DE1BC0"/>
    <w:rsid w:val="00DE493B"/>
    <w:rsid w:val="00DE5733"/>
    <w:rsid w:val="00DE5893"/>
    <w:rsid w:val="00DE59E1"/>
    <w:rsid w:val="00DE5DD6"/>
    <w:rsid w:val="00DE72F1"/>
    <w:rsid w:val="00DE7EFF"/>
    <w:rsid w:val="00DF128A"/>
    <w:rsid w:val="00DF35AC"/>
    <w:rsid w:val="00DF4065"/>
    <w:rsid w:val="00DF42A9"/>
    <w:rsid w:val="00DF42DF"/>
    <w:rsid w:val="00DF488B"/>
    <w:rsid w:val="00DF4A3D"/>
    <w:rsid w:val="00E00206"/>
    <w:rsid w:val="00E01B61"/>
    <w:rsid w:val="00E0234E"/>
    <w:rsid w:val="00E02B88"/>
    <w:rsid w:val="00E02E70"/>
    <w:rsid w:val="00E03849"/>
    <w:rsid w:val="00E04DFB"/>
    <w:rsid w:val="00E07421"/>
    <w:rsid w:val="00E11C99"/>
    <w:rsid w:val="00E13957"/>
    <w:rsid w:val="00E1531D"/>
    <w:rsid w:val="00E159DF"/>
    <w:rsid w:val="00E162C6"/>
    <w:rsid w:val="00E173DC"/>
    <w:rsid w:val="00E17E84"/>
    <w:rsid w:val="00E203DF"/>
    <w:rsid w:val="00E20465"/>
    <w:rsid w:val="00E204DB"/>
    <w:rsid w:val="00E23A9F"/>
    <w:rsid w:val="00E2609E"/>
    <w:rsid w:val="00E2667F"/>
    <w:rsid w:val="00E27F25"/>
    <w:rsid w:val="00E27F9E"/>
    <w:rsid w:val="00E32248"/>
    <w:rsid w:val="00E324A5"/>
    <w:rsid w:val="00E3283E"/>
    <w:rsid w:val="00E3303F"/>
    <w:rsid w:val="00E331A6"/>
    <w:rsid w:val="00E332F2"/>
    <w:rsid w:val="00E33538"/>
    <w:rsid w:val="00E37425"/>
    <w:rsid w:val="00E37561"/>
    <w:rsid w:val="00E41862"/>
    <w:rsid w:val="00E41C93"/>
    <w:rsid w:val="00E41E85"/>
    <w:rsid w:val="00E41ECB"/>
    <w:rsid w:val="00E437CB"/>
    <w:rsid w:val="00E43CC1"/>
    <w:rsid w:val="00E447F0"/>
    <w:rsid w:val="00E455D7"/>
    <w:rsid w:val="00E4616E"/>
    <w:rsid w:val="00E46961"/>
    <w:rsid w:val="00E46A59"/>
    <w:rsid w:val="00E4743E"/>
    <w:rsid w:val="00E50A6E"/>
    <w:rsid w:val="00E51C6D"/>
    <w:rsid w:val="00E5213A"/>
    <w:rsid w:val="00E5518E"/>
    <w:rsid w:val="00E570B2"/>
    <w:rsid w:val="00E57801"/>
    <w:rsid w:val="00E602C1"/>
    <w:rsid w:val="00E602DB"/>
    <w:rsid w:val="00E60E9B"/>
    <w:rsid w:val="00E6152C"/>
    <w:rsid w:val="00E63BA6"/>
    <w:rsid w:val="00E64F14"/>
    <w:rsid w:val="00E657E3"/>
    <w:rsid w:val="00E65828"/>
    <w:rsid w:val="00E670F7"/>
    <w:rsid w:val="00E673D2"/>
    <w:rsid w:val="00E67A35"/>
    <w:rsid w:val="00E67A6F"/>
    <w:rsid w:val="00E67DE8"/>
    <w:rsid w:val="00E67F01"/>
    <w:rsid w:val="00E70AD8"/>
    <w:rsid w:val="00E72110"/>
    <w:rsid w:val="00E732E7"/>
    <w:rsid w:val="00E74F12"/>
    <w:rsid w:val="00E82BAF"/>
    <w:rsid w:val="00E836E3"/>
    <w:rsid w:val="00E84032"/>
    <w:rsid w:val="00E90CD8"/>
    <w:rsid w:val="00E9134D"/>
    <w:rsid w:val="00E92576"/>
    <w:rsid w:val="00E92810"/>
    <w:rsid w:val="00E962FB"/>
    <w:rsid w:val="00E96306"/>
    <w:rsid w:val="00EA21D9"/>
    <w:rsid w:val="00EA2729"/>
    <w:rsid w:val="00EA3793"/>
    <w:rsid w:val="00EA396D"/>
    <w:rsid w:val="00EA4FB2"/>
    <w:rsid w:val="00EA5766"/>
    <w:rsid w:val="00EA673E"/>
    <w:rsid w:val="00EA6A6D"/>
    <w:rsid w:val="00EA7C9F"/>
    <w:rsid w:val="00EB2B01"/>
    <w:rsid w:val="00EB3746"/>
    <w:rsid w:val="00EB529C"/>
    <w:rsid w:val="00EB67F6"/>
    <w:rsid w:val="00EB6E05"/>
    <w:rsid w:val="00EB7ADD"/>
    <w:rsid w:val="00EC2005"/>
    <w:rsid w:val="00EC3556"/>
    <w:rsid w:val="00EC6775"/>
    <w:rsid w:val="00EC77F2"/>
    <w:rsid w:val="00EC7B64"/>
    <w:rsid w:val="00ED060A"/>
    <w:rsid w:val="00ED35C2"/>
    <w:rsid w:val="00ED3CBE"/>
    <w:rsid w:val="00ED472F"/>
    <w:rsid w:val="00ED4E09"/>
    <w:rsid w:val="00ED711B"/>
    <w:rsid w:val="00ED7714"/>
    <w:rsid w:val="00EE0310"/>
    <w:rsid w:val="00EE085B"/>
    <w:rsid w:val="00EE1542"/>
    <w:rsid w:val="00EE240C"/>
    <w:rsid w:val="00EE3666"/>
    <w:rsid w:val="00EE443D"/>
    <w:rsid w:val="00EE6EE6"/>
    <w:rsid w:val="00EE7303"/>
    <w:rsid w:val="00EF1621"/>
    <w:rsid w:val="00EF2E74"/>
    <w:rsid w:val="00EF48B2"/>
    <w:rsid w:val="00EF58E5"/>
    <w:rsid w:val="00EF5AB0"/>
    <w:rsid w:val="00EF5BEE"/>
    <w:rsid w:val="00EF5C27"/>
    <w:rsid w:val="00EF79AA"/>
    <w:rsid w:val="00EF7B03"/>
    <w:rsid w:val="00F00EB5"/>
    <w:rsid w:val="00F02CC5"/>
    <w:rsid w:val="00F03F78"/>
    <w:rsid w:val="00F04165"/>
    <w:rsid w:val="00F041DD"/>
    <w:rsid w:val="00F04CB3"/>
    <w:rsid w:val="00F0692B"/>
    <w:rsid w:val="00F070C9"/>
    <w:rsid w:val="00F07395"/>
    <w:rsid w:val="00F10B98"/>
    <w:rsid w:val="00F112E5"/>
    <w:rsid w:val="00F11456"/>
    <w:rsid w:val="00F11DB5"/>
    <w:rsid w:val="00F129FC"/>
    <w:rsid w:val="00F12B41"/>
    <w:rsid w:val="00F1360C"/>
    <w:rsid w:val="00F13782"/>
    <w:rsid w:val="00F142A0"/>
    <w:rsid w:val="00F15BDA"/>
    <w:rsid w:val="00F15D07"/>
    <w:rsid w:val="00F15E4C"/>
    <w:rsid w:val="00F1650C"/>
    <w:rsid w:val="00F16B00"/>
    <w:rsid w:val="00F17222"/>
    <w:rsid w:val="00F209DE"/>
    <w:rsid w:val="00F212DD"/>
    <w:rsid w:val="00F2167A"/>
    <w:rsid w:val="00F21930"/>
    <w:rsid w:val="00F21F3A"/>
    <w:rsid w:val="00F22061"/>
    <w:rsid w:val="00F22C03"/>
    <w:rsid w:val="00F23476"/>
    <w:rsid w:val="00F26270"/>
    <w:rsid w:val="00F265E0"/>
    <w:rsid w:val="00F31138"/>
    <w:rsid w:val="00F317A9"/>
    <w:rsid w:val="00F329BD"/>
    <w:rsid w:val="00F34114"/>
    <w:rsid w:val="00F356FA"/>
    <w:rsid w:val="00F36747"/>
    <w:rsid w:val="00F3736F"/>
    <w:rsid w:val="00F374AB"/>
    <w:rsid w:val="00F41A1D"/>
    <w:rsid w:val="00F4311D"/>
    <w:rsid w:val="00F43C76"/>
    <w:rsid w:val="00F4667D"/>
    <w:rsid w:val="00F46D7C"/>
    <w:rsid w:val="00F47EF5"/>
    <w:rsid w:val="00F52BFD"/>
    <w:rsid w:val="00F55543"/>
    <w:rsid w:val="00F55B90"/>
    <w:rsid w:val="00F5600C"/>
    <w:rsid w:val="00F563BB"/>
    <w:rsid w:val="00F60411"/>
    <w:rsid w:val="00F61DFD"/>
    <w:rsid w:val="00F62639"/>
    <w:rsid w:val="00F63409"/>
    <w:rsid w:val="00F646F2"/>
    <w:rsid w:val="00F64791"/>
    <w:rsid w:val="00F65504"/>
    <w:rsid w:val="00F6593F"/>
    <w:rsid w:val="00F65B4B"/>
    <w:rsid w:val="00F66C4F"/>
    <w:rsid w:val="00F67770"/>
    <w:rsid w:val="00F71927"/>
    <w:rsid w:val="00F72E30"/>
    <w:rsid w:val="00F72EDB"/>
    <w:rsid w:val="00F73436"/>
    <w:rsid w:val="00F736F8"/>
    <w:rsid w:val="00F7495A"/>
    <w:rsid w:val="00F7549E"/>
    <w:rsid w:val="00F7653C"/>
    <w:rsid w:val="00F818DE"/>
    <w:rsid w:val="00F83934"/>
    <w:rsid w:val="00F83BE1"/>
    <w:rsid w:val="00F84DAF"/>
    <w:rsid w:val="00F85729"/>
    <w:rsid w:val="00F85944"/>
    <w:rsid w:val="00F87567"/>
    <w:rsid w:val="00F8756E"/>
    <w:rsid w:val="00F87AAE"/>
    <w:rsid w:val="00F87EAC"/>
    <w:rsid w:val="00F90E42"/>
    <w:rsid w:val="00F911DC"/>
    <w:rsid w:val="00F93835"/>
    <w:rsid w:val="00F94977"/>
    <w:rsid w:val="00F955C9"/>
    <w:rsid w:val="00F9636C"/>
    <w:rsid w:val="00F965BF"/>
    <w:rsid w:val="00F97FEB"/>
    <w:rsid w:val="00FA176B"/>
    <w:rsid w:val="00FA3527"/>
    <w:rsid w:val="00FA4878"/>
    <w:rsid w:val="00FA6E96"/>
    <w:rsid w:val="00FA7B2A"/>
    <w:rsid w:val="00FB0D34"/>
    <w:rsid w:val="00FB1061"/>
    <w:rsid w:val="00FB2F4F"/>
    <w:rsid w:val="00FB5181"/>
    <w:rsid w:val="00FB544C"/>
    <w:rsid w:val="00FB5F3A"/>
    <w:rsid w:val="00FB7CC2"/>
    <w:rsid w:val="00FC0D2F"/>
    <w:rsid w:val="00FC123C"/>
    <w:rsid w:val="00FC2205"/>
    <w:rsid w:val="00FC26D8"/>
    <w:rsid w:val="00FC28CF"/>
    <w:rsid w:val="00FC4A9A"/>
    <w:rsid w:val="00FC6FA5"/>
    <w:rsid w:val="00FC7568"/>
    <w:rsid w:val="00FD18B4"/>
    <w:rsid w:val="00FD25D1"/>
    <w:rsid w:val="00FD4382"/>
    <w:rsid w:val="00FD449F"/>
    <w:rsid w:val="00FD570D"/>
    <w:rsid w:val="00FD6DE4"/>
    <w:rsid w:val="00FE011B"/>
    <w:rsid w:val="00FE2292"/>
    <w:rsid w:val="00FE258C"/>
    <w:rsid w:val="00FE2AE1"/>
    <w:rsid w:val="00FE526C"/>
    <w:rsid w:val="00FE6206"/>
    <w:rsid w:val="00FE6463"/>
    <w:rsid w:val="00FE6DAF"/>
    <w:rsid w:val="00FE6DF1"/>
    <w:rsid w:val="00FE7935"/>
    <w:rsid w:val="00FF06BA"/>
    <w:rsid w:val="00FF1448"/>
    <w:rsid w:val="00FF52A9"/>
    <w:rsid w:val="02CF9DD6"/>
    <w:rsid w:val="0C08BD4B"/>
    <w:rsid w:val="151849EE"/>
    <w:rsid w:val="312E5142"/>
    <w:rsid w:val="3C311938"/>
    <w:rsid w:val="4CDEF7A8"/>
    <w:rsid w:val="6476F90B"/>
    <w:rsid w:val="7DDB22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0B05510"/>
  <w15:chartTrackingRefBased/>
  <w15:docId w15:val="{C982417C-EEA4-4928-AF71-628A6810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iPriority="2" w:unhideWhenUsed="1" w:qFormat="1"/>
    <w:lsdException w:name="Body Text Indent 3" w:semiHidden="1" w:uiPriority="2" w:unhideWhenUsed="1" w:qFormat="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5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79B2"/>
    <w:pPr>
      <w:spacing w:before="240" w:after="120"/>
      <w:jc w:val="both"/>
    </w:pPr>
    <w:rPr>
      <w:sz w:val="21"/>
      <w:szCs w:val="21"/>
      <w:lang w:val="en-IE" w:eastAsia="en-US"/>
    </w:rPr>
  </w:style>
  <w:style w:type="paragraph" w:styleId="Heading1">
    <w:name w:val="heading 1"/>
    <w:basedOn w:val="Normal"/>
    <w:next w:val="Normal"/>
    <w:link w:val="Heading1Char"/>
    <w:uiPriority w:val="9"/>
    <w:qFormat/>
    <w:rsid w:val="005251D9"/>
    <w:pPr>
      <w:keepNext/>
      <w:spacing w:before="120"/>
      <w:outlineLvl w:val="0"/>
    </w:pPr>
    <w:rPr>
      <w:rFonts w:cs="Arial"/>
      <w:b/>
      <w:bCs/>
      <w:sz w:val="22"/>
      <w:szCs w:val="32"/>
    </w:rPr>
  </w:style>
  <w:style w:type="paragraph" w:styleId="Heading2">
    <w:name w:val="heading 2"/>
    <w:aliases w:val="HR2,Reset numbering,Heading 2 Schedule Sub Title,Lev 2,RR level 2,h2,headi,heading2,h21,h22,21,Heading Two,1.1 Heading 2,Prophead 2,H2,h211,h23,h212,h24,h213,h221,h2111,h231,h2121,heading 2,paragraaf titel,lev2,Outline2,HD2,PIP Head 2,Clause"/>
    <w:basedOn w:val="Normal"/>
    <w:next w:val="Normal"/>
    <w:link w:val="Heading2Char"/>
    <w:uiPriority w:val="9"/>
    <w:qFormat/>
    <w:rsid w:val="005251D9"/>
    <w:pPr>
      <w:keepNext/>
      <w:spacing w:before="120"/>
      <w:outlineLvl w:val="1"/>
    </w:pPr>
    <w:rPr>
      <w:rFonts w:cs="Arial"/>
      <w:bCs/>
      <w:iCs/>
      <w:szCs w:val="28"/>
      <w:u w:val="single"/>
    </w:rPr>
  </w:style>
  <w:style w:type="paragraph" w:styleId="Heading3">
    <w:name w:val="heading 3"/>
    <w:aliases w:val="Lev 3,h3,heading 3,(Alt+3),(Alt+3)1,(Alt+3)2,(Alt+3)3,(Alt+3)4,(Alt+3)5,(Alt+3)6,(Alt+3)11,(Alt+3)21,(Alt+3)31,(Alt+3)41,(Alt+3)7,(Alt+3)12,(Alt+3)22,(Alt+3)32,(Alt+3)42,(Alt+3)8,(Alt+3)9,(Alt+3)10,(Alt+3)13,(Alt+3)23,(Alt+3)33,(Alt+3)43,3"/>
    <w:basedOn w:val="Normal"/>
    <w:next w:val="Normal"/>
    <w:link w:val="Heading3Char"/>
    <w:uiPriority w:val="9"/>
    <w:qFormat/>
    <w:rsid w:val="005251D9"/>
    <w:pPr>
      <w:keepNext/>
      <w:spacing w:before="120"/>
      <w:outlineLvl w:val="2"/>
    </w:pPr>
    <w:rPr>
      <w:rFonts w:cs="Arial"/>
      <w:bCs/>
      <w:i/>
      <w:szCs w:val="26"/>
    </w:rPr>
  </w:style>
  <w:style w:type="paragraph" w:styleId="Heading4">
    <w:name w:val="heading 4"/>
    <w:aliases w:val="Lev 4,h4,H41,H42,H43,H44,H45,H46,H47,H48,H49,H410,H411,H421,H431,H441,H451,H461,H471,H481,H491,H4101,H412,H413,H414,H415,H416,H417,H418,H419,H420,H422,H423,H4110,H432,H442,H452,H462,H472,H482,H492,H4102,H4111,H4121,H4131,H4141,H4151,H4161"/>
    <w:basedOn w:val="Normal"/>
    <w:next w:val="Normal"/>
    <w:link w:val="Heading4Char"/>
    <w:uiPriority w:val="9"/>
    <w:qFormat/>
    <w:rsid w:val="005251D9"/>
    <w:pPr>
      <w:spacing w:before="120"/>
      <w:ind w:left="720" w:right="720"/>
      <w:outlineLvl w:val="3"/>
    </w:pPr>
    <w:rPr>
      <w:bCs/>
      <w:i/>
      <w:szCs w:val="28"/>
    </w:rPr>
  </w:style>
  <w:style w:type="paragraph" w:styleId="Heading5">
    <w:name w:val="heading 5"/>
    <w:aliases w:val="h5,test,Lev 5,H5,Level 3 - i"/>
    <w:basedOn w:val="Normal"/>
    <w:next w:val="Normal"/>
    <w:link w:val="Heading5Char"/>
    <w:uiPriority w:val="9"/>
    <w:qFormat/>
    <w:rsid w:val="005251D9"/>
    <w:pPr>
      <w:spacing w:after="60"/>
      <w:outlineLvl w:val="4"/>
    </w:pPr>
    <w:rPr>
      <w:b/>
      <w:bCs/>
      <w:i/>
      <w:iCs/>
      <w:sz w:val="26"/>
      <w:szCs w:val="26"/>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link w:val="Heading6Char"/>
    <w:qFormat/>
    <w:rsid w:val="005251D9"/>
    <w:pPr>
      <w:spacing w:after="60"/>
      <w:outlineLvl w:val="5"/>
    </w:pPr>
    <w:rPr>
      <w:rFonts w:ascii="Times New Roman" w:hAnsi="Times New Roman"/>
      <w:b/>
      <w:bCs/>
      <w:sz w:val="22"/>
      <w:szCs w:val="22"/>
    </w:rPr>
  </w:style>
  <w:style w:type="paragraph" w:styleId="Heading7">
    <w:name w:val="heading 7"/>
    <w:aliases w:val="h7"/>
    <w:basedOn w:val="Normal"/>
    <w:next w:val="Normal"/>
    <w:link w:val="Heading7Char"/>
    <w:uiPriority w:val="9"/>
    <w:qFormat/>
    <w:rsid w:val="005251D9"/>
    <w:pPr>
      <w:spacing w:after="60"/>
      <w:outlineLvl w:val="6"/>
    </w:pPr>
    <w:rPr>
      <w:rFonts w:ascii="Times New Roman" w:hAnsi="Times New Roman"/>
      <w:sz w:val="24"/>
    </w:rPr>
  </w:style>
  <w:style w:type="paragraph" w:styleId="Heading8">
    <w:name w:val="heading 8"/>
    <w:aliases w:val="h8"/>
    <w:basedOn w:val="Normal"/>
    <w:next w:val="Normal"/>
    <w:link w:val="Heading8Char"/>
    <w:uiPriority w:val="9"/>
    <w:qFormat/>
    <w:rsid w:val="005251D9"/>
    <w:pPr>
      <w:spacing w:after="60"/>
      <w:outlineLvl w:val="7"/>
    </w:pPr>
    <w:rPr>
      <w:rFonts w:ascii="Times New Roman" w:hAnsi="Times New Roman"/>
      <w:i/>
      <w:iCs/>
      <w:sz w:val="24"/>
    </w:rPr>
  </w:style>
  <w:style w:type="paragraph" w:styleId="Heading9">
    <w:name w:val="heading 9"/>
    <w:basedOn w:val="Normal"/>
    <w:next w:val="Normal"/>
    <w:link w:val="Heading9Char"/>
    <w:uiPriority w:val="9"/>
    <w:semiHidden/>
    <w:qFormat/>
    <w:rsid w:val="005251D9"/>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9"/>
    <w:qFormat/>
    <w:rsid w:val="00564666"/>
    <w:pPr>
      <w:keepNext/>
      <w:numPr>
        <w:numId w:val="7"/>
      </w:numPr>
      <w:outlineLvl w:val="0"/>
    </w:pPr>
    <w:rPr>
      <w:rFonts w:ascii="Arial Bold" w:hAnsi="Arial Bold"/>
      <w:b/>
      <w:sz w:val="22"/>
      <w:lang w:val="en-GB" w:eastAsia="en-IE"/>
    </w:rPr>
  </w:style>
  <w:style w:type="paragraph" w:customStyle="1" w:styleId="Agreement2">
    <w:name w:val="Agreement 2"/>
    <w:aliases w:val="A2"/>
    <w:basedOn w:val="Normal"/>
    <w:uiPriority w:val="19"/>
    <w:qFormat/>
    <w:rsid w:val="00564666"/>
    <w:pPr>
      <w:numPr>
        <w:ilvl w:val="1"/>
        <w:numId w:val="7"/>
      </w:numPr>
      <w:outlineLvl w:val="1"/>
    </w:pPr>
    <w:rPr>
      <w:lang w:val="en-GB" w:eastAsia="en-IE"/>
    </w:rPr>
  </w:style>
  <w:style w:type="paragraph" w:customStyle="1" w:styleId="Agreement3">
    <w:name w:val="Agreement 3"/>
    <w:aliases w:val="A3"/>
    <w:basedOn w:val="Normal"/>
    <w:uiPriority w:val="19"/>
    <w:qFormat/>
    <w:rsid w:val="00564666"/>
    <w:pPr>
      <w:numPr>
        <w:ilvl w:val="2"/>
        <w:numId w:val="7"/>
      </w:numPr>
      <w:outlineLvl w:val="2"/>
    </w:pPr>
    <w:rPr>
      <w:lang w:val="en-GB" w:eastAsia="en-IE"/>
    </w:rPr>
  </w:style>
  <w:style w:type="paragraph" w:customStyle="1" w:styleId="Agreement4">
    <w:name w:val="Agreement 4"/>
    <w:aliases w:val="A4"/>
    <w:basedOn w:val="Normal"/>
    <w:uiPriority w:val="19"/>
    <w:qFormat/>
    <w:rsid w:val="00564666"/>
    <w:pPr>
      <w:numPr>
        <w:ilvl w:val="3"/>
        <w:numId w:val="7"/>
      </w:numPr>
      <w:outlineLvl w:val="3"/>
    </w:pPr>
    <w:rPr>
      <w:lang w:val="en-GB" w:eastAsia="en-IE"/>
    </w:rPr>
  </w:style>
  <w:style w:type="paragraph" w:customStyle="1" w:styleId="Agreement5">
    <w:name w:val="Agreement 5"/>
    <w:aliases w:val="A5"/>
    <w:basedOn w:val="Normal"/>
    <w:uiPriority w:val="19"/>
    <w:qFormat/>
    <w:rsid w:val="00564666"/>
    <w:pPr>
      <w:numPr>
        <w:ilvl w:val="4"/>
        <w:numId w:val="7"/>
      </w:numPr>
      <w:outlineLvl w:val="4"/>
    </w:pPr>
    <w:rPr>
      <w:lang w:val="en-GB" w:eastAsia="en-IE"/>
    </w:rPr>
  </w:style>
  <w:style w:type="paragraph" w:styleId="BodyTextIndent2">
    <w:name w:val="Body Text Indent 2"/>
    <w:aliases w:val="BTI2"/>
    <w:basedOn w:val="Normal"/>
    <w:link w:val="BodyTextIndent2Char"/>
    <w:uiPriority w:val="2"/>
    <w:qFormat/>
    <w:rsid w:val="00564666"/>
    <w:pPr>
      <w:spacing w:before="120"/>
      <w:ind w:left="1440"/>
    </w:pPr>
    <w:rPr>
      <w:lang w:val="en-GB" w:eastAsia="en-GB"/>
    </w:rPr>
  </w:style>
  <w:style w:type="character" w:customStyle="1" w:styleId="BodyTextIndent2Char">
    <w:name w:val="Body Text Indent 2 Char"/>
    <w:aliases w:val="BTI2 Char"/>
    <w:link w:val="BodyTextIndent2"/>
    <w:uiPriority w:val="2"/>
    <w:rsid w:val="00B47E60"/>
    <w:rPr>
      <w:rFonts w:eastAsia="Calibri" w:cs="Times New Roman"/>
      <w:lang w:val="en-GB" w:eastAsia="en-GB"/>
    </w:rPr>
  </w:style>
  <w:style w:type="paragraph" w:styleId="BodyTextIndent3">
    <w:name w:val="Body Text Indent 3"/>
    <w:aliases w:val="BTI3"/>
    <w:basedOn w:val="Normal"/>
    <w:link w:val="BodyTextIndent3Char"/>
    <w:uiPriority w:val="2"/>
    <w:qFormat/>
    <w:rsid w:val="00564666"/>
    <w:pPr>
      <w:spacing w:before="120"/>
      <w:ind w:left="2160"/>
    </w:pPr>
    <w:rPr>
      <w:szCs w:val="16"/>
      <w:lang w:val="en-GB" w:eastAsia="en-GB"/>
    </w:rPr>
  </w:style>
  <w:style w:type="character" w:customStyle="1" w:styleId="BodyTextIndent3Char">
    <w:name w:val="Body Text Indent 3 Char"/>
    <w:aliases w:val="BTI3 Char"/>
    <w:link w:val="BodyTextIndent3"/>
    <w:uiPriority w:val="2"/>
    <w:rsid w:val="00B47E60"/>
    <w:rPr>
      <w:rFonts w:eastAsia="Calibri" w:cs="Times New Roman"/>
      <w:szCs w:val="16"/>
      <w:lang w:val="en-GB" w:eastAsia="en-GB"/>
    </w:rPr>
  </w:style>
  <w:style w:type="paragraph" w:customStyle="1" w:styleId="BodyTextIndent4">
    <w:name w:val="Body Text Indent 4"/>
    <w:aliases w:val="BTI4"/>
    <w:basedOn w:val="Normal"/>
    <w:uiPriority w:val="2"/>
    <w:qFormat/>
    <w:rsid w:val="00564666"/>
    <w:pPr>
      <w:spacing w:before="120"/>
      <w:ind w:left="2880"/>
    </w:pPr>
    <w:rPr>
      <w:lang w:val="en-GB" w:eastAsia="en-GB"/>
    </w:rPr>
  </w:style>
  <w:style w:type="paragraph" w:customStyle="1" w:styleId="BodyTextIndent5">
    <w:name w:val="Body Text Indent 5"/>
    <w:aliases w:val="BTI5"/>
    <w:basedOn w:val="Normal"/>
    <w:uiPriority w:val="2"/>
    <w:semiHidden/>
    <w:qFormat/>
    <w:rsid w:val="00564666"/>
    <w:pPr>
      <w:spacing w:before="120"/>
      <w:ind w:left="3600"/>
    </w:pPr>
    <w:rPr>
      <w:lang w:val="en-GB" w:eastAsia="en-GB"/>
    </w:rPr>
  </w:style>
  <w:style w:type="paragraph" w:styleId="BodyTextIndent">
    <w:name w:val="Body Text Indent"/>
    <w:aliases w:val="BTI"/>
    <w:basedOn w:val="Normal"/>
    <w:link w:val="BodyTextIndentChar"/>
    <w:uiPriority w:val="13"/>
    <w:qFormat/>
    <w:rsid w:val="00564666"/>
    <w:pPr>
      <w:spacing w:before="120"/>
      <w:ind w:left="720"/>
    </w:pPr>
    <w:rPr>
      <w:lang w:val="en-GB" w:eastAsia="en-GB"/>
    </w:rPr>
  </w:style>
  <w:style w:type="character" w:customStyle="1" w:styleId="BodyTextIndentChar">
    <w:name w:val="Body Text Indent Char"/>
    <w:aliases w:val="BTI Char"/>
    <w:link w:val="BodyTextIndent"/>
    <w:uiPriority w:val="13"/>
    <w:rsid w:val="00B47E60"/>
    <w:rPr>
      <w:rFonts w:eastAsia="Calibri" w:cs="Times New Roman"/>
      <w:lang w:val="en-GB" w:eastAsia="en-GB"/>
    </w:rPr>
  </w:style>
  <w:style w:type="paragraph" w:customStyle="1" w:styleId="AgreementDate">
    <w:name w:val="Agreement Date"/>
    <w:basedOn w:val="Normal"/>
    <w:next w:val="Normal"/>
    <w:uiPriority w:val="99"/>
    <w:unhideWhenUsed/>
    <w:rsid w:val="005251D9"/>
    <w:pPr>
      <w:spacing w:after="960"/>
      <w:jc w:val="center"/>
    </w:pPr>
    <w:rPr>
      <w:b/>
      <w:sz w:val="22"/>
    </w:rPr>
  </w:style>
  <w:style w:type="paragraph" w:customStyle="1" w:styleId="AgreementName">
    <w:name w:val="Agreement Name"/>
    <w:basedOn w:val="Normal"/>
    <w:next w:val="AgreementDate"/>
    <w:unhideWhenUsed/>
    <w:rsid w:val="005251D9"/>
    <w:pPr>
      <w:spacing w:before="1440" w:after="1200"/>
      <w:jc w:val="center"/>
    </w:pPr>
    <w:rPr>
      <w:b/>
      <w:sz w:val="28"/>
    </w:rPr>
  </w:style>
  <w:style w:type="paragraph" w:customStyle="1" w:styleId="AgreementParties">
    <w:name w:val="Agreement Parties"/>
    <w:basedOn w:val="Normal"/>
    <w:uiPriority w:val="99"/>
    <w:unhideWhenUsed/>
    <w:rsid w:val="005251D9"/>
    <w:pPr>
      <w:spacing w:before="480"/>
      <w:jc w:val="center"/>
    </w:pPr>
    <w:rPr>
      <w:b/>
      <w:sz w:val="24"/>
    </w:rPr>
  </w:style>
  <w:style w:type="paragraph" w:styleId="BlockText">
    <w:name w:val="Block Text"/>
    <w:basedOn w:val="Normal"/>
    <w:uiPriority w:val="99"/>
    <w:semiHidden/>
    <w:rsid w:val="005251D9"/>
    <w:pPr>
      <w:ind w:left="1440" w:right="1440"/>
    </w:pPr>
  </w:style>
  <w:style w:type="paragraph" w:customStyle="1" w:styleId="BodyTextCAPS">
    <w:name w:val="Body Text CAPS"/>
    <w:basedOn w:val="Normal"/>
    <w:uiPriority w:val="99"/>
    <w:unhideWhenUsed/>
    <w:rsid w:val="00564666"/>
    <w:pPr>
      <w:spacing w:before="120"/>
    </w:pPr>
    <w:rPr>
      <w:caps/>
      <w:sz w:val="22"/>
    </w:rPr>
  </w:style>
  <w:style w:type="paragraph" w:styleId="BodyText">
    <w:name w:val="Body Text"/>
    <w:aliases w:val="BT"/>
    <w:basedOn w:val="Normal"/>
    <w:link w:val="BodyTextChar"/>
    <w:uiPriority w:val="1"/>
    <w:qFormat/>
    <w:rsid w:val="00564666"/>
    <w:pPr>
      <w:spacing w:before="120"/>
    </w:pPr>
    <w:rPr>
      <w:lang w:val="en-GB" w:eastAsia="en-GB"/>
    </w:rPr>
  </w:style>
  <w:style w:type="character" w:customStyle="1" w:styleId="BodyTextChar">
    <w:name w:val="Body Text Char"/>
    <w:aliases w:val="BT Char"/>
    <w:link w:val="BodyText"/>
    <w:uiPriority w:val="1"/>
    <w:rsid w:val="00A23903"/>
    <w:rPr>
      <w:rFonts w:eastAsia="Calibri" w:cs="Times New Roman"/>
      <w:lang w:val="en-GB" w:eastAsia="en-GB"/>
    </w:rPr>
  </w:style>
  <w:style w:type="paragraph" w:customStyle="1" w:styleId="Litigationheadingquotes1">
    <w:name w:val="Litigation heading/quotes 1"/>
    <w:basedOn w:val="Normal"/>
    <w:next w:val="BodyText"/>
    <w:uiPriority w:val="39"/>
    <w:qFormat/>
    <w:rsid w:val="00564666"/>
    <w:pPr>
      <w:keepNext/>
      <w:keepLines/>
      <w:widowControl w:val="0"/>
      <w:numPr>
        <w:numId w:val="8"/>
      </w:numPr>
      <w:outlineLvl w:val="0"/>
    </w:pPr>
    <w:rPr>
      <w:b/>
      <w:sz w:val="22"/>
      <w:lang w:val="en-GB" w:eastAsia="en-GB"/>
    </w:rPr>
  </w:style>
  <w:style w:type="paragraph" w:customStyle="1" w:styleId="Litigationheadingquotes2">
    <w:name w:val="Litigation heading/quotes 2"/>
    <w:basedOn w:val="Normal"/>
    <w:next w:val="BodyText"/>
    <w:uiPriority w:val="39"/>
    <w:qFormat/>
    <w:rsid w:val="00564666"/>
    <w:pPr>
      <w:numPr>
        <w:ilvl w:val="1"/>
        <w:numId w:val="8"/>
      </w:numPr>
      <w:outlineLvl w:val="1"/>
    </w:pPr>
    <w:rPr>
      <w:sz w:val="22"/>
      <w:u w:val="single"/>
      <w:lang w:val="en-GB" w:eastAsia="en-GB"/>
    </w:rPr>
  </w:style>
  <w:style w:type="paragraph" w:customStyle="1" w:styleId="Litigationheadingquotes3">
    <w:name w:val="Litigation heading/quotes 3"/>
    <w:basedOn w:val="Normal"/>
    <w:next w:val="BodyText"/>
    <w:uiPriority w:val="39"/>
    <w:qFormat/>
    <w:rsid w:val="00564666"/>
    <w:pPr>
      <w:numPr>
        <w:ilvl w:val="2"/>
        <w:numId w:val="8"/>
      </w:numPr>
      <w:outlineLvl w:val="2"/>
    </w:pPr>
    <w:rPr>
      <w:i/>
      <w:sz w:val="22"/>
      <w:lang w:val="en-GB" w:eastAsia="en-GB"/>
    </w:rPr>
  </w:style>
  <w:style w:type="paragraph" w:customStyle="1" w:styleId="Litigationheadingquotes4">
    <w:name w:val="Litigation heading/quotes 4"/>
    <w:basedOn w:val="Normal"/>
    <w:next w:val="BodyText"/>
    <w:uiPriority w:val="39"/>
    <w:qFormat/>
    <w:rsid w:val="00564666"/>
    <w:pPr>
      <w:numPr>
        <w:ilvl w:val="3"/>
        <w:numId w:val="8"/>
      </w:numPr>
      <w:ind w:right="720"/>
      <w:outlineLvl w:val="3"/>
    </w:pPr>
    <w:rPr>
      <w:i/>
      <w:sz w:val="22"/>
      <w:lang w:val="en-GB" w:eastAsia="en-GB"/>
    </w:rPr>
  </w:style>
  <w:style w:type="paragraph" w:customStyle="1" w:styleId="Center">
    <w:name w:val="Center"/>
    <w:basedOn w:val="Normal"/>
    <w:uiPriority w:val="4"/>
    <w:semiHidden/>
    <w:rsid w:val="005251D9"/>
    <w:pPr>
      <w:jc w:val="center"/>
    </w:pPr>
    <w:rPr>
      <w:bCs/>
    </w:rPr>
  </w:style>
  <w:style w:type="paragraph" w:styleId="Footer">
    <w:name w:val="footer"/>
    <w:basedOn w:val="Normal"/>
    <w:link w:val="FooterChar"/>
    <w:uiPriority w:val="99"/>
    <w:unhideWhenUsed/>
    <w:rsid w:val="005251D9"/>
    <w:pPr>
      <w:tabs>
        <w:tab w:val="right" w:pos="9864"/>
      </w:tabs>
    </w:pPr>
    <w:rPr>
      <w:sz w:val="16"/>
    </w:rPr>
  </w:style>
  <w:style w:type="character" w:customStyle="1" w:styleId="FooterChar">
    <w:name w:val="Footer Char"/>
    <w:link w:val="Footer"/>
    <w:uiPriority w:val="99"/>
    <w:rsid w:val="002679B2"/>
    <w:rPr>
      <w:sz w:val="16"/>
    </w:rPr>
  </w:style>
  <w:style w:type="paragraph" w:styleId="FootnoteText">
    <w:name w:val="footnote text"/>
    <w:aliases w:val="Footnote Text Char Char,Fußnotentext Char Char Char,Fußnotentext Char1 Char Char Char,Fußnotentext Char Char Char Char Char,Fußnotentext Char1 Char Char Char Char Char,Char3,Fußnote,FSR footnote,lábléc"/>
    <w:basedOn w:val="Normal"/>
    <w:link w:val="FootnoteTextChar"/>
    <w:uiPriority w:val="99"/>
    <w:qFormat/>
    <w:rsid w:val="005251D9"/>
    <w:pPr>
      <w:spacing w:before="60" w:after="60"/>
    </w:pPr>
    <w:rPr>
      <w:sz w:val="16"/>
      <w:szCs w:val="20"/>
    </w:rPr>
  </w:style>
  <w:style w:type="character" w:customStyle="1" w:styleId="FootnoteTextChar">
    <w:name w:val="Footnote Text Char"/>
    <w:aliases w:val="Footnote Text Char Char Char,Fußnotentext Char Char Char Char,Fußnotentext Char1 Char Char Char Char,Fußnotentext Char Char Char Char Char Char,Fußnotentext Char1 Char Char Char Char Char Char,Char3 Char,Fußnote Char,FSR footnote Char"/>
    <w:link w:val="FootnoteText"/>
    <w:uiPriority w:val="99"/>
    <w:rsid w:val="005251D9"/>
    <w:rPr>
      <w:rFonts w:ascii="Arial" w:eastAsia="Times New Roman" w:hAnsi="Arial" w:cs="Times New Roman"/>
      <w:sz w:val="16"/>
      <w:szCs w:val="20"/>
      <w:lang w:val="en-GB"/>
    </w:rPr>
  </w:style>
  <w:style w:type="paragraph" w:styleId="Header">
    <w:name w:val="header"/>
    <w:basedOn w:val="Normal"/>
    <w:link w:val="HeaderChar"/>
    <w:uiPriority w:val="99"/>
    <w:semiHidden/>
    <w:rsid w:val="005251D9"/>
    <w:pPr>
      <w:tabs>
        <w:tab w:val="center" w:pos="4320"/>
        <w:tab w:val="right" w:pos="8640"/>
      </w:tabs>
    </w:pPr>
  </w:style>
  <w:style w:type="character" w:customStyle="1" w:styleId="HeaderChar">
    <w:name w:val="Header Char"/>
    <w:link w:val="Header"/>
    <w:uiPriority w:val="99"/>
    <w:semiHidden/>
    <w:rsid w:val="005251D9"/>
    <w:rPr>
      <w:rFonts w:ascii="Arial" w:eastAsia="Times New Roman" w:hAnsi="Arial" w:cs="Times New Roman"/>
      <w:sz w:val="21"/>
      <w:szCs w:val="21"/>
      <w:lang w:val="en-GB"/>
    </w:rPr>
  </w:style>
  <w:style w:type="character" w:customStyle="1" w:styleId="Heading1Char">
    <w:name w:val="Heading 1 Char"/>
    <w:link w:val="Heading1"/>
    <w:uiPriority w:val="9"/>
    <w:rsid w:val="005251D9"/>
    <w:rPr>
      <w:rFonts w:ascii="Arial" w:eastAsia="Times New Roman" w:hAnsi="Arial" w:cs="Arial"/>
      <w:b/>
      <w:bCs/>
      <w:szCs w:val="32"/>
      <w:lang w:val="en-GB"/>
    </w:rPr>
  </w:style>
  <w:style w:type="character" w:customStyle="1" w:styleId="Heading2Char">
    <w:name w:val="Heading 2 Char"/>
    <w:aliases w:val="HR2 Char,Reset numbering Char,Heading 2 Schedule Sub Title Char,Lev 2 Char,RR level 2 Char,h2 Char,headi Char,heading2 Char,h21 Char,h22 Char,21 Char,Heading Two Char,1.1 Heading 2 Char,Prophead 2 Char,H2 Char,h211 Char,h23 Char,h212 Char"/>
    <w:link w:val="Heading2"/>
    <w:uiPriority w:val="9"/>
    <w:semiHidden/>
    <w:rsid w:val="005251D9"/>
    <w:rPr>
      <w:rFonts w:ascii="Arial" w:eastAsia="Times New Roman" w:hAnsi="Arial" w:cs="Arial"/>
      <w:bCs/>
      <w:iCs/>
      <w:sz w:val="21"/>
      <w:szCs w:val="28"/>
      <w:u w:val="single"/>
      <w:lang w:val="en-GB"/>
    </w:rPr>
  </w:style>
  <w:style w:type="character" w:customStyle="1" w:styleId="Heading3Char">
    <w:name w:val="Heading 3 Char"/>
    <w:aliases w:val="Lev 3 Char,h3 Char,heading 3 Char,(Alt+3) Char,(Alt+3)1 Char,(Alt+3)2 Char,(Alt+3)3 Char,(Alt+3)4 Char,(Alt+3)5 Char,(Alt+3)6 Char,(Alt+3)11 Char,(Alt+3)21 Char,(Alt+3)31 Char,(Alt+3)41 Char,(Alt+3)7 Char,(Alt+3)12 Char,(Alt+3)22 Char"/>
    <w:link w:val="Heading3"/>
    <w:uiPriority w:val="9"/>
    <w:semiHidden/>
    <w:rsid w:val="005251D9"/>
    <w:rPr>
      <w:rFonts w:ascii="Arial" w:eastAsia="Times New Roman" w:hAnsi="Arial" w:cs="Arial"/>
      <w:bCs/>
      <w:i/>
      <w:sz w:val="21"/>
      <w:szCs w:val="26"/>
      <w:lang w:val="en-GB"/>
    </w:rPr>
  </w:style>
  <w:style w:type="character" w:customStyle="1" w:styleId="Heading4Char">
    <w:name w:val="Heading 4 Char"/>
    <w:aliases w:val="Lev 4 Char,h4 Char,H41 Char,H42 Char,H43 Char,H44 Char,H45 Char,H46 Char,H47 Char,H48 Char,H49 Char,H410 Char,H411 Char,H421 Char,H431 Char,H441 Char,H451 Char,H461 Char,H471 Char,H481 Char,H491 Char,H4101 Char,H412 Char,H413 Char"/>
    <w:link w:val="Heading4"/>
    <w:uiPriority w:val="9"/>
    <w:semiHidden/>
    <w:rsid w:val="005251D9"/>
    <w:rPr>
      <w:rFonts w:ascii="Arial" w:eastAsia="Times New Roman" w:hAnsi="Arial" w:cs="Times New Roman"/>
      <w:bCs/>
      <w:i/>
      <w:sz w:val="21"/>
      <w:szCs w:val="28"/>
      <w:lang w:val="en-GB"/>
    </w:rPr>
  </w:style>
  <w:style w:type="character" w:customStyle="1" w:styleId="Heading5Char">
    <w:name w:val="Heading 5 Char"/>
    <w:aliases w:val="h5 Char,test Char,Lev 5 Char,H5 Char,Level 3 - i Char"/>
    <w:link w:val="Heading5"/>
    <w:uiPriority w:val="9"/>
    <w:semiHidden/>
    <w:rsid w:val="005251D9"/>
    <w:rPr>
      <w:rFonts w:ascii="Arial" w:eastAsia="Times New Roman" w:hAnsi="Arial" w:cs="Times New Roman"/>
      <w:b/>
      <w:bCs/>
      <w:i/>
      <w:iCs/>
      <w:sz w:val="26"/>
      <w:szCs w:val="26"/>
      <w:lang w:val="en-GB"/>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link w:val="Heading6"/>
    <w:rsid w:val="005251D9"/>
    <w:rPr>
      <w:rFonts w:ascii="Times New Roman" w:eastAsia="Times New Roman" w:hAnsi="Times New Roman" w:cs="Times New Roman"/>
      <w:b/>
      <w:bCs/>
      <w:lang w:val="en-GB"/>
    </w:rPr>
  </w:style>
  <w:style w:type="character" w:customStyle="1" w:styleId="Heading7Char">
    <w:name w:val="Heading 7 Char"/>
    <w:aliases w:val="h7 Char"/>
    <w:link w:val="Heading7"/>
    <w:uiPriority w:val="9"/>
    <w:semiHidden/>
    <w:rsid w:val="005251D9"/>
    <w:rPr>
      <w:rFonts w:ascii="Times New Roman" w:eastAsia="Times New Roman" w:hAnsi="Times New Roman" w:cs="Times New Roman"/>
      <w:sz w:val="24"/>
      <w:szCs w:val="21"/>
      <w:lang w:val="en-GB"/>
    </w:rPr>
  </w:style>
  <w:style w:type="character" w:customStyle="1" w:styleId="Heading8Char">
    <w:name w:val="Heading 8 Char"/>
    <w:aliases w:val="h8 Char"/>
    <w:link w:val="Heading8"/>
    <w:uiPriority w:val="9"/>
    <w:semiHidden/>
    <w:rsid w:val="005251D9"/>
    <w:rPr>
      <w:rFonts w:ascii="Times New Roman" w:eastAsia="Times New Roman" w:hAnsi="Times New Roman" w:cs="Times New Roman"/>
      <w:i/>
      <w:iCs/>
      <w:sz w:val="24"/>
      <w:szCs w:val="21"/>
      <w:lang w:val="en-GB"/>
    </w:rPr>
  </w:style>
  <w:style w:type="character" w:customStyle="1" w:styleId="Heading9Char">
    <w:name w:val="Heading 9 Char"/>
    <w:link w:val="Heading9"/>
    <w:uiPriority w:val="9"/>
    <w:semiHidden/>
    <w:rsid w:val="005251D9"/>
    <w:rPr>
      <w:rFonts w:ascii="Arial" w:eastAsia="Times New Roman" w:hAnsi="Arial" w:cs="Arial"/>
      <w:lang w:val="en-GB"/>
    </w:rPr>
  </w:style>
  <w:style w:type="character" w:customStyle="1" w:styleId="Intro">
    <w:name w:val="Intro"/>
    <w:uiPriority w:val="19"/>
    <w:rsid w:val="005251D9"/>
    <w:rPr>
      <w:rFonts w:ascii="Arial" w:hAnsi="Arial"/>
      <w:b/>
      <w:sz w:val="22"/>
      <w:lang w:val="en-GB"/>
    </w:rPr>
  </w:style>
  <w:style w:type="paragraph" w:styleId="ListParagraph">
    <w:name w:val="List Paragraph"/>
    <w:basedOn w:val="Normal"/>
    <w:uiPriority w:val="34"/>
    <w:qFormat/>
    <w:rsid w:val="005251D9"/>
    <w:pPr>
      <w:ind w:left="720"/>
      <w:contextualSpacing/>
    </w:pPr>
  </w:style>
  <w:style w:type="paragraph" w:customStyle="1" w:styleId="Non-Agreement1">
    <w:name w:val="Non-Agreement 1"/>
    <w:aliases w:val="NA1"/>
    <w:basedOn w:val="Normal"/>
    <w:uiPriority w:val="9"/>
    <w:qFormat/>
    <w:rsid w:val="00564666"/>
    <w:pPr>
      <w:numPr>
        <w:numId w:val="9"/>
      </w:numPr>
      <w:outlineLvl w:val="0"/>
    </w:pPr>
    <w:rPr>
      <w:lang w:val="en-GB" w:eastAsia="en-GB"/>
    </w:rPr>
  </w:style>
  <w:style w:type="paragraph" w:customStyle="1" w:styleId="Non-Agreement2">
    <w:name w:val="Non-Agreement 2"/>
    <w:aliases w:val="NA2"/>
    <w:basedOn w:val="Normal"/>
    <w:uiPriority w:val="9"/>
    <w:qFormat/>
    <w:rsid w:val="00564666"/>
    <w:pPr>
      <w:numPr>
        <w:ilvl w:val="1"/>
        <w:numId w:val="9"/>
      </w:numPr>
      <w:outlineLvl w:val="1"/>
    </w:pPr>
    <w:rPr>
      <w:lang w:val="en-GB" w:eastAsia="en-GB"/>
    </w:rPr>
  </w:style>
  <w:style w:type="paragraph" w:customStyle="1" w:styleId="Non-Agreement3">
    <w:name w:val="Non-Agreement 3"/>
    <w:aliases w:val="NA3"/>
    <w:basedOn w:val="Normal"/>
    <w:uiPriority w:val="9"/>
    <w:qFormat/>
    <w:rsid w:val="00564666"/>
    <w:pPr>
      <w:numPr>
        <w:ilvl w:val="2"/>
        <w:numId w:val="9"/>
      </w:numPr>
      <w:outlineLvl w:val="2"/>
    </w:pPr>
    <w:rPr>
      <w:lang w:val="en-GB" w:eastAsia="en-GB"/>
    </w:rPr>
  </w:style>
  <w:style w:type="paragraph" w:customStyle="1" w:styleId="Non-Agreement4">
    <w:name w:val="Non-Agreement 4"/>
    <w:aliases w:val="NA4"/>
    <w:basedOn w:val="Normal"/>
    <w:uiPriority w:val="9"/>
    <w:qFormat/>
    <w:rsid w:val="00564666"/>
    <w:pPr>
      <w:numPr>
        <w:ilvl w:val="3"/>
        <w:numId w:val="9"/>
      </w:numPr>
      <w:outlineLvl w:val="3"/>
    </w:pPr>
    <w:rPr>
      <w:lang w:val="en-GB" w:eastAsia="en-GB"/>
    </w:rPr>
  </w:style>
  <w:style w:type="paragraph" w:customStyle="1" w:styleId="Non-Agreement5">
    <w:name w:val="Non-Agreement 5"/>
    <w:aliases w:val="NA5"/>
    <w:basedOn w:val="Normal"/>
    <w:uiPriority w:val="9"/>
    <w:qFormat/>
    <w:rsid w:val="00564666"/>
    <w:pPr>
      <w:numPr>
        <w:ilvl w:val="4"/>
        <w:numId w:val="9"/>
      </w:numPr>
      <w:outlineLvl w:val="4"/>
    </w:pPr>
    <w:rPr>
      <w:lang w:val="en-GB" w:eastAsia="en-GB"/>
    </w:rPr>
  </w:style>
  <w:style w:type="paragraph" w:customStyle="1" w:styleId="PrayerforRelief1">
    <w:name w:val="Prayer for Relief 1"/>
    <w:basedOn w:val="Normal"/>
    <w:uiPriority w:val="39"/>
    <w:qFormat/>
    <w:rsid w:val="00564666"/>
    <w:pPr>
      <w:numPr>
        <w:numId w:val="10"/>
      </w:numPr>
      <w:spacing w:after="240" w:line="360" w:lineRule="auto"/>
      <w:outlineLvl w:val="0"/>
    </w:pPr>
    <w:rPr>
      <w:sz w:val="22"/>
      <w:lang w:val="en-GB" w:eastAsia="en-GB"/>
    </w:rPr>
  </w:style>
  <w:style w:type="paragraph" w:customStyle="1" w:styleId="PrayerforRelief2">
    <w:name w:val="Prayer for Relief 2"/>
    <w:basedOn w:val="Normal"/>
    <w:uiPriority w:val="39"/>
    <w:qFormat/>
    <w:rsid w:val="00564666"/>
    <w:pPr>
      <w:numPr>
        <w:ilvl w:val="1"/>
        <w:numId w:val="10"/>
      </w:numPr>
      <w:spacing w:after="240" w:line="360" w:lineRule="auto"/>
      <w:outlineLvl w:val="1"/>
    </w:pPr>
    <w:rPr>
      <w:sz w:val="22"/>
      <w:lang w:val="en-GB" w:eastAsia="en-GB"/>
    </w:rPr>
  </w:style>
  <w:style w:type="paragraph" w:customStyle="1" w:styleId="PrayerforRelief3">
    <w:name w:val="Prayer for Relief 3"/>
    <w:basedOn w:val="Normal"/>
    <w:uiPriority w:val="39"/>
    <w:qFormat/>
    <w:rsid w:val="00564666"/>
    <w:pPr>
      <w:numPr>
        <w:ilvl w:val="2"/>
        <w:numId w:val="10"/>
      </w:numPr>
      <w:spacing w:after="240" w:line="360" w:lineRule="auto"/>
      <w:outlineLvl w:val="2"/>
    </w:pPr>
    <w:rPr>
      <w:sz w:val="22"/>
      <w:lang w:val="en-GB" w:eastAsia="en-GB"/>
    </w:rPr>
  </w:style>
  <w:style w:type="paragraph" w:customStyle="1" w:styleId="TermsofEngagementBody">
    <w:name w:val="Terms of Engagement Body"/>
    <w:aliases w:val="TOE Body"/>
    <w:basedOn w:val="BodyText"/>
    <w:uiPriority w:val="48"/>
    <w:qFormat/>
    <w:rsid w:val="00564666"/>
    <w:pPr>
      <w:numPr>
        <w:ilvl w:val="1"/>
        <w:numId w:val="11"/>
      </w:numPr>
    </w:pPr>
    <w:rPr>
      <w:sz w:val="16"/>
    </w:rPr>
  </w:style>
  <w:style w:type="paragraph" w:customStyle="1" w:styleId="TermsofEngagement1">
    <w:name w:val="Terms of Engagement 1"/>
    <w:aliases w:val="TOE1"/>
    <w:basedOn w:val="TermsofEngagementBody"/>
    <w:uiPriority w:val="48"/>
    <w:qFormat/>
    <w:rsid w:val="00564666"/>
    <w:pPr>
      <w:numPr>
        <w:ilvl w:val="2"/>
      </w:numPr>
    </w:pPr>
  </w:style>
  <w:style w:type="paragraph" w:customStyle="1" w:styleId="TermsofEngagement2">
    <w:name w:val="Terms of Engagement 2"/>
    <w:aliases w:val="TOE2"/>
    <w:basedOn w:val="TermsofEngagementBody"/>
    <w:uiPriority w:val="48"/>
    <w:qFormat/>
    <w:rsid w:val="00564666"/>
    <w:pPr>
      <w:numPr>
        <w:ilvl w:val="3"/>
      </w:numPr>
    </w:pPr>
  </w:style>
  <w:style w:type="paragraph" w:customStyle="1" w:styleId="TermsofEngagementHeading">
    <w:name w:val="Terms of Engagement Heading"/>
    <w:aliases w:val="TOE Heading"/>
    <w:basedOn w:val="BodyText"/>
    <w:next w:val="TermsofEngagementBody"/>
    <w:uiPriority w:val="48"/>
    <w:qFormat/>
    <w:rsid w:val="00564666"/>
    <w:pPr>
      <w:keepNext/>
      <w:numPr>
        <w:numId w:val="11"/>
      </w:numPr>
    </w:pPr>
    <w:rPr>
      <w:rFonts w:ascii="Arial Bold" w:hAnsi="Arial Bold"/>
      <w:b/>
      <w:sz w:val="16"/>
    </w:rPr>
  </w:style>
  <w:style w:type="character" w:styleId="PageNumber">
    <w:name w:val="page number"/>
    <w:semiHidden/>
    <w:rsid w:val="005251D9"/>
    <w:rPr>
      <w:rFonts w:ascii="Arial" w:hAnsi="Arial"/>
      <w:sz w:val="21"/>
    </w:rPr>
  </w:style>
  <w:style w:type="paragraph" w:customStyle="1" w:styleId="Parties">
    <w:name w:val="Parties"/>
    <w:basedOn w:val="Normal"/>
    <w:next w:val="Normal"/>
    <w:uiPriority w:val="19"/>
    <w:rsid w:val="00B97310"/>
    <w:rPr>
      <w:b/>
      <w:sz w:val="22"/>
    </w:rPr>
  </w:style>
  <w:style w:type="paragraph" w:customStyle="1" w:styleId="PartiesListNum">
    <w:name w:val="Parties List Num"/>
    <w:basedOn w:val="Normal"/>
    <w:uiPriority w:val="19"/>
    <w:rsid w:val="005251D9"/>
    <w:pPr>
      <w:numPr>
        <w:numId w:val="2"/>
      </w:numPr>
    </w:pPr>
  </w:style>
  <w:style w:type="paragraph" w:customStyle="1" w:styleId="Recitals">
    <w:name w:val="Recitals"/>
    <w:basedOn w:val="Normal"/>
    <w:next w:val="Normal"/>
    <w:uiPriority w:val="19"/>
    <w:rsid w:val="00B97310"/>
    <w:rPr>
      <w:b/>
      <w:sz w:val="22"/>
    </w:rPr>
  </w:style>
  <w:style w:type="paragraph" w:customStyle="1" w:styleId="RecitalsListNum">
    <w:name w:val="Recitals List Num"/>
    <w:basedOn w:val="Normal"/>
    <w:uiPriority w:val="19"/>
    <w:rsid w:val="005251D9"/>
    <w:pPr>
      <w:numPr>
        <w:numId w:val="1"/>
      </w:numPr>
    </w:pPr>
  </w:style>
  <w:style w:type="paragraph" w:customStyle="1" w:styleId="RecitalsListNum2">
    <w:name w:val="Recitals List Num 2"/>
    <w:basedOn w:val="Normal"/>
    <w:uiPriority w:val="19"/>
    <w:rsid w:val="00715590"/>
    <w:pPr>
      <w:numPr>
        <w:ilvl w:val="1"/>
        <w:numId w:val="1"/>
      </w:numPr>
    </w:pPr>
  </w:style>
  <w:style w:type="paragraph" w:customStyle="1" w:styleId="SA1">
    <w:name w:val="SA 1"/>
    <w:basedOn w:val="Normal"/>
    <w:next w:val="Normal"/>
    <w:uiPriority w:val="43"/>
    <w:qFormat/>
    <w:rsid w:val="00B97310"/>
    <w:pPr>
      <w:numPr>
        <w:numId w:val="3"/>
      </w:numPr>
    </w:pPr>
    <w:rPr>
      <w:b/>
    </w:rPr>
  </w:style>
  <w:style w:type="paragraph" w:customStyle="1" w:styleId="SA2">
    <w:name w:val="SA 2"/>
    <w:basedOn w:val="Normal"/>
    <w:uiPriority w:val="44"/>
    <w:qFormat/>
    <w:rsid w:val="005251D9"/>
    <w:pPr>
      <w:numPr>
        <w:ilvl w:val="1"/>
        <w:numId w:val="3"/>
      </w:numPr>
    </w:pPr>
  </w:style>
  <w:style w:type="paragraph" w:customStyle="1" w:styleId="SA3">
    <w:name w:val="SA 3"/>
    <w:basedOn w:val="Normal"/>
    <w:uiPriority w:val="45"/>
    <w:qFormat/>
    <w:rsid w:val="005251D9"/>
    <w:pPr>
      <w:numPr>
        <w:ilvl w:val="2"/>
        <w:numId w:val="3"/>
      </w:numPr>
    </w:pPr>
  </w:style>
  <w:style w:type="paragraph" w:customStyle="1" w:styleId="SA4">
    <w:name w:val="SA 4"/>
    <w:basedOn w:val="Normal"/>
    <w:uiPriority w:val="46"/>
    <w:qFormat/>
    <w:rsid w:val="005251D9"/>
    <w:pPr>
      <w:numPr>
        <w:ilvl w:val="3"/>
        <w:numId w:val="3"/>
      </w:numPr>
    </w:pPr>
  </w:style>
  <w:style w:type="paragraph" w:customStyle="1" w:styleId="SA5">
    <w:name w:val="SA 5"/>
    <w:basedOn w:val="Normal"/>
    <w:uiPriority w:val="47"/>
    <w:qFormat/>
    <w:rsid w:val="005251D9"/>
    <w:pPr>
      <w:numPr>
        <w:ilvl w:val="4"/>
        <w:numId w:val="3"/>
      </w:numPr>
    </w:pPr>
  </w:style>
  <w:style w:type="paragraph" w:customStyle="1" w:styleId="Schedule">
    <w:name w:val="Schedule"/>
    <w:basedOn w:val="Normal"/>
    <w:next w:val="Normal"/>
    <w:uiPriority w:val="29"/>
    <w:qFormat/>
    <w:rsid w:val="00B97310"/>
    <w:pPr>
      <w:pageBreakBefore/>
      <w:numPr>
        <w:numId w:val="6"/>
      </w:numPr>
      <w:jc w:val="center"/>
    </w:pPr>
    <w:rPr>
      <w:b/>
      <w:sz w:val="22"/>
    </w:rPr>
  </w:style>
  <w:style w:type="paragraph" w:styleId="Signature">
    <w:name w:val="Signature"/>
    <w:basedOn w:val="Normal"/>
    <w:link w:val="SignatureChar"/>
    <w:uiPriority w:val="99"/>
    <w:semiHidden/>
    <w:rsid w:val="005251D9"/>
    <w:pPr>
      <w:tabs>
        <w:tab w:val="left" w:pos="4320"/>
      </w:tabs>
      <w:spacing w:before="120"/>
    </w:pPr>
  </w:style>
  <w:style w:type="character" w:customStyle="1" w:styleId="SignatureChar">
    <w:name w:val="Signature Char"/>
    <w:link w:val="Signature"/>
    <w:uiPriority w:val="99"/>
    <w:semiHidden/>
    <w:rsid w:val="005251D9"/>
    <w:rPr>
      <w:rFonts w:ascii="Arial" w:eastAsia="Times New Roman" w:hAnsi="Arial" w:cs="Times New Roman"/>
      <w:sz w:val="21"/>
      <w:szCs w:val="21"/>
      <w:lang w:val="en-GB"/>
    </w:rPr>
  </w:style>
  <w:style w:type="paragraph" w:customStyle="1" w:styleId="SNA1">
    <w:name w:val="SNA 1"/>
    <w:basedOn w:val="Normal"/>
    <w:next w:val="Normal"/>
    <w:uiPriority w:val="30"/>
    <w:qFormat/>
    <w:rsid w:val="005251D9"/>
    <w:pPr>
      <w:numPr>
        <w:numId w:val="4"/>
      </w:numPr>
    </w:pPr>
  </w:style>
  <w:style w:type="paragraph" w:customStyle="1" w:styleId="SNA2">
    <w:name w:val="SNA 2"/>
    <w:basedOn w:val="Normal"/>
    <w:uiPriority w:val="30"/>
    <w:rsid w:val="005251D9"/>
    <w:pPr>
      <w:numPr>
        <w:ilvl w:val="1"/>
        <w:numId w:val="4"/>
      </w:numPr>
    </w:pPr>
  </w:style>
  <w:style w:type="paragraph" w:customStyle="1" w:styleId="SNA3">
    <w:name w:val="SNA 3"/>
    <w:basedOn w:val="Normal"/>
    <w:uiPriority w:val="30"/>
    <w:rsid w:val="005251D9"/>
    <w:pPr>
      <w:numPr>
        <w:ilvl w:val="2"/>
        <w:numId w:val="4"/>
      </w:numPr>
    </w:pPr>
  </w:style>
  <w:style w:type="paragraph" w:customStyle="1" w:styleId="SNA4">
    <w:name w:val="SNA 4"/>
    <w:basedOn w:val="Normal"/>
    <w:uiPriority w:val="30"/>
    <w:rsid w:val="005251D9"/>
    <w:pPr>
      <w:numPr>
        <w:ilvl w:val="3"/>
        <w:numId w:val="4"/>
      </w:numPr>
    </w:pPr>
  </w:style>
  <w:style w:type="paragraph" w:customStyle="1" w:styleId="SNA5">
    <w:name w:val="SNA 5"/>
    <w:basedOn w:val="Normal"/>
    <w:uiPriority w:val="30"/>
    <w:rsid w:val="005251D9"/>
    <w:pPr>
      <w:numPr>
        <w:ilvl w:val="4"/>
        <w:numId w:val="4"/>
      </w:numPr>
    </w:pPr>
  </w:style>
  <w:style w:type="character" w:styleId="Strong">
    <w:name w:val="Strong"/>
    <w:uiPriority w:val="99"/>
    <w:semiHidden/>
    <w:qFormat/>
    <w:rsid w:val="005251D9"/>
    <w:rPr>
      <w:b/>
      <w:bCs/>
    </w:rPr>
  </w:style>
  <w:style w:type="paragraph" w:styleId="Subtitle">
    <w:name w:val="Subtitle"/>
    <w:basedOn w:val="Normal"/>
    <w:next w:val="Normal"/>
    <w:link w:val="SubtitleChar"/>
    <w:uiPriority w:val="99"/>
    <w:semiHidden/>
    <w:qFormat/>
    <w:rsid w:val="005251D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semiHidden/>
    <w:rsid w:val="005251D9"/>
    <w:rPr>
      <w:rFonts w:ascii="Cambria" w:eastAsia="Times New Roman" w:hAnsi="Cambria" w:cs="Times New Roman"/>
      <w:i/>
      <w:iCs/>
      <w:color w:val="4F81BD"/>
      <w:spacing w:val="15"/>
      <w:sz w:val="24"/>
      <w:szCs w:val="24"/>
      <w:lang w:val="en-GB"/>
    </w:rPr>
  </w:style>
  <w:style w:type="paragraph" w:styleId="Title">
    <w:name w:val="Title"/>
    <w:basedOn w:val="Normal"/>
    <w:next w:val="Normal"/>
    <w:link w:val="TitleChar"/>
    <w:uiPriority w:val="99"/>
    <w:semiHidden/>
    <w:qFormat/>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semiHidden/>
    <w:rsid w:val="005251D9"/>
    <w:rPr>
      <w:rFonts w:ascii="Cambria" w:eastAsia="Times New Roman" w:hAnsi="Cambria" w:cs="Times New Roman"/>
      <w:color w:val="17365D"/>
      <w:spacing w:val="5"/>
      <w:kern w:val="28"/>
      <w:sz w:val="52"/>
      <w:szCs w:val="52"/>
      <w:lang w:val="en-GB"/>
    </w:rPr>
  </w:style>
  <w:style w:type="paragraph" w:customStyle="1" w:styleId="Definition1">
    <w:name w:val="Definition 1"/>
    <w:basedOn w:val="Normal"/>
    <w:uiPriority w:val="20"/>
    <w:qFormat/>
    <w:rsid w:val="00564666"/>
    <w:pPr>
      <w:numPr>
        <w:numId w:val="5"/>
      </w:numPr>
      <w:spacing w:before="120"/>
    </w:pPr>
  </w:style>
  <w:style w:type="paragraph" w:customStyle="1" w:styleId="Definition2">
    <w:name w:val="Definition 2"/>
    <w:basedOn w:val="Definition1"/>
    <w:uiPriority w:val="20"/>
    <w:rsid w:val="00DE5733"/>
    <w:pPr>
      <w:numPr>
        <w:ilvl w:val="1"/>
      </w:numPr>
    </w:pPr>
  </w:style>
  <w:style w:type="table" w:styleId="TableGrid">
    <w:name w:val="Table Grid"/>
    <w:basedOn w:val="TableNormal"/>
    <w:uiPriority w:val="59"/>
    <w:rsid w:val="0017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1DFD"/>
    <w:pPr>
      <w:spacing w:after="100"/>
    </w:pPr>
  </w:style>
  <w:style w:type="paragraph" w:styleId="TOC2">
    <w:name w:val="toc 2"/>
    <w:basedOn w:val="Normal"/>
    <w:next w:val="Normal"/>
    <w:autoRedefine/>
    <w:uiPriority w:val="39"/>
    <w:semiHidden/>
    <w:unhideWhenUsed/>
    <w:rsid w:val="00F61DFD"/>
    <w:pPr>
      <w:spacing w:after="100"/>
      <w:ind w:left="210"/>
    </w:pPr>
  </w:style>
  <w:style w:type="paragraph" w:styleId="TOC3">
    <w:name w:val="toc 3"/>
    <w:basedOn w:val="Normal"/>
    <w:next w:val="Normal"/>
    <w:autoRedefine/>
    <w:uiPriority w:val="39"/>
    <w:semiHidden/>
    <w:unhideWhenUsed/>
    <w:rsid w:val="00F61DFD"/>
    <w:pPr>
      <w:spacing w:after="100"/>
      <w:ind w:left="420"/>
    </w:pPr>
  </w:style>
  <w:style w:type="paragraph" w:styleId="TOC4">
    <w:name w:val="toc 4"/>
    <w:basedOn w:val="Normal"/>
    <w:next w:val="Normal"/>
    <w:autoRedefine/>
    <w:uiPriority w:val="39"/>
    <w:semiHidden/>
    <w:unhideWhenUsed/>
    <w:rsid w:val="00F61DFD"/>
    <w:pPr>
      <w:spacing w:after="100"/>
      <w:ind w:left="630"/>
    </w:pPr>
  </w:style>
  <w:style w:type="paragraph" w:styleId="TOC5">
    <w:name w:val="toc 5"/>
    <w:basedOn w:val="Normal"/>
    <w:next w:val="Normal"/>
    <w:autoRedefine/>
    <w:uiPriority w:val="39"/>
    <w:semiHidden/>
    <w:unhideWhenUsed/>
    <w:rsid w:val="00F61DFD"/>
    <w:pPr>
      <w:spacing w:after="100"/>
      <w:ind w:left="840"/>
    </w:pPr>
  </w:style>
  <w:style w:type="paragraph" w:styleId="TOC6">
    <w:name w:val="toc 6"/>
    <w:basedOn w:val="Normal"/>
    <w:next w:val="Normal"/>
    <w:autoRedefine/>
    <w:uiPriority w:val="39"/>
    <w:semiHidden/>
    <w:unhideWhenUsed/>
    <w:rsid w:val="00F61DFD"/>
    <w:pPr>
      <w:spacing w:after="100"/>
      <w:ind w:left="1050"/>
    </w:pPr>
  </w:style>
  <w:style w:type="paragraph" w:styleId="TOC7">
    <w:name w:val="toc 7"/>
    <w:basedOn w:val="Normal"/>
    <w:next w:val="Normal"/>
    <w:autoRedefine/>
    <w:uiPriority w:val="39"/>
    <w:semiHidden/>
    <w:unhideWhenUsed/>
    <w:rsid w:val="00F61DFD"/>
    <w:pPr>
      <w:spacing w:after="100"/>
      <w:ind w:left="1260"/>
    </w:pPr>
  </w:style>
  <w:style w:type="paragraph" w:styleId="TOC8">
    <w:name w:val="toc 8"/>
    <w:basedOn w:val="Normal"/>
    <w:next w:val="Normal"/>
    <w:autoRedefine/>
    <w:uiPriority w:val="39"/>
    <w:semiHidden/>
    <w:unhideWhenUsed/>
    <w:rsid w:val="00F61DFD"/>
    <w:pPr>
      <w:spacing w:after="100"/>
      <w:ind w:left="1470"/>
    </w:pPr>
  </w:style>
  <w:style w:type="paragraph" w:styleId="TOC9">
    <w:name w:val="toc 9"/>
    <w:basedOn w:val="Normal"/>
    <w:next w:val="Normal"/>
    <w:autoRedefine/>
    <w:uiPriority w:val="39"/>
    <w:semiHidden/>
    <w:unhideWhenUsed/>
    <w:rsid w:val="00F61DFD"/>
    <w:pPr>
      <w:spacing w:after="100"/>
      <w:ind w:left="1680"/>
    </w:pPr>
  </w:style>
  <w:style w:type="character" w:styleId="Hyperlink">
    <w:name w:val="Hyperlink"/>
    <w:uiPriority w:val="99"/>
    <w:unhideWhenUsed/>
    <w:rsid w:val="0075219F"/>
    <w:rPr>
      <w:color w:val="0000FF"/>
      <w:u w:val="single"/>
    </w:rPr>
  </w:style>
  <w:style w:type="table" w:customStyle="1" w:styleId="Definitions">
    <w:name w:val="Definitions"/>
    <w:basedOn w:val="TableNormal"/>
    <w:uiPriority w:val="99"/>
    <w:rsid w:val="001D3771"/>
    <w:pPr>
      <w:spacing w:before="120"/>
    </w:pPr>
    <w:tblPr>
      <w:tblInd w:w="720" w:type="dxa"/>
    </w:tbl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uiPriority w:val="99"/>
    <w:unhideWhenUsed/>
    <w:qFormat/>
    <w:rsid w:val="005D5957"/>
    <w:rPr>
      <w:vertAlign w:val="superscript"/>
    </w:rPr>
  </w:style>
  <w:style w:type="paragraph" w:styleId="BalloonText">
    <w:name w:val="Balloon Text"/>
    <w:basedOn w:val="Normal"/>
    <w:link w:val="BalloonTextChar"/>
    <w:uiPriority w:val="99"/>
    <w:semiHidden/>
    <w:rsid w:val="000A7104"/>
    <w:pPr>
      <w:spacing w:before="0" w:after="0"/>
    </w:pPr>
    <w:rPr>
      <w:rFonts w:ascii="Tahoma" w:hAnsi="Tahoma" w:cs="Tahoma"/>
      <w:sz w:val="16"/>
      <w:szCs w:val="16"/>
    </w:rPr>
  </w:style>
  <w:style w:type="character" w:customStyle="1" w:styleId="BalloonTextChar">
    <w:name w:val="Balloon Text Char"/>
    <w:link w:val="BalloonText"/>
    <w:uiPriority w:val="99"/>
    <w:semiHidden/>
    <w:rsid w:val="000A7104"/>
    <w:rPr>
      <w:rFonts w:ascii="Tahoma" w:hAnsi="Tahoma" w:cs="Tahoma"/>
      <w:sz w:val="16"/>
      <w:szCs w:val="16"/>
      <w:lang w:val="en-IE" w:eastAsia="en-US"/>
    </w:rPr>
  </w:style>
  <w:style w:type="paragraph" w:customStyle="1" w:styleId="ssPara1">
    <w:name w:val="ssPara1"/>
    <w:basedOn w:val="Normal"/>
    <w:link w:val="ssPara1Char"/>
    <w:qFormat/>
    <w:rsid w:val="00DD08FF"/>
    <w:pPr>
      <w:spacing w:before="0" w:after="260"/>
    </w:pPr>
    <w:rPr>
      <w:rFonts w:eastAsia="Times New Roman"/>
      <w:sz w:val="22"/>
      <w:szCs w:val="22"/>
      <w:lang w:val="en-GB" w:eastAsia="en-GB"/>
    </w:rPr>
  </w:style>
  <w:style w:type="character" w:customStyle="1" w:styleId="ssPara1Char">
    <w:name w:val="ssPara1 Char"/>
    <w:link w:val="ssPara1"/>
    <w:locked/>
    <w:rsid w:val="00DD08FF"/>
    <w:rPr>
      <w:rFonts w:eastAsia="Times New Roman"/>
      <w:sz w:val="22"/>
      <w:szCs w:val="22"/>
    </w:rPr>
  </w:style>
  <w:style w:type="paragraph" w:customStyle="1" w:styleId="ssRestartNumber">
    <w:name w:val="ssRestartNumber"/>
    <w:basedOn w:val="Normal"/>
    <w:next w:val="ssPara1"/>
    <w:rsid w:val="0075020B"/>
    <w:pPr>
      <w:spacing w:before="0" w:after="0"/>
    </w:pPr>
    <w:rPr>
      <w:rFonts w:eastAsia="SimSun"/>
      <w:color w:val="FF0000"/>
      <w:sz w:val="22"/>
      <w:szCs w:val="22"/>
      <w:lang w:val="en-GB" w:eastAsia="zh-CN"/>
    </w:rPr>
  </w:style>
  <w:style w:type="character" w:styleId="CommentReference">
    <w:name w:val="annotation reference"/>
    <w:uiPriority w:val="99"/>
    <w:unhideWhenUsed/>
    <w:rsid w:val="0048156F"/>
    <w:rPr>
      <w:sz w:val="16"/>
      <w:szCs w:val="16"/>
    </w:rPr>
  </w:style>
  <w:style w:type="paragraph" w:styleId="CommentText">
    <w:name w:val="annotation text"/>
    <w:basedOn w:val="Normal"/>
    <w:link w:val="CommentTextChar"/>
    <w:uiPriority w:val="99"/>
    <w:unhideWhenUsed/>
    <w:rsid w:val="0048156F"/>
    <w:rPr>
      <w:sz w:val="20"/>
      <w:szCs w:val="20"/>
    </w:rPr>
  </w:style>
  <w:style w:type="character" w:customStyle="1" w:styleId="CommentTextChar">
    <w:name w:val="Comment Text Char"/>
    <w:link w:val="CommentText"/>
    <w:uiPriority w:val="99"/>
    <w:rsid w:val="0048156F"/>
    <w:rPr>
      <w:lang w:val="en-IE" w:eastAsia="en-US"/>
    </w:rPr>
  </w:style>
  <w:style w:type="paragraph" w:styleId="CommentSubject">
    <w:name w:val="annotation subject"/>
    <w:basedOn w:val="CommentText"/>
    <w:next w:val="CommentText"/>
    <w:link w:val="CommentSubjectChar"/>
    <w:uiPriority w:val="99"/>
    <w:semiHidden/>
    <w:unhideWhenUsed/>
    <w:rsid w:val="00E07421"/>
    <w:rPr>
      <w:b/>
      <w:bCs/>
    </w:rPr>
  </w:style>
  <w:style w:type="character" w:customStyle="1" w:styleId="CommentSubjectChar">
    <w:name w:val="Comment Subject Char"/>
    <w:link w:val="CommentSubject"/>
    <w:uiPriority w:val="99"/>
    <w:semiHidden/>
    <w:rsid w:val="00E07421"/>
    <w:rPr>
      <w:b/>
      <w:bCs/>
      <w:lang w:val="en-IE" w:eastAsia="en-US"/>
    </w:rPr>
  </w:style>
  <w:style w:type="table" w:customStyle="1" w:styleId="TableGrid1">
    <w:name w:val="Table Grid1"/>
    <w:basedOn w:val="TableNormal"/>
    <w:next w:val="TableGrid"/>
    <w:uiPriority w:val="39"/>
    <w:rsid w:val="003C1B8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1B8B"/>
    <w:rPr>
      <w:rFonts w:asciiTheme="minorHAnsi" w:eastAsiaTheme="minorHAnsi" w:hAnsiTheme="minorHAnsi" w:cstheme="minorBidi"/>
      <w:sz w:val="22"/>
      <w:szCs w:val="22"/>
      <w:lang w:val="en-GB" w:eastAsia="en-US"/>
    </w:rPr>
  </w:style>
  <w:style w:type="paragraph" w:customStyle="1" w:styleId="Default">
    <w:name w:val="Default"/>
    <w:basedOn w:val="Normal"/>
    <w:rsid w:val="003C1B8B"/>
    <w:pPr>
      <w:autoSpaceDE w:val="0"/>
      <w:autoSpaceDN w:val="0"/>
      <w:spacing w:before="0" w:after="0"/>
      <w:jc w:val="left"/>
    </w:pPr>
    <w:rPr>
      <w:rFonts w:ascii="Calibri" w:eastAsiaTheme="minorHAnsi" w:hAnsi="Calibri" w:cs="Calibri"/>
      <w:color w:val="000000"/>
      <w:sz w:val="24"/>
      <w:szCs w:val="24"/>
      <w:lang w:val="en-GB" w:eastAsia="en-GB"/>
    </w:rPr>
  </w:style>
  <w:style w:type="paragraph" w:styleId="NormalWeb">
    <w:name w:val="Normal (Web)"/>
    <w:basedOn w:val="Normal"/>
    <w:uiPriority w:val="99"/>
    <w:semiHidden/>
    <w:unhideWhenUsed/>
    <w:rsid w:val="003C1B8B"/>
    <w:pPr>
      <w:spacing w:before="100" w:beforeAutospacing="1" w:after="100" w:afterAutospacing="1"/>
      <w:jc w:val="left"/>
    </w:pPr>
    <w:rPr>
      <w:rFonts w:ascii="Times New Roman" w:eastAsia="Times New Roman" w:hAnsi="Times New Roman"/>
      <w:sz w:val="24"/>
      <w:szCs w:val="24"/>
      <w:lang w:val="en-GB" w:eastAsia="en-GB"/>
    </w:rPr>
  </w:style>
  <w:style w:type="character" w:styleId="Mention">
    <w:name w:val="Mention"/>
    <w:basedOn w:val="DefaultParagraphFont"/>
    <w:uiPriority w:val="99"/>
    <w:unhideWhenUsed/>
    <w:rsid w:val="003C1B8B"/>
    <w:rPr>
      <w:color w:val="2B579A"/>
      <w:shd w:val="clear" w:color="auto" w:fill="E6E6E6"/>
    </w:rPr>
  </w:style>
  <w:style w:type="character" w:styleId="UnresolvedMention">
    <w:name w:val="Unresolved Mention"/>
    <w:basedOn w:val="DefaultParagraphFont"/>
    <w:uiPriority w:val="99"/>
    <w:unhideWhenUsed/>
    <w:rsid w:val="003C1B8B"/>
    <w:rPr>
      <w:color w:val="605E5C"/>
      <w:shd w:val="clear" w:color="auto" w:fill="E1DFDD"/>
    </w:rPr>
  </w:style>
  <w:style w:type="character" w:customStyle="1" w:styleId="normaltextrun">
    <w:name w:val="normaltextrun"/>
    <w:basedOn w:val="DefaultParagraphFont"/>
    <w:rsid w:val="003C1B8B"/>
  </w:style>
  <w:style w:type="character" w:styleId="PlaceholderText">
    <w:name w:val="Placeholder Text"/>
    <w:basedOn w:val="DefaultParagraphFont"/>
    <w:uiPriority w:val="99"/>
    <w:semiHidden/>
    <w:rsid w:val="003C1B8B"/>
    <w:rPr>
      <w:color w:val="808080"/>
    </w:rPr>
  </w:style>
  <w:style w:type="paragraph" w:styleId="EndnoteText">
    <w:name w:val="endnote text"/>
    <w:basedOn w:val="Normal"/>
    <w:link w:val="EndnoteTextChar"/>
    <w:uiPriority w:val="99"/>
    <w:semiHidden/>
    <w:unhideWhenUsed/>
    <w:rsid w:val="003B51F7"/>
    <w:pPr>
      <w:spacing w:before="0" w:after="0"/>
    </w:pPr>
    <w:rPr>
      <w:sz w:val="20"/>
      <w:szCs w:val="20"/>
    </w:rPr>
  </w:style>
  <w:style w:type="character" w:customStyle="1" w:styleId="EndnoteTextChar">
    <w:name w:val="Endnote Text Char"/>
    <w:basedOn w:val="DefaultParagraphFont"/>
    <w:link w:val="EndnoteText"/>
    <w:uiPriority w:val="99"/>
    <w:semiHidden/>
    <w:rsid w:val="003B51F7"/>
    <w:rPr>
      <w:lang w:val="en-IE" w:eastAsia="en-US"/>
    </w:rPr>
  </w:style>
  <w:style w:type="character" w:styleId="EndnoteReference">
    <w:name w:val="endnote reference"/>
    <w:basedOn w:val="DefaultParagraphFont"/>
    <w:uiPriority w:val="99"/>
    <w:semiHidden/>
    <w:unhideWhenUsed/>
    <w:rsid w:val="003B5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6243">
      <w:bodyDiv w:val="1"/>
      <w:marLeft w:val="0"/>
      <w:marRight w:val="0"/>
      <w:marTop w:val="0"/>
      <w:marBottom w:val="0"/>
      <w:divBdr>
        <w:top w:val="none" w:sz="0" w:space="0" w:color="auto"/>
        <w:left w:val="none" w:sz="0" w:space="0" w:color="auto"/>
        <w:bottom w:val="none" w:sz="0" w:space="0" w:color="auto"/>
        <w:right w:val="none" w:sz="0" w:space="0" w:color="auto"/>
      </w:divBdr>
    </w:div>
    <w:div w:id="41711268">
      <w:bodyDiv w:val="1"/>
      <w:marLeft w:val="0"/>
      <w:marRight w:val="0"/>
      <w:marTop w:val="0"/>
      <w:marBottom w:val="0"/>
      <w:divBdr>
        <w:top w:val="none" w:sz="0" w:space="0" w:color="auto"/>
        <w:left w:val="none" w:sz="0" w:space="0" w:color="auto"/>
        <w:bottom w:val="none" w:sz="0" w:space="0" w:color="auto"/>
        <w:right w:val="none" w:sz="0" w:space="0" w:color="auto"/>
      </w:divBdr>
    </w:div>
    <w:div w:id="62488215">
      <w:bodyDiv w:val="1"/>
      <w:marLeft w:val="0"/>
      <w:marRight w:val="0"/>
      <w:marTop w:val="0"/>
      <w:marBottom w:val="0"/>
      <w:divBdr>
        <w:top w:val="none" w:sz="0" w:space="0" w:color="auto"/>
        <w:left w:val="none" w:sz="0" w:space="0" w:color="auto"/>
        <w:bottom w:val="none" w:sz="0" w:space="0" w:color="auto"/>
        <w:right w:val="none" w:sz="0" w:space="0" w:color="auto"/>
      </w:divBdr>
    </w:div>
    <w:div w:id="65348578">
      <w:bodyDiv w:val="1"/>
      <w:marLeft w:val="0"/>
      <w:marRight w:val="0"/>
      <w:marTop w:val="0"/>
      <w:marBottom w:val="0"/>
      <w:divBdr>
        <w:top w:val="none" w:sz="0" w:space="0" w:color="auto"/>
        <w:left w:val="none" w:sz="0" w:space="0" w:color="auto"/>
        <w:bottom w:val="none" w:sz="0" w:space="0" w:color="auto"/>
        <w:right w:val="none" w:sz="0" w:space="0" w:color="auto"/>
      </w:divBdr>
    </w:div>
    <w:div w:id="92827167">
      <w:bodyDiv w:val="1"/>
      <w:marLeft w:val="0"/>
      <w:marRight w:val="0"/>
      <w:marTop w:val="0"/>
      <w:marBottom w:val="0"/>
      <w:divBdr>
        <w:top w:val="none" w:sz="0" w:space="0" w:color="auto"/>
        <w:left w:val="none" w:sz="0" w:space="0" w:color="auto"/>
        <w:bottom w:val="none" w:sz="0" w:space="0" w:color="auto"/>
        <w:right w:val="none" w:sz="0" w:space="0" w:color="auto"/>
      </w:divBdr>
    </w:div>
    <w:div w:id="107702230">
      <w:bodyDiv w:val="1"/>
      <w:marLeft w:val="0"/>
      <w:marRight w:val="0"/>
      <w:marTop w:val="0"/>
      <w:marBottom w:val="0"/>
      <w:divBdr>
        <w:top w:val="none" w:sz="0" w:space="0" w:color="auto"/>
        <w:left w:val="none" w:sz="0" w:space="0" w:color="auto"/>
        <w:bottom w:val="none" w:sz="0" w:space="0" w:color="auto"/>
        <w:right w:val="none" w:sz="0" w:space="0" w:color="auto"/>
      </w:divBdr>
    </w:div>
    <w:div w:id="117189864">
      <w:bodyDiv w:val="1"/>
      <w:marLeft w:val="0"/>
      <w:marRight w:val="0"/>
      <w:marTop w:val="0"/>
      <w:marBottom w:val="0"/>
      <w:divBdr>
        <w:top w:val="none" w:sz="0" w:space="0" w:color="auto"/>
        <w:left w:val="none" w:sz="0" w:space="0" w:color="auto"/>
        <w:bottom w:val="none" w:sz="0" w:space="0" w:color="auto"/>
        <w:right w:val="none" w:sz="0" w:space="0" w:color="auto"/>
      </w:divBdr>
    </w:div>
    <w:div w:id="225143057">
      <w:bodyDiv w:val="1"/>
      <w:marLeft w:val="0"/>
      <w:marRight w:val="0"/>
      <w:marTop w:val="0"/>
      <w:marBottom w:val="0"/>
      <w:divBdr>
        <w:top w:val="none" w:sz="0" w:space="0" w:color="auto"/>
        <w:left w:val="none" w:sz="0" w:space="0" w:color="auto"/>
        <w:bottom w:val="none" w:sz="0" w:space="0" w:color="auto"/>
        <w:right w:val="none" w:sz="0" w:space="0" w:color="auto"/>
      </w:divBdr>
    </w:div>
    <w:div w:id="355473140">
      <w:bodyDiv w:val="1"/>
      <w:marLeft w:val="0"/>
      <w:marRight w:val="0"/>
      <w:marTop w:val="0"/>
      <w:marBottom w:val="0"/>
      <w:divBdr>
        <w:top w:val="none" w:sz="0" w:space="0" w:color="auto"/>
        <w:left w:val="none" w:sz="0" w:space="0" w:color="auto"/>
        <w:bottom w:val="none" w:sz="0" w:space="0" w:color="auto"/>
        <w:right w:val="none" w:sz="0" w:space="0" w:color="auto"/>
      </w:divBdr>
    </w:div>
    <w:div w:id="372653769">
      <w:bodyDiv w:val="1"/>
      <w:marLeft w:val="0"/>
      <w:marRight w:val="0"/>
      <w:marTop w:val="0"/>
      <w:marBottom w:val="0"/>
      <w:divBdr>
        <w:top w:val="none" w:sz="0" w:space="0" w:color="auto"/>
        <w:left w:val="none" w:sz="0" w:space="0" w:color="auto"/>
        <w:bottom w:val="none" w:sz="0" w:space="0" w:color="auto"/>
        <w:right w:val="none" w:sz="0" w:space="0" w:color="auto"/>
      </w:divBdr>
    </w:div>
    <w:div w:id="387729149">
      <w:bodyDiv w:val="1"/>
      <w:marLeft w:val="0"/>
      <w:marRight w:val="0"/>
      <w:marTop w:val="0"/>
      <w:marBottom w:val="0"/>
      <w:divBdr>
        <w:top w:val="none" w:sz="0" w:space="0" w:color="auto"/>
        <w:left w:val="none" w:sz="0" w:space="0" w:color="auto"/>
        <w:bottom w:val="none" w:sz="0" w:space="0" w:color="auto"/>
        <w:right w:val="none" w:sz="0" w:space="0" w:color="auto"/>
      </w:divBdr>
    </w:div>
    <w:div w:id="436486108">
      <w:bodyDiv w:val="1"/>
      <w:marLeft w:val="0"/>
      <w:marRight w:val="0"/>
      <w:marTop w:val="0"/>
      <w:marBottom w:val="0"/>
      <w:divBdr>
        <w:top w:val="none" w:sz="0" w:space="0" w:color="auto"/>
        <w:left w:val="none" w:sz="0" w:space="0" w:color="auto"/>
        <w:bottom w:val="none" w:sz="0" w:space="0" w:color="auto"/>
        <w:right w:val="none" w:sz="0" w:space="0" w:color="auto"/>
      </w:divBdr>
    </w:div>
    <w:div w:id="444689127">
      <w:bodyDiv w:val="1"/>
      <w:marLeft w:val="0"/>
      <w:marRight w:val="0"/>
      <w:marTop w:val="0"/>
      <w:marBottom w:val="0"/>
      <w:divBdr>
        <w:top w:val="none" w:sz="0" w:space="0" w:color="auto"/>
        <w:left w:val="none" w:sz="0" w:space="0" w:color="auto"/>
        <w:bottom w:val="none" w:sz="0" w:space="0" w:color="auto"/>
        <w:right w:val="none" w:sz="0" w:space="0" w:color="auto"/>
      </w:divBdr>
    </w:div>
    <w:div w:id="648176043">
      <w:bodyDiv w:val="1"/>
      <w:marLeft w:val="0"/>
      <w:marRight w:val="0"/>
      <w:marTop w:val="0"/>
      <w:marBottom w:val="0"/>
      <w:divBdr>
        <w:top w:val="none" w:sz="0" w:space="0" w:color="auto"/>
        <w:left w:val="none" w:sz="0" w:space="0" w:color="auto"/>
        <w:bottom w:val="none" w:sz="0" w:space="0" w:color="auto"/>
        <w:right w:val="none" w:sz="0" w:space="0" w:color="auto"/>
      </w:divBdr>
    </w:div>
    <w:div w:id="657421016">
      <w:bodyDiv w:val="1"/>
      <w:marLeft w:val="0"/>
      <w:marRight w:val="0"/>
      <w:marTop w:val="0"/>
      <w:marBottom w:val="0"/>
      <w:divBdr>
        <w:top w:val="none" w:sz="0" w:space="0" w:color="auto"/>
        <w:left w:val="none" w:sz="0" w:space="0" w:color="auto"/>
        <w:bottom w:val="none" w:sz="0" w:space="0" w:color="auto"/>
        <w:right w:val="none" w:sz="0" w:space="0" w:color="auto"/>
      </w:divBdr>
    </w:div>
    <w:div w:id="662977561">
      <w:bodyDiv w:val="1"/>
      <w:marLeft w:val="0"/>
      <w:marRight w:val="0"/>
      <w:marTop w:val="0"/>
      <w:marBottom w:val="0"/>
      <w:divBdr>
        <w:top w:val="none" w:sz="0" w:space="0" w:color="auto"/>
        <w:left w:val="none" w:sz="0" w:space="0" w:color="auto"/>
        <w:bottom w:val="none" w:sz="0" w:space="0" w:color="auto"/>
        <w:right w:val="none" w:sz="0" w:space="0" w:color="auto"/>
      </w:divBdr>
    </w:div>
    <w:div w:id="721518580">
      <w:bodyDiv w:val="1"/>
      <w:marLeft w:val="0"/>
      <w:marRight w:val="0"/>
      <w:marTop w:val="0"/>
      <w:marBottom w:val="0"/>
      <w:divBdr>
        <w:top w:val="none" w:sz="0" w:space="0" w:color="auto"/>
        <w:left w:val="none" w:sz="0" w:space="0" w:color="auto"/>
        <w:bottom w:val="none" w:sz="0" w:space="0" w:color="auto"/>
        <w:right w:val="none" w:sz="0" w:space="0" w:color="auto"/>
      </w:divBdr>
    </w:div>
    <w:div w:id="793329638">
      <w:bodyDiv w:val="1"/>
      <w:marLeft w:val="0"/>
      <w:marRight w:val="0"/>
      <w:marTop w:val="0"/>
      <w:marBottom w:val="0"/>
      <w:divBdr>
        <w:top w:val="none" w:sz="0" w:space="0" w:color="auto"/>
        <w:left w:val="none" w:sz="0" w:space="0" w:color="auto"/>
        <w:bottom w:val="none" w:sz="0" w:space="0" w:color="auto"/>
        <w:right w:val="none" w:sz="0" w:space="0" w:color="auto"/>
      </w:divBdr>
    </w:div>
    <w:div w:id="796801038">
      <w:bodyDiv w:val="1"/>
      <w:marLeft w:val="0"/>
      <w:marRight w:val="0"/>
      <w:marTop w:val="0"/>
      <w:marBottom w:val="0"/>
      <w:divBdr>
        <w:top w:val="none" w:sz="0" w:space="0" w:color="auto"/>
        <w:left w:val="none" w:sz="0" w:space="0" w:color="auto"/>
        <w:bottom w:val="none" w:sz="0" w:space="0" w:color="auto"/>
        <w:right w:val="none" w:sz="0" w:space="0" w:color="auto"/>
      </w:divBdr>
    </w:div>
    <w:div w:id="979841962">
      <w:bodyDiv w:val="1"/>
      <w:marLeft w:val="0"/>
      <w:marRight w:val="0"/>
      <w:marTop w:val="0"/>
      <w:marBottom w:val="0"/>
      <w:divBdr>
        <w:top w:val="none" w:sz="0" w:space="0" w:color="auto"/>
        <w:left w:val="none" w:sz="0" w:space="0" w:color="auto"/>
        <w:bottom w:val="none" w:sz="0" w:space="0" w:color="auto"/>
        <w:right w:val="none" w:sz="0" w:space="0" w:color="auto"/>
      </w:divBdr>
    </w:div>
    <w:div w:id="983781279">
      <w:bodyDiv w:val="1"/>
      <w:marLeft w:val="0"/>
      <w:marRight w:val="0"/>
      <w:marTop w:val="0"/>
      <w:marBottom w:val="0"/>
      <w:divBdr>
        <w:top w:val="none" w:sz="0" w:space="0" w:color="auto"/>
        <w:left w:val="none" w:sz="0" w:space="0" w:color="auto"/>
        <w:bottom w:val="none" w:sz="0" w:space="0" w:color="auto"/>
        <w:right w:val="none" w:sz="0" w:space="0" w:color="auto"/>
      </w:divBdr>
    </w:div>
    <w:div w:id="1028987918">
      <w:bodyDiv w:val="1"/>
      <w:marLeft w:val="0"/>
      <w:marRight w:val="0"/>
      <w:marTop w:val="0"/>
      <w:marBottom w:val="0"/>
      <w:divBdr>
        <w:top w:val="none" w:sz="0" w:space="0" w:color="auto"/>
        <w:left w:val="none" w:sz="0" w:space="0" w:color="auto"/>
        <w:bottom w:val="none" w:sz="0" w:space="0" w:color="auto"/>
        <w:right w:val="none" w:sz="0" w:space="0" w:color="auto"/>
      </w:divBdr>
    </w:div>
    <w:div w:id="1034038682">
      <w:bodyDiv w:val="1"/>
      <w:marLeft w:val="0"/>
      <w:marRight w:val="0"/>
      <w:marTop w:val="0"/>
      <w:marBottom w:val="0"/>
      <w:divBdr>
        <w:top w:val="none" w:sz="0" w:space="0" w:color="auto"/>
        <w:left w:val="none" w:sz="0" w:space="0" w:color="auto"/>
        <w:bottom w:val="none" w:sz="0" w:space="0" w:color="auto"/>
        <w:right w:val="none" w:sz="0" w:space="0" w:color="auto"/>
      </w:divBdr>
    </w:div>
    <w:div w:id="1086076514">
      <w:bodyDiv w:val="1"/>
      <w:marLeft w:val="0"/>
      <w:marRight w:val="0"/>
      <w:marTop w:val="0"/>
      <w:marBottom w:val="0"/>
      <w:divBdr>
        <w:top w:val="none" w:sz="0" w:space="0" w:color="auto"/>
        <w:left w:val="none" w:sz="0" w:space="0" w:color="auto"/>
        <w:bottom w:val="none" w:sz="0" w:space="0" w:color="auto"/>
        <w:right w:val="none" w:sz="0" w:space="0" w:color="auto"/>
      </w:divBdr>
    </w:div>
    <w:div w:id="1092553899">
      <w:bodyDiv w:val="1"/>
      <w:marLeft w:val="0"/>
      <w:marRight w:val="0"/>
      <w:marTop w:val="0"/>
      <w:marBottom w:val="0"/>
      <w:divBdr>
        <w:top w:val="none" w:sz="0" w:space="0" w:color="auto"/>
        <w:left w:val="none" w:sz="0" w:space="0" w:color="auto"/>
        <w:bottom w:val="none" w:sz="0" w:space="0" w:color="auto"/>
        <w:right w:val="none" w:sz="0" w:space="0" w:color="auto"/>
      </w:divBdr>
    </w:div>
    <w:div w:id="1097091842">
      <w:bodyDiv w:val="1"/>
      <w:marLeft w:val="0"/>
      <w:marRight w:val="0"/>
      <w:marTop w:val="0"/>
      <w:marBottom w:val="0"/>
      <w:divBdr>
        <w:top w:val="none" w:sz="0" w:space="0" w:color="auto"/>
        <w:left w:val="none" w:sz="0" w:space="0" w:color="auto"/>
        <w:bottom w:val="none" w:sz="0" w:space="0" w:color="auto"/>
        <w:right w:val="none" w:sz="0" w:space="0" w:color="auto"/>
      </w:divBdr>
    </w:div>
    <w:div w:id="1133253237">
      <w:bodyDiv w:val="1"/>
      <w:marLeft w:val="0"/>
      <w:marRight w:val="0"/>
      <w:marTop w:val="0"/>
      <w:marBottom w:val="0"/>
      <w:divBdr>
        <w:top w:val="none" w:sz="0" w:space="0" w:color="auto"/>
        <w:left w:val="none" w:sz="0" w:space="0" w:color="auto"/>
        <w:bottom w:val="none" w:sz="0" w:space="0" w:color="auto"/>
        <w:right w:val="none" w:sz="0" w:space="0" w:color="auto"/>
      </w:divBdr>
    </w:div>
    <w:div w:id="1152719487">
      <w:bodyDiv w:val="1"/>
      <w:marLeft w:val="0"/>
      <w:marRight w:val="0"/>
      <w:marTop w:val="0"/>
      <w:marBottom w:val="0"/>
      <w:divBdr>
        <w:top w:val="none" w:sz="0" w:space="0" w:color="auto"/>
        <w:left w:val="none" w:sz="0" w:space="0" w:color="auto"/>
        <w:bottom w:val="none" w:sz="0" w:space="0" w:color="auto"/>
        <w:right w:val="none" w:sz="0" w:space="0" w:color="auto"/>
      </w:divBdr>
    </w:div>
    <w:div w:id="1210804960">
      <w:bodyDiv w:val="1"/>
      <w:marLeft w:val="0"/>
      <w:marRight w:val="0"/>
      <w:marTop w:val="0"/>
      <w:marBottom w:val="0"/>
      <w:divBdr>
        <w:top w:val="none" w:sz="0" w:space="0" w:color="auto"/>
        <w:left w:val="none" w:sz="0" w:space="0" w:color="auto"/>
        <w:bottom w:val="none" w:sz="0" w:space="0" w:color="auto"/>
        <w:right w:val="none" w:sz="0" w:space="0" w:color="auto"/>
      </w:divBdr>
    </w:div>
    <w:div w:id="1260917137">
      <w:bodyDiv w:val="1"/>
      <w:marLeft w:val="0"/>
      <w:marRight w:val="0"/>
      <w:marTop w:val="0"/>
      <w:marBottom w:val="0"/>
      <w:divBdr>
        <w:top w:val="none" w:sz="0" w:space="0" w:color="auto"/>
        <w:left w:val="none" w:sz="0" w:space="0" w:color="auto"/>
        <w:bottom w:val="none" w:sz="0" w:space="0" w:color="auto"/>
        <w:right w:val="none" w:sz="0" w:space="0" w:color="auto"/>
      </w:divBdr>
    </w:div>
    <w:div w:id="1293831979">
      <w:bodyDiv w:val="1"/>
      <w:marLeft w:val="0"/>
      <w:marRight w:val="0"/>
      <w:marTop w:val="0"/>
      <w:marBottom w:val="0"/>
      <w:divBdr>
        <w:top w:val="none" w:sz="0" w:space="0" w:color="auto"/>
        <w:left w:val="none" w:sz="0" w:space="0" w:color="auto"/>
        <w:bottom w:val="none" w:sz="0" w:space="0" w:color="auto"/>
        <w:right w:val="none" w:sz="0" w:space="0" w:color="auto"/>
      </w:divBdr>
    </w:div>
    <w:div w:id="1309243247">
      <w:bodyDiv w:val="1"/>
      <w:marLeft w:val="0"/>
      <w:marRight w:val="0"/>
      <w:marTop w:val="0"/>
      <w:marBottom w:val="0"/>
      <w:divBdr>
        <w:top w:val="none" w:sz="0" w:space="0" w:color="auto"/>
        <w:left w:val="none" w:sz="0" w:space="0" w:color="auto"/>
        <w:bottom w:val="none" w:sz="0" w:space="0" w:color="auto"/>
        <w:right w:val="none" w:sz="0" w:space="0" w:color="auto"/>
      </w:divBdr>
    </w:div>
    <w:div w:id="1372997833">
      <w:bodyDiv w:val="1"/>
      <w:marLeft w:val="0"/>
      <w:marRight w:val="0"/>
      <w:marTop w:val="0"/>
      <w:marBottom w:val="0"/>
      <w:divBdr>
        <w:top w:val="none" w:sz="0" w:space="0" w:color="auto"/>
        <w:left w:val="none" w:sz="0" w:space="0" w:color="auto"/>
        <w:bottom w:val="none" w:sz="0" w:space="0" w:color="auto"/>
        <w:right w:val="none" w:sz="0" w:space="0" w:color="auto"/>
      </w:divBdr>
    </w:div>
    <w:div w:id="1424182343">
      <w:bodyDiv w:val="1"/>
      <w:marLeft w:val="0"/>
      <w:marRight w:val="0"/>
      <w:marTop w:val="0"/>
      <w:marBottom w:val="0"/>
      <w:divBdr>
        <w:top w:val="none" w:sz="0" w:space="0" w:color="auto"/>
        <w:left w:val="none" w:sz="0" w:space="0" w:color="auto"/>
        <w:bottom w:val="none" w:sz="0" w:space="0" w:color="auto"/>
        <w:right w:val="none" w:sz="0" w:space="0" w:color="auto"/>
      </w:divBdr>
    </w:div>
    <w:div w:id="1549217144">
      <w:bodyDiv w:val="1"/>
      <w:marLeft w:val="0"/>
      <w:marRight w:val="0"/>
      <w:marTop w:val="0"/>
      <w:marBottom w:val="0"/>
      <w:divBdr>
        <w:top w:val="none" w:sz="0" w:space="0" w:color="auto"/>
        <w:left w:val="none" w:sz="0" w:space="0" w:color="auto"/>
        <w:bottom w:val="none" w:sz="0" w:space="0" w:color="auto"/>
        <w:right w:val="none" w:sz="0" w:space="0" w:color="auto"/>
      </w:divBdr>
    </w:div>
    <w:div w:id="1675567197">
      <w:bodyDiv w:val="1"/>
      <w:marLeft w:val="0"/>
      <w:marRight w:val="0"/>
      <w:marTop w:val="0"/>
      <w:marBottom w:val="0"/>
      <w:divBdr>
        <w:top w:val="none" w:sz="0" w:space="0" w:color="auto"/>
        <w:left w:val="none" w:sz="0" w:space="0" w:color="auto"/>
        <w:bottom w:val="none" w:sz="0" w:space="0" w:color="auto"/>
        <w:right w:val="none" w:sz="0" w:space="0" w:color="auto"/>
      </w:divBdr>
    </w:div>
    <w:div w:id="1734354642">
      <w:bodyDiv w:val="1"/>
      <w:marLeft w:val="0"/>
      <w:marRight w:val="0"/>
      <w:marTop w:val="0"/>
      <w:marBottom w:val="0"/>
      <w:divBdr>
        <w:top w:val="none" w:sz="0" w:space="0" w:color="auto"/>
        <w:left w:val="none" w:sz="0" w:space="0" w:color="auto"/>
        <w:bottom w:val="none" w:sz="0" w:space="0" w:color="auto"/>
        <w:right w:val="none" w:sz="0" w:space="0" w:color="auto"/>
      </w:divBdr>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81874710">
      <w:bodyDiv w:val="1"/>
      <w:marLeft w:val="0"/>
      <w:marRight w:val="0"/>
      <w:marTop w:val="0"/>
      <w:marBottom w:val="0"/>
      <w:divBdr>
        <w:top w:val="none" w:sz="0" w:space="0" w:color="auto"/>
        <w:left w:val="none" w:sz="0" w:space="0" w:color="auto"/>
        <w:bottom w:val="none" w:sz="0" w:space="0" w:color="auto"/>
        <w:right w:val="none" w:sz="0" w:space="0" w:color="auto"/>
      </w:divBdr>
    </w:div>
    <w:div w:id="1804226783">
      <w:bodyDiv w:val="1"/>
      <w:marLeft w:val="0"/>
      <w:marRight w:val="0"/>
      <w:marTop w:val="0"/>
      <w:marBottom w:val="0"/>
      <w:divBdr>
        <w:top w:val="none" w:sz="0" w:space="0" w:color="auto"/>
        <w:left w:val="none" w:sz="0" w:space="0" w:color="auto"/>
        <w:bottom w:val="none" w:sz="0" w:space="0" w:color="auto"/>
        <w:right w:val="none" w:sz="0" w:space="0" w:color="auto"/>
      </w:divBdr>
    </w:div>
    <w:div w:id="1821575527">
      <w:bodyDiv w:val="1"/>
      <w:marLeft w:val="0"/>
      <w:marRight w:val="0"/>
      <w:marTop w:val="0"/>
      <w:marBottom w:val="0"/>
      <w:divBdr>
        <w:top w:val="none" w:sz="0" w:space="0" w:color="auto"/>
        <w:left w:val="none" w:sz="0" w:space="0" w:color="auto"/>
        <w:bottom w:val="none" w:sz="0" w:space="0" w:color="auto"/>
        <w:right w:val="none" w:sz="0" w:space="0" w:color="auto"/>
      </w:divBdr>
    </w:div>
    <w:div w:id="1922371671">
      <w:bodyDiv w:val="1"/>
      <w:marLeft w:val="0"/>
      <w:marRight w:val="0"/>
      <w:marTop w:val="0"/>
      <w:marBottom w:val="0"/>
      <w:divBdr>
        <w:top w:val="none" w:sz="0" w:space="0" w:color="auto"/>
        <w:left w:val="none" w:sz="0" w:space="0" w:color="auto"/>
        <w:bottom w:val="none" w:sz="0" w:space="0" w:color="auto"/>
        <w:right w:val="none" w:sz="0" w:space="0" w:color="auto"/>
      </w:divBdr>
    </w:div>
    <w:div w:id="2002733039">
      <w:bodyDiv w:val="1"/>
      <w:marLeft w:val="0"/>
      <w:marRight w:val="0"/>
      <w:marTop w:val="0"/>
      <w:marBottom w:val="0"/>
      <w:divBdr>
        <w:top w:val="none" w:sz="0" w:space="0" w:color="auto"/>
        <w:left w:val="none" w:sz="0" w:space="0" w:color="auto"/>
        <w:bottom w:val="none" w:sz="0" w:space="0" w:color="auto"/>
        <w:right w:val="none" w:sz="0" w:space="0" w:color="auto"/>
      </w:divBdr>
    </w:div>
    <w:div w:id="20578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8.svg" Id="rId18" /><Relationship Type="http://schemas.openxmlformats.org/officeDocument/2006/relationships/chart" Target="charts/chart1.xml" Id="rId26" /><Relationship Type="http://schemas.openxmlformats.org/officeDocument/2006/relationships/header" Target="header1.xml" Id="rId39" /><Relationship Type="http://schemas.openxmlformats.org/officeDocument/2006/relationships/diagramQuickStyle" Target="diagrams/quickStyle1.xml" Id="rId21" /><Relationship Type="http://schemas.openxmlformats.org/officeDocument/2006/relationships/image" Target="media/image17.png" Id="rId34" /><Relationship Type="http://schemas.openxmlformats.org/officeDocument/2006/relationships/footer" Target="footer2.xml" Id="rId42" /><Relationship Type="http://schemas.openxmlformats.org/officeDocument/2006/relationships/webSettings" Target="webSettings.xml" Id="rId7" /><Relationship Type="http://schemas.openxmlformats.org/officeDocument/2006/relationships/image" Target="media/image6.svg" Id="rId16" /><Relationship Type="http://schemas.openxmlformats.org/officeDocument/2006/relationships/image" Target="media/image12.svg"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image" Target="media/image9.png" Id="rId24" /><Relationship Type="http://schemas.openxmlformats.org/officeDocument/2006/relationships/image" Target="media/image15.png" Id="rId32" /><Relationship Type="http://schemas.openxmlformats.org/officeDocument/2006/relationships/image" Target="media/image20.svg" Id="rId37" /><Relationship Type="http://schemas.openxmlformats.org/officeDocument/2006/relationships/header" Target="header2.xml" Id="rId40" /><Relationship Type="http://schemas.openxmlformats.org/officeDocument/2006/relationships/fontTable" Target="fontTable.xml" Id="rId45" /><Relationship Type="http://schemas.openxmlformats.org/officeDocument/2006/relationships/styles" Target="styles.xml" Id="rId5" /><Relationship Type="http://schemas.openxmlformats.org/officeDocument/2006/relationships/image" Target="media/image5.png" Id="rId15" /><Relationship Type="http://schemas.microsoft.com/office/2007/relationships/diagramDrawing" Target="diagrams/drawing1.xml" Id="rId23" /><Relationship Type="http://schemas.openxmlformats.org/officeDocument/2006/relationships/image" Target="media/image11.png" Id="rId28" /><Relationship Type="http://schemas.openxmlformats.org/officeDocument/2006/relationships/image" Target="media/image19.png" Id="rId36" /><Relationship Type="http://schemas.openxmlformats.org/officeDocument/2006/relationships/hyperlink" Target="https://protect-eu.mimecast.com/s/UOodCVN2kIPRlLXiGBftS?domain=iqeq.com" TargetMode="External" Id="rId10" /><Relationship Type="http://schemas.openxmlformats.org/officeDocument/2006/relationships/diagramData" Target="diagrams/data1.xml" Id="rId19" /><Relationship Type="http://schemas.openxmlformats.org/officeDocument/2006/relationships/image" Target="media/image14.svg" Id="rId31" /><Relationship Type="http://schemas.openxmlformats.org/officeDocument/2006/relationships/footer" Target="footer3.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svg" Id="rId14" /><Relationship Type="http://schemas.openxmlformats.org/officeDocument/2006/relationships/diagramColors" Target="diagrams/colors1.xml" Id="rId22" /><Relationship Type="http://schemas.openxmlformats.org/officeDocument/2006/relationships/chart" Target="charts/chart2.xml" Id="rId27" /><Relationship Type="http://schemas.openxmlformats.org/officeDocument/2006/relationships/image" Target="media/image13.png" Id="rId30" /><Relationship Type="http://schemas.openxmlformats.org/officeDocument/2006/relationships/image" Target="media/image18.svg" Id="rId35" /><Relationship Type="http://schemas.openxmlformats.org/officeDocument/2006/relationships/header" Target="header3.xml" Id="rId43" /><Relationship Type="http://schemas.openxmlformats.org/officeDocument/2006/relationships/footnotes" Target="footnotes.xml" Id="rId8" /><Relationship Type="http://schemas.openxmlformats.org/officeDocument/2006/relationships/image" Target="media/image2.svg" Id="rId12" /><Relationship Type="http://schemas.openxmlformats.org/officeDocument/2006/relationships/image" Target="media/image7.png" Id="rId17" /><Relationship Type="http://schemas.openxmlformats.org/officeDocument/2006/relationships/image" Target="media/image10.svg" Id="rId25" /><Relationship Type="http://schemas.openxmlformats.org/officeDocument/2006/relationships/image" Target="media/image16.svg" Id="rId33" /><Relationship Type="http://schemas.openxmlformats.org/officeDocument/2006/relationships/hyperlink" Target="https://iqeq.com/davy-funds-plc" TargetMode="External" Id="rId38" /><Relationship Type="http://schemas.openxmlformats.org/officeDocument/2006/relationships/theme" Target="theme/theme1.xml" Id="rId46" /><Relationship Type="http://schemas.openxmlformats.org/officeDocument/2006/relationships/diagramLayout" Target="diagrams/layout1.xml" Id="rId20" /><Relationship Type="http://schemas.openxmlformats.org/officeDocument/2006/relationships/footer" Target="footer1.xml" Id="rId41" /></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0" i="0" u="none" strike="noStrike" kern="1200" spc="0" baseline="0">
                <a:solidFill>
                  <a:schemeClr val="tx1">
                    <a:lumMod val="65000"/>
                    <a:lumOff val="35000"/>
                  </a:schemeClr>
                </a:solidFill>
                <a:latin typeface="+mn-lt"/>
                <a:ea typeface="+mn-ea"/>
                <a:cs typeface="+mn-cs"/>
              </a:defRPr>
            </a:pPr>
            <a:r>
              <a:rPr lang="en-US" sz="996"/>
              <a:t>1.</a:t>
            </a:r>
            <a:r>
              <a:rPr lang="en-US" sz="996" baseline="0"/>
              <a:t> Taxonomy-aligned of investments </a:t>
            </a:r>
            <a:r>
              <a:rPr lang="en-US" sz="996" b="1" baseline="0"/>
              <a:t>including sovereign bonds*</a:t>
            </a:r>
            <a:endParaRPr lang="en-US" sz="1000" b="1"/>
          </a:p>
        </c:rich>
      </c:tx>
      <c:layout>
        <c:manualLayout>
          <c:xMode val="edge"/>
          <c:yMode val="edge"/>
          <c:x val="0.14607924009498813"/>
          <c:y val="0"/>
        </c:manualLayout>
      </c:layout>
      <c:overlay val="0"/>
      <c:spPr>
        <a:noFill/>
        <a:ln w="25374">
          <a:noFill/>
        </a:ln>
      </c:spPr>
    </c:title>
    <c:autoTitleDeleted val="0"/>
    <c:plotArea>
      <c:layout>
        <c:manualLayout>
          <c:layoutTarget val="inner"/>
          <c:xMode val="edge"/>
          <c:yMode val="edge"/>
          <c:x val="0.62669716413982945"/>
          <c:y val="0.39852713178294569"/>
          <c:w val="0.26074489403477524"/>
          <c:h val="0.39313861930049443"/>
        </c:manualLayout>
      </c:layout>
      <c:pieChart>
        <c:varyColors val="1"/>
        <c:ser>
          <c:idx val="0"/>
          <c:order val="0"/>
          <c:tx>
            <c:strRef>
              <c:f>Sheet1!$B$1</c:f>
              <c:strCache>
                <c:ptCount val="1"/>
                <c:pt idx="0">
                  <c:v>Column2</c:v>
                </c:pt>
              </c:strCache>
            </c:strRef>
          </c:tx>
          <c:spPr>
            <a:solidFill>
              <a:schemeClr val="accent6">
                <a:lumMod val="75000"/>
              </a:schemeClr>
            </a:solidFill>
          </c:spPr>
          <c:explosion val="5"/>
          <c:dPt>
            <c:idx val="0"/>
            <c:bubble3D val="0"/>
            <c:spPr>
              <a:solidFill>
                <a:schemeClr val="accent6">
                  <a:lumMod val="75000"/>
                </a:schemeClr>
              </a:solidFill>
              <a:ln w="18981">
                <a:solidFill>
                  <a:schemeClr val="lt1"/>
                </a:solidFill>
              </a:ln>
              <a:effectLst/>
            </c:spPr>
            <c:extLst>
              <c:ext xmlns:c16="http://schemas.microsoft.com/office/drawing/2014/chart" uri="{C3380CC4-5D6E-409C-BE32-E72D297353CC}">
                <c16:uniqueId val="{00000001-EFF6-448F-AA37-5700FDD31ADE}"/>
              </c:ext>
            </c:extLst>
          </c:dPt>
          <c:dPt>
            <c:idx val="1"/>
            <c:bubble3D val="0"/>
            <c:explosion val="0"/>
            <c:spPr>
              <a:solidFill>
                <a:schemeClr val="bg1">
                  <a:lumMod val="85000"/>
                </a:schemeClr>
              </a:solidFill>
              <a:ln w="18981">
                <a:solidFill>
                  <a:schemeClr val="lt1"/>
                </a:solidFill>
              </a:ln>
              <a:effectLst/>
            </c:spPr>
            <c:extLst>
              <c:ext xmlns:c16="http://schemas.microsoft.com/office/drawing/2014/chart" uri="{C3380CC4-5D6E-409C-BE32-E72D297353CC}">
                <c16:uniqueId val="{00000003-EFF6-448F-AA37-5700FDD31ADE}"/>
              </c:ext>
            </c:extLst>
          </c:dPt>
          <c:dLbls>
            <c:dLbl>
              <c:idx val="0"/>
              <c:layout>
                <c:manualLayout>
                  <c:x val="4.7303326365591876E-2"/>
                  <c:y val="-2.9035585668070525E-2"/>
                </c:manualLayout>
              </c:layout>
              <c:tx>
                <c:rich>
                  <a:bodyPr rot="0" spcFirstLastPara="1" vertOverflow="ellipsis" vert="horz" wrap="square" lIns="38100" tIns="19050" rIns="38100" bIns="19050" anchor="ctr" anchorCtr="1">
                    <a:spAutoFit/>
                  </a:bodyPr>
                  <a:lstStyle/>
                  <a:p>
                    <a:pPr>
                      <a:defRPr sz="897" b="0" i="0" u="none" strike="noStrike" kern="1200" baseline="0">
                        <a:solidFill>
                          <a:schemeClr val="tx1"/>
                        </a:solidFill>
                        <a:latin typeface="+mn-lt"/>
                        <a:ea typeface="+mn-ea"/>
                        <a:cs typeface="+mn-cs"/>
                      </a:defRPr>
                    </a:pPr>
                    <a:r>
                      <a:rPr lang="en-US">
                        <a:solidFill>
                          <a:schemeClr val="tx1"/>
                        </a:solidFill>
                      </a:rPr>
                      <a:t>0%</a:t>
                    </a:r>
                  </a:p>
                </c:rich>
              </c:tx>
              <c:spPr>
                <a:noFill/>
                <a:ln w="25374">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FF6-448F-AA37-5700FDD31ADE}"/>
                </c:ext>
              </c:extLst>
            </c:dLbl>
            <c:dLbl>
              <c:idx val="1"/>
              <c:layout>
                <c:manualLayout>
                  <c:x val="0.13241139202072738"/>
                  <c:y val="-3.2979307819080754E-2"/>
                </c:manualLayout>
              </c:layout>
              <c:spPr>
                <a:noFill/>
                <a:ln w="25374">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F6-448F-AA37-5700FDD31AD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EFF6-448F-AA37-5700FDD31ADE}"/>
            </c:ext>
          </c:extLst>
        </c:ser>
        <c:dLbls>
          <c:showLegendKey val="0"/>
          <c:showVal val="0"/>
          <c:showCatName val="0"/>
          <c:showSerName val="0"/>
          <c:showPercent val="0"/>
          <c:showBubbleSize val="0"/>
          <c:showLeaderLines val="1"/>
        </c:dLbls>
        <c:firstSliceAng val="0"/>
      </c:pieChart>
      <c:spPr>
        <a:noFill/>
        <a:ln w="25374">
          <a:noFill/>
        </a:ln>
      </c:spPr>
    </c:plotArea>
    <c:legend>
      <c:legendPos val="b"/>
      <c:layout>
        <c:manualLayout>
          <c:xMode val="edge"/>
          <c:yMode val="edge"/>
          <c:x val="3.9717118693496645E-2"/>
          <c:y val="0.3498052217157066"/>
          <c:w val="0.40128525600966547"/>
          <c:h val="0.59593191201976947"/>
        </c:manualLayout>
      </c:layout>
      <c:overlay val="0"/>
      <c:spPr>
        <a:noFill/>
        <a:ln w="25374">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0"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97" b="0" i="0" u="none" strike="noStrike" kern="1200" spc="0" baseline="0">
                <a:solidFill>
                  <a:schemeClr val="tx1">
                    <a:lumMod val="65000"/>
                    <a:lumOff val="35000"/>
                  </a:schemeClr>
                </a:solidFill>
                <a:latin typeface="+mn-lt"/>
                <a:ea typeface="+mn-ea"/>
                <a:cs typeface="+mn-cs"/>
              </a:defRPr>
            </a:pPr>
            <a:r>
              <a:rPr lang="en-US" sz="996"/>
              <a:t>2. Taxonomy-alignment</a:t>
            </a:r>
            <a:r>
              <a:rPr lang="en-US" sz="996" baseline="0"/>
              <a:t> of investments </a:t>
            </a:r>
            <a:r>
              <a:rPr lang="en-US" sz="996" b="1" baseline="0"/>
              <a:t>excluding sovereign bonds*</a:t>
            </a:r>
            <a:endParaRPr lang="en-US" sz="1000" b="1"/>
          </a:p>
        </c:rich>
      </c:tx>
      <c:layout>
        <c:manualLayout>
          <c:xMode val="edge"/>
          <c:yMode val="edge"/>
          <c:x val="0.17133209700138835"/>
          <c:y val="0"/>
        </c:manualLayout>
      </c:layout>
      <c:overlay val="0"/>
      <c:spPr>
        <a:noFill/>
        <a:ln w="25382">
          <a:noFill/>
        </a:ln>
      </c:spPr>
    </c:title>
    <c:autoTitleDeleted val="0"/>
    <c:plotArea>
      <c:layout>
        <c:manualLayout>
          <c:layoutTarget val="inner"/>
          <c:xMode val="edge"/>
          <c:yMode val="edge"/>
          <c:x val="0.59491199043157583"/>
          <c:y val="0.40011658426417629"/>
          <c:w val="0.2456194557958736"/>
          <c:h val="0.37604529085027161"/>
        </c:manualLayout>
      </c:layout>
      <c:pieChart>
        <c:varyColors val="1"/>
        <c:ser>
          <c:idx val="0"/>
          <c:order val="0"/>
          <c:tx>
            <c:strRef>
              <c:f>Sheet1!$B$1</c:f>
              <c:strCache>
                <c:ptCount val="1"/>
                <c:pt idx="0">
                  <c:v>Column2</c:v>
                </c:pt>
              </c:strCache>
            </c:strRef>
          </c:tx>
          <c:spPr>
            <a:solidFill>
              <a:schemeClr val="bg1">
                <a:lumMod val="75000"/>
              </a:schemeClr>
            </a:solidFill>
          </c:spPr>
          <c:dPt>
            <c:idx val="0"/>
            <c:bubble3D val="0"/>
            <c:spPr>
              <a:solidFill>
                <a:schemeClr val="accent6">
                  <a:lumMod val="75000"/>
                </a:schemeClr>
              </a:solidFill>
              <a:ln w="18987">
                <a:solidFill>
                  <a:schemeClr val="lt1"/>
                </a:solidFill>
              </a:ln>
              <a:effectLst/>
            </c:spPr>
            <c:extLst>
              <c:ext xmlns:c16="http://schemas.microsoft.com/office/drawing/2014/chart" uri="{C3380CC4-5D6E-409C-BE32-E72D297353CC}">
                <c16:uniqueId val="{00000001-994B-45BC-97EF-DCE6169170CF}"/>
              </c:ext>
            </c:extLst>
          </c:dPt>
          <c:dPt>
            <c:idx val="1"/>
            <c:bubble3D val="0"/>
            <c:spPr>
              <a:solidFill>
                <a:schemeClr val="bg1">
                  <a:lumMod val="75000"/>
                </a:schemeClr>
              </a:solidFill>
              <a:ln w="18987">
                <a:solidFill>
                  <a:schemeClr val="lt1"/>
                </a:solidFill>
              </a:ln>
              <a:effectLst/>
            </c:spPr>
            <c:extLst>
              <c:ext xmlns:c16="http://schemas.microsoft.com/office/drawing/2014/chart" uri="{C3380CC4-5D6E-409C-BE32-E72D297353CC}">
                <c16:uniqueId val="{00000003-994B-45BC-97EF-DCE6169170CF}"/>
              </c:ext>
            </c:extLst>
          </c:dPt>
          <c:dLbls>
            <c:dLbl>
              <c:idx val="0"/>
              <c:layout>
                <c:manualLayout>
                  <c:x val="4.2022114899619045E-2"/>
                  <c:y val="-3.7553992066356685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bg1"/>
                        </a:solidFill>
                        <a:latin typeface="+mn-lt"/>
                        <a:ea typeface="+mn-ea"/>
                        <a:cs typeface="+mn-cs"/>
                      </a:defRPr>
                    </a:pPr>
                    <a:r>
                      <a:rPr lang="en-US">
                        <a:solidFill>
                          <a:schemeClr val="tx1"/>
                        </a:solidFill>
                      </a:rPr>
                      <a:t>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994B-45BC-97EF-DCE6169170CF}"/>
                </c:ext>
              </c:extLst>
            </c:dLbl>
            <c:dLbl>
              <c:idx val="1"/>
              <c:layout>
                <c:manualLayout>
                  <c:x val="0.17297224210610029"/>
                  <c:y val="-1.2359322136756027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tx1">
                            <a:lumMod val="75000"/>
                            <a:lumOff val="25000"/>
                          </a:schemeClr>
                        </a:solidFill>
                        <a:latin typeface="+mn-lt"/>
                        <a:ea typeface="+mn-ea"/>
                        <a:cs typeface="+mn-cs"/>
                      </a:defRPr>
                    </a:pPr>
                    <a:r>
                      <a:rPr lang="en-US">
                        <a:solidFill>
                          <a:schemeClr val="tx1"/>
                        </a:solidFill>
                      </a:rPr>
                      <a:t>100%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994B-45BC-97EF-DCE6169170C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994B-45BC-97EF-DCE6169170CF}"/>
            </c:ext>
          </c:extLst>
        </c:ser>
        <c:dLbls>
          <c:showLegendKey val="0"/>
          <c:showVal val="0"/>
          <c:showCatName val="0"/>
          <c:showSerName val="0"/>
          <c:showPercent val="0"/>
          <c:showBubbleSize val="0"/>
          <c:showLeaderLines val="1"/>
        </c:dLbls>
        <c:firstSliceAng val="0"/>
      </c:pieChart>
      <c:spPr>
        <a:noFill/>
        <a:ln w="25382">
          <a:noFill/>
        </a:ln>
      </c:spPr>
    </c:plotArea>
    <c:legend>
      <c:legendPos val="b"/>
      <c:layout>
        <c:manualLayout>
          <c:xMode val="edge"/>
          <c:yMode val="edge"/>
          <c:x val="4.4936409975780058E-2"/>
          <c:y val="0.3498052217157066"/>
          <c:w val="0.38860750514293818"/>
          <c:h val="0.58042700802750524"/>
        </c:manualLayout>
      </c:layout>
      <c:overlay val="0"/>
      <c:spPr>
        <a:noFill/>
        <a:ln w="25382">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3"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190240" y="649522"/>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2660068" y="1298750"/>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solidFill>
              <a:latin typeface="Calibri" panose="020F0502020204030204"/>
              <a:ea typeface="+mn-ea"/>
              <a:cs typeface="+mn-cs"/>
            </a:rPr>
            <a:t>#2 Other</a:t>
          </a:r>
        </a:p>
        <a:p>
          <a:pPr>
            <a:buNone/>
          </a:pPr>
          <a:r>
            <a:rPr lang="en-US" sz="900">
              <a:solidFill>
                <a:sysClr val="windowText" lastClr="000000"/>
              </a:solidFill>
              <a:latin typeface="Calibri" panose="020F0502020204030204"/>
              <a:ea typeface="+mn-ea"/>
              <a:cs typeface="+mn-cs"/>
            </a:rPr>
            <a:t>40%</a:t>
          </a:r>
        </a:p>
      </dgm:t>
    </dgm:pt>
    <dgm:pt modelId="{4F8FD65B-707D-4E8A-ACF6-1D393F8B1364}" type="parTrans" cxnId="{D50424B9-12EE-47D7-B182-B8F6A657FD90}">
      <dgm:prSet/>
      <dgm: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2660068" y="294"/>
          <a:ext cx="2058190" cy="1041182"/>
        </a:xfrm>
        <a:prstGeom prst="rect">
          <a:avLst/>
        </a:prstGeom>
        <a:solidFill>
          <a:srgbClr val="009900"/>
        </a:solidFill>
        <a:ln>
          <a:noFill/>
        </a:ln>
        <a:effectLst/>
      </dgm:spPr>
      <dgm:t>
        <a:bodyPr/>
        <a:lstStyle/>
        <a:p>
          <a:pPr>
            <a:buNone/>
          </a:pPr>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a:p>
          <a:pPr>
            <a:buNone/>
          </a:pPr>
          <a:r>
            <a:rPr lang="en-GB" sz="900" b="0">
              <a:solidFill>
                <a:sysClr val="windowText" lastClr="000000">
                  <a:hueOff val="0"/>
                  <a:satOff val="0"/>
                  <a:lumOff val="0"/>
                  <a:alphaOff val="0"/>
                </a:sysClr>
              </a:solidFill>
              <a:latin typeface="Calibri" panose="020F0502020204030204"/>
              <a:ea typeface="+mn-ea"/>
              <a:cs typeface="+mn-cs"/>
            </a:rPr>
            <a:t>60%</a:t>
          </a:r>
        </a:p>
      </dgm:t>
    </dgm:pt>
    <dgm:pt modelId="{1E2F1981-BED9-4230-9246-096F3B342E11}" type="parTrans" cxnId="{5479E03F-8D20-47AE-B915-AB977B18E1CC}">
      <dgm:prSet/>
      <dgm: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190240" y="649522"/>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190240" y="649522"/>
        <a:ext cx="2058190" cy="627748"/>
      </dsp:txXfrm>
    </dsp:sp>
    <dsp:sp modelId="{BD3BAF88-97F0-46F4-AF7C-A396DD664F0D}">
      <dsp:nvSpPr>
        <dsp:cNvPr id="0" name=""/>
        <dsp:cNvSpPr/>
      </dsp:nvSpPr>
      <dsp:spPr>
        <a:xfrm>
          <a:off x="2660068" y="294"/>
          <a:ext cx="2058190" cy="1041182"/>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a:p>
          <a:pPr marL="0" lvl="0" indent="0" algn="ctr" defTabSz="444500">
            <a:lnSpc>
              <a:spcPct val="90000"/>
            </a:lnSpc>
            <a:spcBef>
              <a:spcPct val="0"/>
            </a:spcBef>
            <a:spcAft>
              <a:spcPct val="35000"/>
            </a:spcAft>
            <a:buNone/>
          </a:pPr>
          <a:r>
            <a:rPr lang="en-GB" sz="900" b="0" kern="1200">
              <a:solidFill>
                <a:sysClr val="windowText" lastClr="000000">
                  <a:hueOff val="0"/>
                  <a:satOff val="0"/>
                  <a:lumOff val="0"/>
                  <a:alphaOff val="0"/>
                </a:sysClr>
              </a:solidFill>
              <a:latin typeface="Calibri" panose="020F0502020204030204"/>
              <a:ea typeface="+mn-ea"/>
              <a:cs typeface="+mn-cs"/>
            </a:rPr>
            <a:t>60%</a:t>
          </a:r>
        </a:p>
      </dsp:txBody>
      <dsp:txXfrm>
        <a:off x="2660068" y="294"/>
        <a:ext cx="2058190" cy="1041182"/>
      </dsp:txXfrm>
    </dsp:sp>
    <dsp:sp modelId="{226B17C5-6474-4423-A47F-CFC1D1F36659}">
      <dsp:nvSpPr>
        <dsp:cNvPr id="0" name=""/>
        <dsp:cNvSpPr/>
      </dsp:nvSpPr>
      <dsp:spPr>
        <a:xfrm>
          <a:off x="2660068" y="1298750"/>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a:t>
          </a:r>
        </a:p>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40%</a:t>
          </a:r>
        </a:p>
      </dsp:txBody>
      <dsp:txXfrm>
        <a:off x="2660068" y="1298750"/>
        <a:ext cx="2058190" cy="62774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0.70291</cdr:x>
      <cdr:y>0.29758</cdr:y>
    </cdr:from>
    <cdr:to>
      <cdr:x>0.72142</cdr:x>
      <cdr:y>0.32549</cdr:y>
    </cdr:to>
    <cdr:sp macro="" textlink="">
      <cdr:nvSpPr>
        <cdr:cNvPr id="9" name="Rectangle 8"/>
        <cdr:cNvSpPr/>
      </cdr:nvSpPr>
      <cdr:spPr>
        <a:xfrm xmlns:a="http://schemas.openxmlformats.org/drawingml/2006/main">
          <a:off x="1736299" y="487528"/>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0.80114</cdr:x>
      <cdr:y>0.79556</cdr:y>
    </cdr:from>
    <cdr:to>
      <cdr:x>0.81964</cdr:x>
      <cdr:y>0.82346</cdr:y>
    </cdr:to>
    <cdr:sp macro="" textlink="">
      <cdr:nvSpPr>
        <cdr:cNvPr id="10" name="Rectangle 9"/>
        <cdr:cNvSpPr/>
      </cdr:nvSpPr>
      <cdr:spPr>
        <a:xfrm xmlns:a="http://schemas.openxmlformats.org/drawingml/2006/main">
          <a:off x="1978925" y="130336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0.66382</cdr:x>
      <cdr:y>0.29157</cdr:y>
    </cdr:from>
    <cdr:to>
      <cdr:x>0.68205</cdr:x>
      <cdr:y>0.31947</cdr:y>
    </cdr:to>
    <cdr:sp macro="" textlink="">
      <cdr:nvSpPr>
        <cdr:cNvPr id="7" name="Rectangle 6"/>
        <cdr:cNvSpPr/>
      </cdr:nvSpPr>
      <cdr:spPr>
        <a:xfrm xmlns:a="http://schemas.openxmlformats.org/drawingml/2006/main">
          <a:off x="1665028" y="47767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dr:relSizeAnchor xmlns:cdr="http://schemas.openxmlformats.org/drawingml/2006/chartDrawing">
    <cdr:from>
      <cdr:x>0.80682</cdr:x>
      <cdr:y>0.80574</cdr:y>
    </cdr:from>
    <cdr:to>
      <cdr:x>0.82576</cdr:x>
      <cdr:y>0.83349</cdr:y>
    </cdr:to>
    <cdr:sp macro="" textlink="">
      <cdr:nvSpPr>
        <cdr:cNvPr id="8" name="Rectangle 7"/>
        <cdr:cNvSpPr/>
      </cdr:nvSpPr>
      <cdr:spPr>
        <a:xfrm xmlns:a="http://schemas.openxmlformats.org/drawingml/2006/main">
          <a:off x="2028825" y="1327719"/>
          <a:ext cx="47624"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0.14534</cdr:x>
      <cdr:y>0.86676</cdr:y>
    </cdr:from>
    <cdr:to>
      <cdr:x>1</cdr:x>
      <cdr:y>1</cdr:y>
    </cdr:to>
    <cdr:sp macro="" textlink="">
      <cdr:nvSpPr>
        <cdr:cNvPr id="4" name="Text Box 24"/>
        <cdr:cNvSpPr txBox="1"/>
      </cdr:nvSpPr>
      <cdr:spPr>
        <a:xfrm xmlns:a="http://schemas.openxmlformats.org/drawingml/2006/main">
          <a:off x="372110" y="1495425"/>
          <a:ext cx="2188210" cy="22987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US" sz="600">
              <a:effectLst/>
              <a:latin typeface="Calibri" panose="020F0502020204030204" pitchFamily="34" charset="0"/>
              <a:ea typeface="Calibri" panose="020F0502020204030204" pitchFamily="34" charset="0"/>
              <a:cs typeface="Calibri" panose="020F0502020204030204" pitchFamily="34" charset="0"/>
            </a:rPr>
            <a:t>This graph represents 100% of the total investments.</a:t>
          </a:r>
          <a:endParaRPr lang="en-GB" sz="1100">
            <a:effectLst/>
            <a:latin typeface="Calibri" panose="020F0502020204030204" pitchFamily="34" charset="0"/>
            <a:ea typeface="Calibri" panose="020F0502020204030204" pitchFamily="34" charset="0"/>
            <a:cs typeface="Arial" panose="020B0604020202020204" pitchFamily="34" charset="0"/>
          </a:endParaRPr>
        </a:p>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Arial" panose="020B0604020202020204" pitchFamily="34"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AA86-CF0E-4029-A9AB-91DD8C1E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7771</Words>
  <Characters>44295</Characters>
  <Application>Microsoft Office Word</Application>
  <DocSecurity>0</DocSecurity>
  <Lines>369</Lines>
  <Paragraphs>103</Paragraphs>
  <ScaleCrop>false</ScaleCrop>
  <HeadingPairs>
    <vt:vector size="2" baseType="variant">
      <vt:variant>
        <vt:lpstr>Title</vt:lpstr>
      </vt:variant>
      <vt:variant>
        <vt:i4>1</vt:i4>
      </vt:variant>
    </vt:vector>
  </HeadingPairs>
  <Company/>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2024-06-28T11:49:00Z</dcterms:created>
  <dcterms:modified xsi:type="dcterms:W3CDTF">2024-06-28T11:49:00Z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CVV/685914-000003/21676918v5</vt:lpwstr>
  </op:property>
  <op:property fmtid="{D5CDD505-2E9C-101B-9397-08002B2CF9AE}" pid="3" name="DocXLocation">
    <vt:lpwstr>Every Page (skip First Page)</vt:lpwstr>
  </op:property>
  <op:property fmtid="{D5CDD505-2E9C-101B-9397-08002B2CF9AE}" pid="4" name="DocXFormat">
    <vt:lpwstr>Standard</vt:lpwstr>
  </op:property>
  <op:property fmtid="{D5CDD505-2E9C-101B-9397-08002B2CF9AE}" pid="5" name="DMSClientNum">
    <vt:lpwstr>027306</vt:lpwstr>
  </op:property>
  <op:property fmtid="{D5CDD505-2E9C-101B-9397-08002B2CF9AE}" pid="6" name="DMSClientName">
    <vt:lpwstr>Davy Funds plc</vt:lpwstr>
  </op:property>
  <op:property fmtid="{D5CDD505-2E9C-101B-9397-08002B2CF9AE}" pid="7" name="DMSMatterNum">
    <vt:lpwstr>027306.0001</vt:lpwstr>
  </op:property>
  <op:property fmtid="{D5CDD505-2E9C-101B-9397-08002B2CF9AE}" pid="8" name="DMSMatterDesc">
    <vt:lpwstr>Legal Matters</vt:lpwstr>
  </op:property>
  <op:property fmtid="{D5CDD505-2E9C-101B-9397-08002B2CF9AE}" pid="9" name="DMSClientMatter">
    <vt:lpwstr>027306/027306.0001</vt:lpwstr>
  </op:property>
  <op:property fmtid="{D5CDD505-2E9C-101B-9397-08002B2CF9AE}" pid="10" name="DMSTypist">
    <vt:lpwstr>ELEANORAM</vt:lpwstr>
  </op:property>
  <op:property fmtid="{D5CDD505-2E9C-101B-9397-08002B2CF9AE}" pid="11" name="DMSOwner">
    <vt:lpwstr>ELEANORAM</vt:lpwstr>
  </op:property>
  <op:property fmtid="{D5CDD505-2E9C-101B-9397-08002B2CF9AE}" pid="12" name="DMSOwnerName">
    <vt:lpwstr>McCormack, Eleanora</vt:lpwstr>
  </op:property>
  <op:property fmtid="{D5CDD505-2E9C-101B-9397-08002B2CF9AE}" pid="13" name="DMSDocNumber">
    <vt:lpwstr>72918417</vt:lpwstr>
  </op:property>
  <op:property fmtid="{D5CDD505-2E9C-101B-9397-08002B2CF9AE}" pid="14" name="DMSOurRef">
    <vt:lpwstr>ELEANORAM/ELEANORAM</vt:lpwstr>
  </op:property>
  <op:property fmtid="{D5CDD505-2E9C-101B-9397-08002B2CF9AE}" pid="15" name="DMSTypistName">
    <vt:lpwstr>McCormack, Eleanora</vt:lpwstr>
  </op:property>
  <op:property fmtid="{D5CDD505-2E9C-101B-9397-08002B2CF9AE}" pid="16" name="iManageFooter">
    <vt:lpwstr>WF-72918417-v2 | 027306.0001</vt:lpwstr>
  </op:property>
  <op:property fmtid="{D5CDD505-2E9C-101B-9397-08002B2CF9AE}" pid="17" name="DMSFooter">
    <vt:lpwstr>WF-72918417-v3</vt:lpwstr>
  </op:property>
  <op:property fmtid="{D5CDD505-2E9C-101B-9397-08002B2CF9AE}" pid="18" name="DMSDocVersion">
    <vt:lpwstr>3</vt:lpwstr>
  </op:property>
</op:Properties>
</file>