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7C02E" w14:textId="77777777" w:rsidR="009416BC" w:rsidRDefault="009416BC" w:rsidP="001F0009">
      <w:pPr>
        <w:pStyle w:val="BodyText"/>
        <w:spacing w:before="0" w:after="0"/>
        <w:jc w:val="left"/>
        <w:rPr>
          <w:rFonts w:cs="Arial"/>
          <w:bCs/>
          <w:sz w:val="20"/>
          <w:szCs w:val="20"/>
        </w:rPr>
      </w:pPr>
    </w:p>
    <w:p w14:paraId="12DD883A" w14:textId="77777777" w:rsidR="009416BC" w:rsidRDefault="009416BC" w:rsidP="001F0009">
      <w:pPr>
        <w:pStyle w:val="BodyText"/>
        <w:spacing w:before="0" w:after="0"/>
        <w:jc w:val="left"/>
        <w:rPr>
          <w:rFonts w:cs="Arial"/>
          <w:bCs/>
          <w:sz w:val="20"/>
          <w:szCs w:val="20"/>
        </w:rPr>
      </w:pPr>
    </w:p>
    <w:p w14:paraId="012EE245" w14:textId="77777777" w:rsidR="003E65E0" w:rsidRDefault="003E65E0" w:rsidP="001F0009">
      <w:pPr>
        <w:pStyle w:val="BodyText"/>
        <w:spacing w:before="0" w:after="0"/>
        <w:jc w:val="left"/>
        <w:rPr>
          <w:rFonts w:cs="Arial"/>
          <w:bCs/>
          <w:sz w:val="20"/>
          <w:szCs w:val="20"/>
        </w:rPr>
      </w:pPr>
    </w:p>
    <w:p w14:paraId="29036010" w14:textId="77777777" w:rsidR="003E65E0" w:rsidRDefault="003E65E0" w:rsidP="001F0009">
      <w:pPr>
        <w:pStyle w:val="BodyText"/>
        <w:spacing w:before="0" w:after="0"/>
        <w:jc w:val="left"/>
        <w:rPr>
          <w:rFonts w:cs="Arial"/>
          <w:bCs/>
          <w:sz w:val="20"/>
          <w:szCs w:val="20"/>
        </w:rPr>
      </w:pPr>
    </w:p>
    <w:p w14:paraId="12D6596D" w14:textId="77777777" w:rsidR="006B4E2C" w:rsidRDefault="006B4E2C" w:rsidP="001F0009">
      <w:pPr>
        <w:pStyle w:val="BodyText"/>
        <w:spacing w:before="0" w:after="0"/>
        <w:jc w:val="left"/>
        <w:rPr>
          <w:rFonts w:cs="Arial"/>
          <w:bCs/>
          <w:sz w:val="20"/>
          <w:szCs w:val="20"/>
        </w:rPr>
      </w:pPr>
    </w:p>
    <w:p w14:paraId="00E99B82" w14:textId="77777777" w:rsidR="006B4E2C" w:rsidRDefault="006B4E2C" w:rsidP="001F0009">
      <w:pPr>
        <w:pStyle w:val="BodyText"/>
        <w:spacing w:before="0" w:after="0"/>
        <w:jc w:val="left"/>
        <w:rPr>
          <w:rFonts w:cs="Arial"/>
          <w:bCs/>
          <w:sz w:val="20"/>
          <w:szCs w:val="20"/>
        </w:rPr>
      </w:pPr>
    </w:p>
    <w:p w14:paraId="1D5BBF07" w14:textId="77777777" w:rsidR="001F0009" w:rsidRPr="001F0009" w:rsidRDefault="001F0009" w:rsidP="001F0009">
      <w:pPr>
        <w:pStyle w:val="BodyText"/>
        <w:jc w:val="center"/>
        <w:rPr>
          <w:rFonts w:cs="Arial"/>
          <w:b/>
          <w:sz w:val="20"/>
          <w:szCs w:val="20"/>
        </w:rPr>
      </w:pPr>
    </w:p>
    <w:p w14:paraId="63BC3261" w14:textId="77777777" w:rsidR="001F0009" w:rsidRPr="001F0009" w:rsidRDefault="001F0009" w:rsidP="001F0009">
      <w:pPr>
        <w:pStyle w:val="BodyText"/>
        <w:jc w:val="center"/>
        <w:rPr>
          <w:rFonts w:cs="Arial"/>
          <w:b/>
          <w:sz w:val="20"/>
          <w:szCs w:val="20"/>
        </w:rPr>
      </w:pPr>
    </w:p>
    <w:p w14:paraId="45E58DFA" w14:textId="77777777" w:rsidR="001F0009" w:rsidRPr="001F0009" w:rsidRDefault="001F0009" w:rsidP="001F0009">
      <w:pPr>
        <w:pStyle w:val="BodyText"/>
        <w:jc w:val="center"/>
        <w:rPr>
          <w:rFonts w:cs="Arial"/>
          <w:b/>
          <w:sz w:val="20"/>
          <w:szCs w:val="20"/>
        </w:rPr>
      </w:pPr>
      <w:r w:rsidRPr="001F0009">
        <w:rPr>
          <w:rFonts w:cs="Arial"/>
          <w:b/>
          <w:sz w:val="20"/>
          <w:szCs w:val="20"/>
        </w:rPr>
        <w:t>Davy Funds p.l.c.</w:t>
      </w:r>
    </w:p>
    <w:p w14:paraId="12848863" w14:textId="77777777" w:rsidR="001F0009" w:rsidRPr="001F0009" w:rsidRDefault="001F0009" w:rsidP="001F0009">
      <w:pPr>
        <w:pStyle w:val="BodyText"/>
        <w:spacing w:before="0" w:after="0"/>
        <w:jc w:val="center"/>
        <w:rPr>
          <w:rFonts w:cs="Arial"/>
          <w:sz w:val="20"/>
          <w:szCs w:val="20"/>
        </w:rPr>
      </w:pPr>
      <w:r w:rsidRPr="001F0009">
        <w:rPr>
          <w:rFonts w:cs="Arial"/>
          <w:sz w:val="20"/>
          <w:szCs w:val="20"/>
        </w:rPr>
        <w:t>An open-ended umbrella investment company</w:t>
      </w:r>
    </w:p>
    <w:p w14:paraId="01710C45" w14:textId="77777777" w:rsidR="001F0009" w:rsidRPr="001F0009" w:rsidRDefault="001F0009" w:rsidP="001F0009">
      <w:pPr>
        <w:pStyle w:val="BodyText"/>
        <w:spacing w:before="0" w:after="0"/>
        <w:jc w:val="center"/>
        <w:rPr>
          <w:rFonts w:cs="Arial"/>
          <w:sz w:val="20"/>
          <w:szCs w:val="20"/>
        </w:rPr>
      </w:pPr>
      <w:r w:rsidRPr="001F0009">
        <w:rPr>
          <w:rFonts w:cs="Arial"/>
          <w:sz w:val="20"/>
          <w:szCs w:val="20"/>
        </w:rPr>
        <w:t>with variable capital and segregated liability between sub-funds</w:t>
      </w:r>
    </w:p>
    <w:p w14:paraId="68F05F6C" w14:textId="77777777" w:rsidR="001F0009" w:rsidRPr="001F0009" w:rsidRDefault="001F0009" w:rsidP="001F0009">
      <w:pPr>
        <w:pStyle w:val="BodyText"/>
        <w:spacing w:before="0" w:after="0"/>
        <w:jc w:val="center"/>
        <w:rPr>
          <w:rFonts w:cs="Arial"/>
          <w:sz w:val="20"/>
          <w:szCs w:val="20"/>
        </w:rPr>
      </w:pPr>
      <w:r w:rsidRPr="001F0009">
        <w:rPr>
          <w:rFonts w:cs="Arial"/>
          <w:sz w:val="20"/>
          <w:szCs w:val="20"/>
        </w:rPr>
        <w:t>incorporated with limited liability in Ireland</w:t>
      </w:r>
    </w:p>
    <w:p w14:paraId="6889A074" w14:textId="77777777" w:rsidR="001F0009" w:rsidRPr="001F0009" w:rsidRDefault="001F0009" w:rsidP="001F0009">
      <w:pPr>
        <w:pStyle w:val="BodyText"/>
        <w:tabs>
          <w:tab w:val="center" w:pos="4513"/>
          <w:tab w:val="right" w:pos="9027"/>
        </w:tabs>
        <w:spacing w:before="0" w:after="0"/>
        <w:jc w:val="left"/>
        <w:rPr>
          <w:rFonts w:cs="Arial"/>
          <w:sz w:val="20"/>
          <w:szCs w:val="20"/>
        </w:rPr>
      </w:pPr>
      <w:r w:rsidRPr="001F0009">
        <w:rPr>
          <w:rFonts w:cs="Arial"/>
          <w:sz w:val="20"/>
          <w:szCs w:val="20"/>
        </w:rPr>
        <w:tab/>
        <w:t>under the Companies Act 2014</w:t>
      </w:r>
      <w:r w:rsidRPr="001F0009">
        <w:rPr>
          <w:rFonts w:cs="Arial"/>
          <w:sz w:val="20"/>
          <w:szCs w:val="20"/>
        </w:rPr>
        <w:tab/>
      </w:r>
    </w:p>
    <w:p w14:paraId="02DD6EDE" w14:textId="77777777" w:rsidR="001F0009" w:rsidRPr="001F0009" w:rsidRDefault="001F0009" w:rsidP="001F0009">
      <w:pPr>
        <w:pStyle w:val="BodyText"/>
        <w:spacing w:before="0" w:after="0"/>
        <w:jc w:val="center"/>
        <w:rPr>
          <w:rFonts w:cs="Arial"/>
          <w:sz w:val="20"/>
          <w:szCs w:val="20"/>
        </w:rPr>
      </w:pPr>
      <w:r w:rsidRPr="001F0009">
        <w:rPr>
          <w:rFonts w:cs="Arial"/>
          <w:sz w:val="20"/>
          <w:szCs w:val="20"/>
        </w:rPr>
        <w:t>with registration number 533779</w:t>
      </w:r>
    </w:p>
    <w:p w14:paraId="03F2DD45" w14:textId="77777777" w:rsidR="001F0009" w:rsidRPr="001F0009" w:rsidRDefault="001F0009" w:rsidP="001F0009">
      <w:pPr>
        <w:pStyle w:val="BodyText"/>
        <w:rPr>
          <w:rFonts w:cs="Arial"/>
          <w:sz w:val="20"/>
          <w:szCs w:val="20"/>
        </w:rPr>
      </w:pPr>
    </w:p>
    <w:p w14:paraId="171F5066" w14:textId="77777777" w:rsidR="001F0009" w:rsidRPr="001F0009" w:rsidRDefault="001F0009" w:rsidP="001F0009">
      <w:pPr>
        <w:pStyle w:val="BodyText"/>
        <w:rPr>
          <w:rFonts w:cs="Arial"/>
          <w:sz w:val="20"/>
          <w:szCs w:val="20"/>
        </w:rPr>
      </w:pPr>
    </w:p>
    <w:p w14:paraId="275C2998" w14:textId="77777777" w:rsidR="001F0009" w:rsidRPr="001F0009" w:rsidRDefault="001F0009" w:rsidP="001F0009">
      <w:pPr>
        <w:pStyle w:val="BodyText"/>
        <w:rPr>
          <w:rFonts w:cs="Arial"/>
          <w:sz w:val="20"/>
          <w:szCs w:val="20"/>
        </w:rPr>
      </w:pPr>
    </w:p>
    <w:p w14:paraId="15B480EE" w14:textId="77777777" w:rsidR="001F0009" w:rsidRPr="001F0009" w:rsidRDefault="001F0009" w:rsidP="001F0009">
      <w:pPr>
        <w:pStyle w:val="BodyText"/>
        <w:rPr>
          <w:rFonts w:cs="Arial"/>
          <w:sz w:val="20"/>
          <w:szCs w:val="20"/>
        </w:rPr>
      </w:pPr>
    </w:p>
    <w:p w14:paraId="48C2D7FB" w14:textId="77777777" w:rsidR="001F0009" w:rsidRPr="001F0009" w:rsidRDefault="001F0009" w:rsidP="001F0009">
      <w:pPr>
        <w:pStyle w:val="BodyText"/>
        <w:rPr>
          <w:rFonts w:cs="Arial"/>
          <w:sz w:val="20"/>
          <w:szCs w:val="20"/>
        </w:rPr>
      </w:pPr>
    </w:p>
    <w:p w14:paraId="75E48C23" w14:textId="77777777" w:rsidR="001F0009" w:rsidRPr="001F0009" w:rsidRDefault="001F0009" w:rsidP="001F0009">
      <w:pPr>
        <w:pStyle w:val="BodyText"/>
        <w:jc w:val="center"/>
        <w:rPr>
          <w:rFonts w:cs="Arial"/>
          <w:b/>
          <w:sz w:val="20"/>
          <w:szCs w:val="20"/>
        </w:rPr>
      </w:pPr>
      <w:r w:rsidRPr="001F0009">
        <w:rPr>
          <w:rFonts w:cs="Arial"/>
          <w:b/>
          <w:sz w:val="20"/>
          <w:szCs w:val="20"/>
        </w:rPr>
        <w:t>SUPPLEMENT</w:t>
      </w:r>
    </w:p>
    <w:p w14:paraId="5BE11C0A" w14:textId="74F7121D" w:rsidR="001F0009" w:rsidRPr="001F0009" w:rsidRDefault="00020322" w:rsidP="001F0009">
      <w:pPr>
        <w:pStyle w:val="BodyText"/>
        <w:jc w:val="center"/>
        <w:rPr>
          <w:rFonts w:cs="Arial"/>
          <w:b/>
          <w:sz w:val="20"/>
          <w:szCs w:val="20"/>
        </w:rPr>
      </w:pPr>
      <w:r>
        <w:rPr>
          <w:rFonts w:cs="Arial"/>
          <w:b/>
          <w:sz w:val="20"/>
          <w:szCs w:val="20"/>
        </w:rPr>
        <w:t>IQ EQ Cash</w:t>
      </w:r>
      <w:r w:rsidR="001F0009" w:rsidRPr="001F0009">
        <w:rPr>
          <w:rFonts w:cs="Arial"/>
          <w:b/>
          <w:sz w:val="20"/>
          <w:szCs w:val="20"/>
        </w:rPr>
        <w:t xml:space="preserve"> Fund</w:t>
      </w:r>
    </w:p>
    <w:p w14:paraId="65FD9940" w14:textId="77777777" w:rsidR="001F0009" w:rsidRPr="001F0009" w:rsidRDefault="001F0009" w:rsidP="001F0009">
      <w:pPr>
        <w:pStyle w:val="BodyText"/>
        <w:rPr>
          <w:rFonts w:cs="Arial"/>
          <w:sz w:val="20"/>
          <w:szCs w:val="20"/>
        </w:rPr>
      </w:pPr>
    </w:p>
    <w:p w14:paraId="4CED227D" w14:textId="77777777" w:rsidR="001F0009" w:rsidRPr="001F0009" w:rsidRDefault="001F0009" w:rsidP="001F0009">
      <w:pPr>
        <w:pStyle w:val="BodyText"/>
        <w:rPr>
          <w:rFonts w:cs="Arial"/>
          <w:sz w:val="20"/>
          <w:szCs w:val="20"/>
        </w:rPr>
      </w:pPr>
    </w:p>
    <w:p w14:paraId="4050E103" w14:textId="77777777" w:rsidR="001F0009" w:rsidRPr="001F0009" w:rsidRDefault="001F0009" w:rsidP="001F0009">
      <w:pPr>
        <w:pStyle w:val="BodyText"/>
        <w:rPr>
          <w:rFonts w:cs="Arial"/>
          <w:sz w:val="20"/>
          <w:szCs w:val="20"/>
        </w:rPr>
      </w:pPr>
    </w:p>
    <w:p w14:paraId="79D5147E" w14:textId="77777777" w:rsidR="001F0009" w:rsidRPr="001F0009" w:rsidRDefault="001F0009" w:rsidP="001F0009">
      <w:pPr>
        <w:pStyle w:val="BodyText"/>
        <w:rPr>
          <w:rFonts w:cs="Arial"/>
          <w:sz w:val="20"/>
          <w:szCs w:val="20"/>
        </w:rPr>
      </w:pPr>
    </w:p>
    <w:p w14:paraId="7E800EE5" w14:textId="77777777" w:rsidR="001F0009" w:rsidRPr="001F0009" w:rsidRDefault="001F0009" w:rsidP="001F0009">
      <w:pPr>
        <w:pStyle w:val="BodyText"/>
        <w:rPr>
          <w:rFonts w:cs="Arial"/>
          <w:sz w:val="20"/>
          <w:szCs w:val="20"/>
        </w:rPr>
      </w:pPr>
    </w:p>
    <w:p w14:paraId="11C86167" w14:textId="19D5B46C" w:rsidR="001F0009" w:rsidRPr="001F0009" w:rsidRDefault="001F0009" w:rsidP="001F0009">
      <w:pPr>
        <w:pStyle w:val="BodyText"/>
        <w:jc w:val="center"/>
        <w:rPr>
          <w:rFonts w:cs="Arial"/>
          <w:sz w:val="20"/>
          <w:szCs w:val="20"/>
        </w:rPr>
      </w:pPr>
      <w:r w:rsidRPr="001F0009">
        <w:rPr>
          <w:rFonts w:cs="Arial"/>
          <w:sz w:val="20"/>
          <w:szCs w:val="20"/>
        </w:rPr>
        <w:t xml:space="preserve">Dated </w:t>
      </w:r>
      <w:r w:rsidR="006C2D4D">
        <w:rPr>
          <w:rFonts w:cs="Arial"/>
          <w:sz w:val="20"/>
          <w:szCs w:val="20"/>
        </w:rPr>
        <w:t xml:space="preserve">28 June </w:t>
      </w:r>
      <w:r w:rsidR="00FE397C">
        <w:rPr>
          <w:rFonts w:cs="Arial"/>
          <w:sz w:val="20"/>
          <w:szCs w:val="20"/>
        </w:rPr>
        <w:t>202</w:t>
      </w:r>
      <w:r w:rsidR="007A51ED">
        <w:rPr>
          <w:rFonts w:cs="Arial"/>
          <w:sz w:val="20"/>
          <w:szCs w:val="20"/>
        </w:rPr>
        <w:t>4</w:t>
      </w:r>
    </w:p>
    <w:p w14:paraId="4F4D69C9" w14:textId="77777777" w:rsidR="001F0009" w:rsidRPr="001F0009" w:rsidRDefault="001F0009" w:rsidP="001F0009">
      <w:pPr>
        <w:pStyle w:val="BodyText"/>
        <w:jc w:val="center"/>
        <w:rPr>
          <w:rFonts w:cs="Arial"/>
          <w:sz w:val="20"/>
          <w:szCs w:val="20"/>
        </w:rPr>
      </w:pPr>
    </w:p>
    <w:p w14:paraId="67E014CA" w14:textId="77777777" w:rsidR="001F0009" w:rsidRPr="001F0009" w:rsidRDefault="001F0009" w:rsidP="001F0009">
      <w:pPr>
        <w:pStyle w:val="BodyText"/>
        <w:jc w:val="center"/>
        <w:rPr>
          <w:rFonts w:cs="Arial"/>
          <w:sz w:val="20"/>
          <w:szCs w:val="20"/>
        </w:rPr>
      </w:pPr>
    </w:p>
    <w:p w14:paraId="1A8A823F" w14:textId="77777777" w:rsidR="001F0009" w:rsidRPr="001F0009" w:rsidRDefault="001F0009" w:rsidP="001F0009">
      <w:pPr>
        <w:pStyle w:val="BodyText"/>
        <w:jc w:val="center"/>
        <w:rPr>
          <w:rFonts w:cs="Arial"/>
          <w:sz w:val="20"/>
          <w:szCs w:val="20"/>
        </w:rPr>
      </w:pPr>
    </w:p>
    <w:p w14:paraId="4EB35DD6" w14:textId="77777777" w:rsidR="001F0009" w:rsidRPr="001F0009" w:rsidRDefault="001F0009" w:rsidP="001F0009">
      <w:pPr>
        <w:pStyle w:val="BodyText"/>
        <w:numPr>
          <w:ilvl w:val="0"/>
          <w:numId w:val="12"/>
        </w:numPr>
        <w:rPr>
          <w:rFonts w:cs="Arial"/>
          <w:sz w:val="20"/>
          <w:szCs w:val="20"/>
        </w:rPr>
        <w:sectPr w:rsidR="001F0009" w:rsidRPr="001F0009" w:rsidSect="00734216">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08" w:footer="708" w:gutter="0"/>
          <w:pgNumType w:start="1"/>
          <w:cols w:space="708"/>
          <w:titlePg/>
          <w:docGrid w:linePitch="360"/>
        </w:sectPr>
      </w:pPr>
    </w:p>
    <w:p w14:paraId="41CA67A9" w14:textId="77777777" w:rsidR="001F0009" w:rsidRPr="001F0009" w:rsidRDefault="001F0009" w:rsidP="001F0009">
      <w:pPr>
        <w:pStyle w:val="Agreement1"/>
        <w:pBdr>
          <w:bottom w:val="single" w:sz="12" w:space="1" w:color="auto"/>
        </w:pBdr>
        <w:jc w:val="center"/>
        <w:rPr>
          <w:rFonts w:ascii="Arial" w:hAnsi="Arial" w:cs="Arial"/>
          <w:sz w:val="20"/>
          <w:szCs w:val="20"/>
        </w:rPr>
      </w:pPr>
      <w:r w:rsidRPr="001F0009">
        <w:rPr>
          <w:rFonts w:ascii="Arial" w:hAnsi="Arial" w:cs="Arial"/>
          <w:sz w:val="20"/>
          <w:szCs w:val="20"/>
        </w:rPr>
        <w:lastRenderedPageBreak/>
        <w:t>IMPORTANT INFORMATION</w:t>
      </w:r>
    </w:p>
    <w:p w14:paraId="0CF78A00" w14:textId="77777777" w:rsidR="001F0009" w:rsidRPr="001F0009" w:rsidRDefault="001F0009" w:rsidP="001F0009">
      <w:pPr>
        <w:pStyle w:val="BodyText"/>
        <w:rPr>
          <w:rFonts w:cs="Arial"/>
          <w:b/>
          <w:sz w:val="20"/>
          <w:szCs w:val="20"/>
        </w:rPr>
      </w:pPr>
      <w:r w:rsidRPr="001F0009">
        <w:rPr>
          <w:rFonts w:cs="Arial"/>
          <w:b/>
          <w:sz w:val="20"/>
          <w:szCs w:val="20"/>
        </w:rPr>
        <w:t>The Directors in the Prospectus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0F75E00B" w14:textId="77777777" w:rsidR="001F0009" w:rsidRPr="001F0009" w:rsidRDefault="001F0009" w:rsidP="001F0009">
      <w:pPr>
        <w:pStyle w:val="BodyText"/>
        <w:rPr>
          <w:rFonts w:cs="Arial"/>
          <w:b/>
          <w:sz w:val="20"/>
          <w:szCs w:val="20"/>
        </w:rPr>
      </w:pPr>
      <w:r w:rsidRPr="001F0009">
        <w:rPr>
          <w:rFonts w:cs="Arial"/>
          <w:b/>
          <w:sz w:val="20"/>
          <w:szCs w:val="20"/>
        </w:rPr>
        <w:t xml:space="preserve">Shareholders should note that all the fees and expenses of the Fund will be charged to the capital of the Fund. Thus on repurchase of holdings shareholders may not receive back the full amount invested and this will have the effect of lowering the capital value of the </w:t>
      </w:r>
      <w:proofErr w:type="spellStart"/>
      <w:r w:rsidRPr="001F0009">
        <w:rPr>
          <w:rFonts w:cs="Arial"/>
          <w:b/>
          <w:sz w:val="20"/>
          <w:szCs w:val="20"/>
        </w:rPr>
        <w:t>shareholders</w:t>
      </w:r>
      <w:proofErr w:type="spellEnd"/>
      <w:r w:rsidRPr="001F0009">
        <w:rPr>
          <w:rFonts w:cs="Arial"/>
          <w:b/>
          <w:sz w:val="20"/>
          <w:szCs w:val="20"/>
        </w:rPr>
        <w:t xml:space="preserve"> investment.</w:t>
      </w:r>
    </w:p>
    <w:p w14:paraId="3820C8C2" w14:textId="77777777" w:rsidR="001F0009" w:rsidRPr="001F0009" w:rsidRDefault="001F0009" w:rsidP="001F0009">
      <w:pPr>
        <w:spacing w:before="120"/>
        <w:rPr>
          <w:rFonts w:cs="Arial"/>
          <w:b/>
          <w:bCs/>
          <w:color w:val="000000"/>
          <w:sz w:val="20"/>
          <w:szCs w:val="20"/>
        </w:rPr>
      </w:pPr>
      <w:r w:rsidRPr="001F0009">
        <w:rPr>
          <w:rFonts w:cs="Arial"/>
          <w:b/>
          <w:bCs/>
          <w:sz w:val="20"/>
          <w:szCs w:val="20"/>
        </w:rPr>
        <w:t>Shareholders should note that dividends will be paid out of capital</w:t>
      </w:r>
      <w:r w:rsidRPr="001F0009">
        <w:rPr>
          <w:rFonts w:cs="Arial"/>
          <w:b/>
          <w:bCs/>
          <w:color w:val="000000"/>
          <w:sz w:val="20"/>
          <w:szCs w:val="20"/>
        </w:rPr>
        <w:t xml:space="preserve">, therefore </w:t>
      </w:r>
      <w:r w:rsidRPr="001F0009">
        <w:rPr>
          <w:rFonts w:cs="Arial"/>
          <w:b/>
          <w:bCs/>
          <w:sz w:val="20"/>
          <w:szCs w:val="20"/>
        </w:rPr>
        <w:t>capital may be eroded</w:t>
      </w:r>
      <w:r w:rsidRPr="001F0009">
        <w:rPr>
          <w:rFonts w:cs="Arial"/>
          <w:b/>
          <w:bCs/>
          <w:color w:val="000000"/>
          <w:sz w:val="20"/>
          <w:szCs w:val="20"/>
        </w:rPr>
        <w:t>, d</w:t>
      </w:r>
      <w:r w:rsidRPr="001F0009">
        <w:rPr>
          <w:rFonts w:cs="Arial"/>
          <w:b/>
          <w:bCs/>
          <w:sz w:val="20"/>
          <w:szCs w:val="20"/>
        </w:rPr>
        <w:t>istribution is achieved by forgoing the potential for future capital growth and this cycle may continue</w:t>
      </w:r>
      <w:r w:rsidRPr="001F0009">
        <w:rPr>
          <w:rFonts w:cs="Arial"/>
          <w:b/>
          <w:bCs/>
          <w:color w:val="000000"/>
          <w:sz w:val="20"/>
          <w:szCs w:val="20"/>
        </w:rPr>
        <w:t xml:space="preserve"> until all capital is depleted.</w:t>
      </w:r>
    </w:p>
    <w:p w14:paraId="5CC28E3F" w14:textId="05B53676" w:rsidR="001F0009" w:rsidRPr="001F0009" w:rsidRDefault="001F0009" w:rsidP="001F0009">
      <w:pPr>
        <w:pStyle w:val="BodyText"/>
        <w:rPr>
          <w:rFonts w:cs="Arial"/>
          <w:sz w:val="20"/>
          <w:szCs w:val="20"/>
        </w:rPr>
      </w:pPr>
      <w:r w:rsidRPr="001F0009">
        <w:rPr>
          <w:rFonts w:cs="Arial"/>
          <w:sz w:val="20"/>
          <w:szCs w:val="20"/>
        </w:rPr>
        <w:t xml:space="preserve">This Supplement contains information relating specifically to </w:t>
      </w:r>
      <w:r w:rsidR="00020322">
        <w:rPr>
          <w:rFonts w:cs="Arial"/>
          <w:sz w:val="20"/>
          <w:szCs w:val="20"/>
        </w:rPr>
        <w:t>IQ EQ Cash</w:t>
      </w:r>
      <w:r w:rsidRPr="001F0009">
        <w:rPr>
          <w:rFonts w:cs="Arial"/>
          <w:sz w:val="20"/>
          <w:szCs w:val="20"/>
        </w:rPr>
        <w:t xml:space="preserve"> Fund (the "</w:t>
      </w:r>
      <w:r w:rsidRPr="001F0009">
        <w:rPr>
          <w:rFonts w:cs="Arial"/>
          <w:b/>
          <w:sz w:val="20"/>
          <w:szCs w:val="20"/>
        </w:rPr>
        <w:t>Fund</w:t>
      </w:r>
      <w:r w:rsidRPr="001F0009">
        <w:rPr>
          <w:rFonts w:cs="Arial"/>
          <w:sz w:val="20"/>
          <w:szCs w:val="20"/>
        </w:rPr>
        <w:t>"), a Fund of Davy Funds p.l.c. (the "</w:t>
      </w:r>
      <w:r w:rsidRPr="001F0009">
        <w:rPr>
          <w:rFonts w:cs="Arial"/>
          <w:b/>
          <w:sz w:val="20"/>
          <w:szCs w:val="20"/>
        </w:rPr>
        <w:t>Company</w:t>
      </w:r>
      <w:r w:rsidRPr="001F0009">
        <w:rPr>
          <w:rFonts w:cs="Arial"/>
          <w:sz w:val="20"/>
          <w:szCs w:val="20"/>
        </w:rPr>
        <w:t>"), an open-ended umbrella fund with segregated liability between sub-funds authorised by the Central Bank as a UCITS pursuant to the Regulations. The Fund is also authorised as money market fund designated as a standard variable net asset value money market fund pursuant to the Money Market Fund Regulation.</w:t>
      </w:r>
    </w:p>
    <w:p w14:paraId="2ED7E393" w14:textId="7BBBDA7E" w:rsidR="001F0009" w:rsidRPr="00343B4C" w:rsidRDefault="001F0009" w:rsidP="00343B4C">
      <w:pPr>
        <w:rPr>
          <w:b/>
          <w:lang w:eastAsia="en-GB"/>
        </w:rPr>
      </w:pPr>
      <w:r w:rsidRPr="001F0009">
        <w:rPr>
          <w:rFonts w:cs="Arial"/>
          <w:b/>
          <w:sz w:val="20"/>
          <w:szCs w:val="20"/>
        </w:rPr>
        <w:t xml:space="preserve">This Supplement forms part of and should be read in the context of and in conjunction with the Prospectus for the Company dated </w:t>
      </w:r>
      <w:r w:rsidR="006C2D4D">
        <w:rPr>
          <w:rFonts w:cs="Arial"/>
          <w:b/>
          <w:sz w:val="20"/>
          <w:szCs w:val="20"/>
        </w:rPr>
        <w:t>28 June 2024</w:t>
      </w:r>
      <w:r w:rsidR="004676D6">
        <w:rPr>
          <w:rFonts w:cs="Arial"/>
          <w:b/>
          <w:sz w:val="20"/>
          <w:szCs w:val="20"/>
        </w:rPr>
        <w:t xml:space="preserve"> </w:t>
      </w:r>
      <w:r w:rsidRPr="001F0009">
        <w:rPr>
          <w:rFonts w:cs="Arial"/>
          <w:b/>
          <w:sz w:val="20"/>
          <w:szCs w:val="20"/>
        </w:rPr>
        <w:t>(the "Prospectus").</w:t>
      </w:r>
    </w:p>
    <w:p w14:paraId="2B424C54" w14:textId="77777777" w:rsidR="001F0009" w:rsidRPr="001F0009" w:rsidRDefault="001F0009" w:rsidP="001F0009">
      <w:pPr>
        <w:pStyle w:val="BodyText"/>
        <w:rPr>
          <w:rFonts w:cs="Arial"/>
          <w:b/>
          <w:sz w:val="20"/>
          <w:szCs w:val="20"/>
        </w:rPr>
      </w:pPr>
      <w:r w:rsidRPr="001F0009">
        <w:rPr>
          <w:rFonts w:cs="Arial"/>
          <w:b/>
          <w:sz w:val="20"/>
          <w:szCs w:val="20"/>
        </w:rPr>
        <w:t xml:space="preserve">As the price of Shares in each Fund may fall as well as rise, the Company shall not be a suitable investment for an investor who cannot sustain a loss on their investment. </w:t>
      </w:r>
    </w:p>
    <w:p w14:paraId="297708C3" w14:textId="77777777" w:rsidR="001F0009" w:rsidRPr="001F0009" w:rsidRDefault="001F0009" w:rsidP="001F0009">
      <w:pPr>
        <w:spacing w:before="120" w:line="200" w:lineRule="atLeast"/>
        <w:ind w:right="-62"/>
        <w:rPr>
          <w:rFonts w:cs="Arial"/>
          <w:b/>
          <w:sz w:val="20"/>
          <w:szCs w:val="20"/>
          <w:lang w:val="en-GB" w:eastAsia="en-GB"/>
        </w:rPr>
      </w:pPr>
      <w:r w:rsidRPr="001F0009">
        <w:rPr>
          <w:rFonts w:cs="Arial"/>
          <w:b/>
          <w:sz w:val="20"/>
          <w:szCs w:val="20"/>
          <w:lang w:val="en-GB" w:eastAsia="en-GB"/>
        </w:rPr>
        <w:t>The Fund does not seek to maintain a stable Net Asset Value per Share and the Fund’s assets are to be valued using a combination of mark to market value as set out under the heading "Valuation of Assets" in the Prospectus.</w:t>
      </w:r>
    </w:p>
    <w:p w14:paraId="5697D6F0" w14:textId="77777777" w:rsidR="001F0009" w:rsidRPr="001F0009" w:rsidRDefault="001F0009" w:rsidP="001F0009">
      <w:pPr>
        <w:spacing w:line="200" w:lineRule="atLeast"/>
        <w:ind w:right="-62"/>
        <w:rPr>
          <w:rFonts w:cs="Arial"/>
          <w:b/>
          <w:sz w:val="20"/>
          <w:szCs w:val="20"/>
          <w:lang w:val="en-GB" w:eastAsia="en-GB"/>
        </w:rPr>
      </w:pPr>
    </w:p>
    <w:p w14:paraId="1A1D9493" w14:textId="77777777" w:rsidR="001F0009" w:rsidRPr="001F0009" w:rsidRDefault="001F0009" w:rsidP="001F0009">
      <w:pPr>
        <w:pStyle w:val="BodyText"/>
        <w:rPr>
          <w:rFonts w:cs="Arial"/>
          <w:sz w:val="20"/>
          <w:szCs w:val="20"/>
        </w:rPr>
      </w:pPr>
      <w:r w:rsidRPr="001F0009">
        <w:rPr>
          <w:rFonts w:cs="Arial"/>
          <w:sz w:val="20"/>
          <w:szCs w:val="20"/>
        </w:rPr>
        <w:br w:type="page"/>
      </w:r>
      <w:r w:rsidRPr="001F0009">
        <w:rPr>
          <w:rFonts w:cs="Arial"/>
          <w:sz w:val="20"/>
          <w:szCs w:val="20"/>
        </w:rPr>
        <w:lastRenderedPageBreak/>
        <w:t>___________________________________________________________________________</w:t>
      </w:r>
    </w:p>
    <w:p w14:paraId="7BD987A4" w14:textId="77777777" w:rsidR="001F0009" w:rsidRPr="001F0009" w:rsidRDefault="001F0009" w:rsidP="001F0009">
      <w:pPr>
        <w:pStyle w:val="Agreement1"/>
        <w:pBdr>
          <w:bottom w:val="single" w:sz="12" w:space="1" w:color="auto"/>
        </w:pBdr>
        <w:jc w:val="center"/>
        <w:rPr>
          <w:rFonts w:ascii="Arial" w:hAnsi="Arial" w:cs="Arial"/>
          <w:sz w:val="20"/>
          <w:szCs w:val="20"/>
        </w:rPr>
      </w:pPr>
      <w:r w:rsidRPr="001F0009">
        <w:rPr>
          <w:rFonts w:ascii="Arial" w:hAnsi="Arial" w:cs="Arial"/>
          <w:sz w:val="20"/>
          <w:szCs w:val="20"/>
        </w:rPr>
        <w:t>DEFINITIONS</w:t>
      </w:r>
    </w:p>
    <w:p w14:paraId="6335A047" w14:textId="77777777" w:rsidR="001F0009" w:rsidRPr="001F0009" w:rsidRDefault="001F0009" w:rsidP="001F0009">
      <w:pPr>
        <w:pStyle w:val="BodyText"/>
        <w:rPr>
          <w:rFonts w:cs="Arial"/>
          <w:b/>
          <w:sz w:val="20"/>
          <w:szCs w:val="20"/>
        </w:rPr>
      </w:pPr>
      <w:r w:rsidRPr="001F0009">
        <w:rPr>
          <w:rFonts w:cs="Arial"/>
          <w:b/>
          <w:sz w:val="20"/>
          <w:szCs w:val="20"/>
        </w:rPr>
        <w:t xml:space="preserve">Base Currency </w:t>
      </w:r>
      <w:r w:rsidRPr="001F0009">
        <w:rPr>
          <w:rFonts w:cs="Arial"/>
          <w:sz w:val="20"/>
          <w:szCs w:val="20"/>
        </w:rPr>
        <w:t>means Euro;</w:t>
      </w:r>
    </w:p>
    <w:p w14:paraId="1B52ADD2" w14:textId="77777777" w:rsidR="001F0009" w:rsidRPr="001F0009" w:rsidRDefault="001F0009" w:rsidP="001F0009">
      <w:pPr>
        <w:pStyle w:val="BodyText"/>
        <w:rPr>
          <w:rFonts w:cs="Arial"/>
          <w:sz w:val="20"/>
          <w:szCs w:val="20"/>
        </w:rPr>
      </w:pPr>
      <w:r w:rsidRPr="001F0009">
        <w:rPr>
          <w:rFonts w:cs="Arial"/>
          <w:b/>
          <w:sz w:val="20"/>
          <w:szCs w:val="20"/>
        </w:rPr>
        <w:t>Business Day</w:t>
      </w:r>
      <w:r w:rsidRPr="001F0009">
        <w:rPr>
          <w:rFonts w:cs="Arial"/>
          <w:sz w:val="20"/>
          <w:szCs w:val="20"/>
        </w:rPr>
        <w:t xml:space="preserve"> means any day (other than a Saturday, Sunday or public holiday) on which commercial banks are open for business in Dublin and/or such other day or days as may be determined by the Directors from time to time and as notified to Shareholders in advance;</w:t>
      </w:r>
    </w:p>
    <w:p w14:paraId="4DE30597" w14:textId="77777777" w:rsidR="001F0009" w:rsidRPr="001F0009" w:rsidRDefault="001F0009" w:rsidP="001F0009">
      <w:pPr>
        <w:pStyle w:val="BodyText"/>
        <w:rPr>
          <w:rFonts w:cs="Arial"/>
          <w:sz w:val="20"/>
          <w:szCs w:val="20"/>
        </w:rPr>
      </w:pPr>
      <w:r w:rsidRPr="001F0009">
        <w:rPr>
          <w:rFonts w:cs="Arial"/>
          <w:b/>
          <w:sz w:val="20"/>
          <w:szCs w:val="20"/>
        </w:rPr>
        <w:t xml:space="preserve">Credit Institution </w:t>
      </w:r>
      <w:r w:rsidRPr="001F0009">
        <w:rPr>
          <w:rFonts w:cs="Arial"/>
          <w:sz w:val="20"/>
          <w:szCs w:val="20"/>
        </w:rPr>
        <w:t>means an undertaking the business of which is to take deposits or other repayable funds from the public and to grant credits for its own account (as defined in point (1) of Article 4(1) of Regulation (EU) No 575/2013);</w:t>
      </w:r>
    </w:p>
    <w:p w14:paraId="195A4374" w14:textId="77777777" w:rsidR="001F0009" w:rsidRPr="001F0009" w:rsidRDefault="001F0009" w:rsidP="001F0009">
      <w:pPr>
        <w:pStyle w:val="BodyText"/>
        <w:rPr>
          <w:rFonts w:cs="Arial"/>
          <w:sz w:val="20"/>
          <w:szCs w:val="20"/>
        </w:rPr>
      </w:pPr>
      <w:r w:rsidRPr="001F0009">
        <w:rPr>
          <w:rFonts w:cs="Arial"/>
          <w:b/>
          <w:sz w:val="20"/>
          <w:szCs w:val="20"/>
        </w:rPr>
        <w:t>Dealing Day</w:t>
      </w:r>
      <w:r w:rsidRPr="001F0009">
        <w:rPr>
          <w:rFonts w:cs="Arial"/>
          <w:sz w:val="20"/>
          <w:szCs w:val="20"/>
        </w:rPr>
        <w:t xml:space="preserve"> means each Business Day and/or such other day or days as the Directors may in their absolute discretion determine and notify in advance to Shareholders provided that there shall be at least two Dealing Days in each Month (occurring at regular intervals);</w:t>
      </w:r>
    </w:p>
    <w:p w14:paraId="36DA8B90" w14:textId="77777777" w:rsidR="001F0009" w:rsidRPr="001F0009" w:rsidRDefault="001F0009" w:rsidP="001F0009">
      <w:pPr>
        <w:pStyle w:val="BodyText"/>
        <w:rPr>
          <w:rFonts w:cs="Arial"/>
          <w:sz w:val="20"/>
          <w:szCs w:val="20"/>
        </w:rPr>
      </w:pPr>
      <w:r w:rsidRPr="001F0009">
        <w:rPr>
          <w:rFonts w:cs="Arial"/>
          <w:b/>
          <w:sz w:val="20"/>
          <w:szCs w:val="20"/>
        </w:rPr>
        <w:t>Dealing Deadline</w:t>
      </w:r>
      <w:r w:rsidRPr="001F0009">
        <w:rPr>
          <w:rFonts w:cs="Arial"/>
          <w:sz w:val="20"/>
          <w:szCs w:val="20"/>
        </w:rPr>
        <w:t xml:space="preserve"> in respect of subscriptions and repurchases means 1</w:t>
      </w:r>
      <w:r w:rsidRPr="001F0009">
        <w:rPr>
          <w:rFonts w:cs="Arial"/>
          <w:sz w:val="20"/>
          <w:szCs w:val="20"/>
          <w:lang w:val="ga-IE"/>
        </w:rPr>
        <w:t>6</w:t>
      </w:r>
      <w:r w:rsidRPr="001F0009">
        <w:rPr>
          <w:rFonts w:cs="Arial"/>
          <w:sz w:val="20"/>
          <w:szCs w:val="20"/>
        </w:rPr>
        <w:t xml:space="preserve">.00 </w:t>
      </w:r>
      <w:r w:rsidRPr="001F0009">
        <w:rPr>
          <w:rFonts w:cs="Arial"/>
          <w:sz w:val="20"/>
          <w:szCs w:val="20"/>
          <w:lang w:val="ga-IE"/>
        </w:rPr>
        <w:t>p</w:t>
      </w:r>
      <w:r w:rsidRPr="001F0009">
        <w:rPr>
          <w:rFonts w:cs="Arial"/>
          <w:sz w:val="20"/>
          <w:szCs w:val="20"/>
        </w:rPr>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7928E5A8" w14:textId="77777777" w:rsidR="001F0009" w:rsidRPr="001F0009" w:rsidRDefault="001F0009" w:rsidP="001F0009">
      <w:pPr>
        <w:pStyle w:val="BodyText"/>
        <w:rPr>
          <w:rFonts w:cs="Arial"/>
          <w:b/>
          <w:sz w:val="20"/>
          <w:szCs w:val="20"/>
        </w:rPr>
      </w:pPr>
      <w:r w:rsidRPr="001F0009">
        <w:rPr>
          <w:rFonts w:cs="Arial"/>
          <w:b/>
          <w:sz w:val="20"/>
          <w:szCs w:val="20"/>
        </w:rPr>
        <w:t xml:space="preserve">Deposits </w:t>
      </w:r>
      <w:r w:rsidRPr="001F0009">
        <w:rPr>
          <w:rFonts w:cs="Arial"/>
          <w:sz w:val="20"/>
          <w:szCs w:val="20"/>
        </w:rPr>
        <w:t>mean deposits with a Credit Institution that are eligible for investment in accordance with Article 12 of the Money Market Fund Regulation;</w:t>
      </w:r>
    </w:p>
    <w:p w14:paraId="30FF4FC6" w14:textId="77777777" w:rsidR="001F0009" w:rsidRPr="001F0009" w:rsidRDefault="001F0009" w:rsidP="001F0009">
      <w:pPr>
        <w:pStyle w:val="BodyText"/>
        <w:rPr>
          <w:rFonts w:cs="Arial"/>
          <w:sz w:val="20"/>
          <w:szCs w:val="20"/>
        </w:rPr>
      </w:pPr>
      <w:r w:rsidRPr="001F0009">
        <w:rPr>
          <w:rFonts w:cs="Arial"/>
          <w:b/>
          <w:sz w:val="20"/>
          <w:szCs w:val="20"/>
        </w:rPr>
        <w:t xml:space="preserve">Distribution Date </w:t>
      </w:r>
      <w:r w:rsidRPr="001F0009">
        <w:rPr>
          <w:rFonts w:cs="Arial"/>
          <w:sz w:val="20"/>
          <w:szCs w:val="20"/>
        </w:rPr>
        <w:t xml:space="preserve">means the dates or dates by reference to which a distribution may at the discretion of the Directors be declared which shall usually be 30 September and 31 March in each year; </w:t>
      </w:r>
    </w:p>
    <w:p w14:paraId="4DA42E94" w14:textId="77777777" w:rsidR="001F0009" w:rsidRPr="001F0009" w:rsidRDefault="001F0009" w:rsidP="001F0009">
      <w:pPr>
        <w:pStyle w:val="BodyText"/>
        <w:rPr>
          <w:rFonts w:cs="Arial"/>
          <w:sz w:val="20"/>
          <w:szCs w:val="20"/>
        </w:rPr>
      </w:pPr>
      <w:r w:rsidRPr="001F0009">
        <w:rPr>
          <w:rFonts w:cs="Arial"/>
          <w:b/>
          <w:sz w:val="20"/>
          <w:szCs w:val="20"/>
        </w:rPr>
        <w:t>Investment Grade</w:t>
      </w:r>
      <w:r w:rsidRPr="001F0009">
        <w:rPr>
          <w:rFonts w:cs="Arial"/>
          <w:sz w:val="20"/>
          <w:szCs w:val="20"/>
        </w:rPr>
        <w:t xml:space="preserve"> means any investment with a rating of at least Baa3 from Moody's BBB- from Standard &amp; Poor's or BBB – from Fitch or higher;</w:t>
      </w:r>
    </w:p>
    <w:p w14:paraId="2E9BC0D4" w14:textId="4DE3BBE7" w:rsidR="001F0009" w:rsidRPr="001F0009" w:rsidRDefault="001F0009" w:rsidP="001F0009">
      <w:pPr>
        <w:pStyle w:val="Non-Agreement4"/>
        <w:numPr>
          <w:ilvl w:val="3"/>
          <w:numId w:val="0"/>
        </w:numPr>
        <w:spacing w:before="120"/>
        <w:rPr>
          <w:rFonts w:cs="Arial"/>
          <w:sz w:val="20"/>
          <w:szCs w:val="20"/>
        </w:rPr>
      </w:pPr>
      <w:r w:rsidRPr="001F0009">
        <w:rPr>
          <w:rFonts w:cs="Arial"/>
          <w:b/>
          <w:bCs/>
          <w:sz w:val="20"/>
          <w:szCs w:val="20"/>
        </w:rPr>
        <w:t>Investment Manager</w:t>
      </w:r>
      <w:r w:rsidRPr="001F0009">
        <w:rPr>
          <w:rFonts w:cs="Arial"/>
          <w:sz w:val="20"/>
          <w:szCs w:val="20"/>
        </w:rPr>
        <w:t xml:space="preserve"> means </w:t>
      </w:r>
      <w:r w:rsidR="008D71CE" w:rsidRPr="00794D48">
        <w:rPr>
          <w:rFonts w:cs="Arial"/>
          <w:sz w:val="20"/>
          <w:szCs w:val="20"/>
        </w:rPr>
        <w:t>IQ</w:t>
      </w:r>
      <w:r w:rsidR="00B33835">
        <w:rPr>
          <w:rFonts w:cs="Arial"/>
          <w:sz w:val="20"/>
          <w:szCs w:val="20"/>
        </w:rPr>
        <w:t xml:space="preserve"> </w:t>
      </w:r>
      <w:r w:rsidR="008D71CE" w:rsidRPr="00794D48">
        <w:rPr>
          <w:rFonts w:cs="Arial"/>
          <w:sz w:val="20"/>
          <w:szCs w:val="20"/>
        </w:rPr>
        <w:t>EQ</w:t>
      </w:r>
      <w:r w:rsidR="00794D48" w:rsidRPr="00794D48">
        <w:rPr>
          <w:rFonts w:cs="Arial"/>
          <w:sz w:val="20"/>
          <w:szCs w:val="20"/>
        </w:rPr>
        <w:t xml:space="preserve"> Fund Management (Ireland) Limited</w:t>
      </w:r>
      <w:r w:rsidRPr="00794D48">
        <w:rPr>
          <w:rFonts w:cs="Arial"/>
          <w:sz w:val="20"/>
          <w:szCs w:val="20"/>
        </w:rPr>
        <w:t>;</w:t>
      </w:r>
    </w:p>
    <w:p w14:paraId="28414F6C" w14:textId="55452E45" w:rsidR="001F0009" w:rsidRPr="001F0009" w:rsidRDefault="001F0009" w:rsidP="001F0009">
      <w:pPr>
        <w:pStyle w:val="Non-Agreement4"/>
        <w:numPr>
          <w:ilvl w:val="3"/>
          <w:numId w:val="0"/>
        </w:numPr>
        <w:spacing w:before="120"/>
        <w:rPr>
          <w:rFonts w:cs="Arial"/>
          <w:sz w:val="20"/>
          <w:szCs w:val="20"/>
        </w:rPr>
      </w:pPr>
      <w:r w:rsidRPr="001F0009">
        <w:rPr>
          <w:rFonts w:cs="Arial"/>
          <w:b/>
          <w:iCs/>
          <w:sz w:val="20"/>
          <w:szCs w:val="20"/>
        </w:rPr>
        <w:t>Manager</w:t>
      </w:r>
      <w:r w:rsidRPr="001F0009">
        <w:rPr>
          <w:rFonts w:cs="Arial"/>
          <w:bCs/>
          <w:i/>
          <w:sz w:val="20"/>
          <w:szCs w:val="20"/>
        </w:rPr>
        <w:t xml:space="preserve"> </w:t>
      </w:r>
      <w:r w:rsidRPr="001F0009">
        <w:rPr>
          <w:rFonts w:cs="Arial"/>
          <w:bCs/>
          <w:iCs/>
          <w:sz w:val="20"/>
          <w:szCs w:val="20"/>
        </w:rPr>
        <w:t>means</w:t>
      </w:r>
      <w:r w:rsidRPr="001F0009">
        <w:rPr>
          <w:rFonts w:cs="Arial"/>
          <w:sz w:val="20"/>
          <w:szCs w:val="20"/>
        </w:rPr>
        <w:t xml:space="preserve"> </w:t>
      </w:r>
      <w:r w:rsidR="00794D48" w:rsidRPr="00794D48">
        <w:rPr>
          <w:rFonts w:cs="Arial"/>
          <w:sz w:val="20"/>
          <w:szCs w:val="20"/>
        </w:rPr>
        <w:t>IQ</w:t>
      </w:r>
      <w:r w:rsidR="00B33835">
        <w:rPr>
          <w:rFonts w:cs="Arial"/>
          <w:sz w:val="20"/>
          <w:szCs w:val="20"/>
        </w:rPr>
        <w:t xml:space="preserve"> </w:t>
      </w:r>
      <w:r w:rsidR="00794D48" w:rsidRPr="00794D48">
        <w:rPr>
          <w:rFonts w:cs="Arial"/>
          <w:sz w:val="20"/>
          <w:szCs w:val="20"/>
        </w:rPr>
        <w:t>EQ</w:t>
      </w:r>
      <w:r w:rsidR="00794D48">
        <w:rPr>
          <w:rFonts w:cs="Arial"/>
          <w:sz w:val="20"/>
          <w:szCs w:val="20"/>
        </w:rPr>
        <w:t xml:space="preserve"> Fund Management (Ireland) Limited </w:t>
      </w:r>
      <w:r w:rsidRPr="001F0009">
        <w:rPr>
          <w:rFonts w:cs="Arial"/>
          <w:sz w:val="20"/>
          <w:szCs w:val="20"/>
        </w:rPr>
        <w:t>or such other person as may be designated, in accordance with the Central Bank Rules, as the Company’s fund management company;</w:t>
      </w:r>
    </w:p>
    <w:p w14:paraId="6C90A3DF" w14:textId="77777777" w:rsidR="001F0009" w:rsidRPr="001F0009" w:rsidRDefault="001F0009" w:rsidP="001F0009">
      <w:pPr>
        <w:pStyle w:val="BodyText"/>
        <w:rPr>
          <w:rFonts w:cs="Arial"/>
          <w:sz w:val="20"/>
          <w:szCs w:val="20"/>
        </w:rPr>
      </w:pPr>
      <w:r w:rsidRPr="001F0009">
        <w:rPr>
          <w:rFonts w:cs="Arial"/>
          <w:b/>
          <w:sz w:val="20"/>
          <w:szCs w:val="20"/>
        </w:rPr>
        <w:t>Minimum Fund Size</w:t>
      </w:r>
      <w:r w:rsidRPr="001F0009">
        <w:rPr>
          <w:rFonts w:cs="Arial"/>
          <w:sz w:val="20"/>
          <w:szCs w:val="20"/>
        </w:rPr>
        <w:t xml:space="preserve"> means €5,000,000 or such other amount as the Directors may in their absolute discretion determine;</w:t>
      </w:r>
    </w:p>
    <w:p w14:paraId="42449911" w14:textId="133EDCBF" w:rsidR="00590C17" w:rsidRPr="00590C17" w:rsidRDefault="00590C17" w:rsidP="001F0009">
      <w:pPr>
        <w:pStyle w:val="BodyText"/>
        <w:rPr>
          <w:rFonts w:cs="Arial"/>
          <w:bCs/>
          <w:sz w:val="20"/>
          <w:szCs w:val="20"/>
        </w:rPr>
      </w:pPr>
      <w:r>
        <w:rPr>
          <w:rFonts w:cs="Arial"/>
          <w:b/>
          <w:sz w:val="20"/>
          <w:szCs w:val="20"/>
        </w:rPr>
        <w:t xml:space="preserve">Money Market Fund </w:t>
      </w:r>
      <w:r>
        <w:rPr>
          <w:rFonts w:cs="Arial"/>
          <w:bCs/>
          <w:sz w:val="20"/>
          <w:szCs w:val="20"/>
        </w:rPr>
        <w:t xml:space="preserve">means a </w:t>
      </w:r>
      <w:r w:rsidRPr="00590C17">
        <w:rPr>
          <w:rFonts w:cs="Arial"/>
          <w:bCs/>
          <w:sz w:val="20"/>
          <w:szCs w:val="20"/>
        </w:rPr>
        <w:t>Fund regulated as a money market fund pursuant to the M</w:t>
      </w:r>
      <w:r>
        <w:rPr>
          <w:rFonts w:cs="Arial"/>
          <w:bCs/>
          <w:sz w:val="20"/>
          <w:szCs w:val="20"/>
        </w:rPr>
        <w:t xml:space="preserve">oney </w:t>
      </w:r>
      <w:r w:rsidRPr="00590C17">
        <w:rPr>
          <w:rFonts w:cs="Arial"/>
          <w:bCs/>
          <w:sz w:val="20"/>
          <w:szCs w:val="20"/>
        </w:rPr>
        <w:t>M</w:t>
      </w:r>
      <w:r>
        <w:rPr>
          <w:rFonts w:cs="Arial"/>
          <w:bCs/>
          <w:sz w:val="20"/>
          <w:szCs w:val="20"/>
        </w:rPr>
        <w:t xml:space="preserve">arket </w:t>
      </w:r>
      <w:r w:rsidRPr="00590C17">
        <w:rPr>
          <w:rFonts w:cs="Arial"/>
          <w:bCs/>
          <w:sz w:val="20"/>
          <w:szCs w:val="20"/>
        </w:rPr>
        <w:t>F</w:t>
      </w:r>
      <w:r>
        <w:rPr>
          <w:rFonts w:cs="Arial"/>
          <w:bCs/>
          <w:sz w:val="20"/>
          <w:szCs w:val="20"/>
        </w:rPr>
        <w:t>und</w:t>
      </w:r>
      <w:r w:rsidRPr="00590C17">
        <w:rPr>
          <w:rFonts w:cs="Arial"/>
          <w:bCs/>
          <w:sz w:val="20"/>
          <w:szCs w:val="20"/>
        </w:rPr>
        <w:t xml:space="preserve"> Regulations.</w:t>
      </w:r>
    </w:p>
    <w:p w14:paraId="03EB805A" w14:textId="3DECD8C3" w:rsidR="001F0009" w:rsidRPr="001F0009" w:rsidRDefault="001F0009" w:rsidP="001F0009">
      <w:pPr>
        <w:pStyle w:val="BodyText"/>
        <w:rPr>
          <w:rFonts w:cs="Arial"/>
          <w:b/>
          <w:sz w:val="20"/>
          <w:szCs w:val="20"/>
        </w:rPr>
      </w:pPr>
      <w:r w:rsidRPr="001F0009">
        <w:rPr>
          <w:rFonts w:cs="Arial"/>
          <w:b/>
          <w:sz w:val="20"/>
          <w:szCs w:val="20"/>
        </w:rPr>
        <w:t>Money Market Instruments</w:t>
      </w:r>
      <w:r w:rsidRPr="001F0009">
        <w:rPr>
          <w:rFonts w:cs="Arial"/>
          <w:sz w:val="20"/>
          <w:szCs w:val="20"/>
        </w:rPr>
        <w:t xml:space="preserve"> means treasury bills, demand notes, promissory notes, commercial paper, negotiable certificates of deposit, floating rate notes or debt securities as defined in Article 10 of Money Market Fund Regulation; </w:t>
      </w:r>
    </w:p>
    <w:p w14:paraId="7CA7A42E" w14:textId="77777777" w:rsidR="001F0009" w:rsidRPr="001F0009" w:rsidRDefault="001F0009" w:rsidP="001F0009">
      <w:pPr>
        <w:pStyle w:val="BodyText"/>
        <w:rPr>
          <w:rFonts w:cs="Arial"/>
          <w:sz w:val="20"/>
          <w:szCs w:val="20"/>
        </w:rPr>
      </w:pPr>
      <w:r w:rsidRPr="001F0009">
        <w:rPr>
          <w:rFonts w:cs="Arial"/>
          <w:b/>
          <w:sz w:val="20"/>
          <w:szCs w:val="20"/>
        </w:rPr>
        <w:t>Settlement Date</w:t>
      </w:r>
      <w:r w:rsidRPr="001F0009">
        <w:rPr>
          <w:rFonts w:cs="Arial"/>
          <w:sz w:val="20"/>
          <w:szCs w:val="20"/>
        </w:rPr>
        <w:t xml:space="preserve"> in respect of subscriptions and repurchases respectively shall have the meaning outlined in the section entitled "</w:t>
      </w:r>
      <w:r w:rsidRPr="001F0009">
        <w:rPr>
          <w:rFonts w:cs="Arial"/>
          <w:b/>
          <w:sz w:val="20"/>
          <w:szCs w:val="20"/>
        </w:rPr>
        <w:t>Key Information for Buying and Selling Shares</w:t>
      </w:r>
      <w:r w:rsidRPr="001F0009">
        <w:rPr>
          <w:rFonts w:cs="Arial"/>
          <w:sz w:val="20"/>
          <w:szCs w:val="20"/>
        </w:rPr>
        <w:t>" below;</w:t>
      </w:r>
    </w:p>
    <w:p w14:paraId="63602D10" w14:textId="77777777" w:rsidR="001F0009" w:rsidRPr="001F0009" w:rsidRDefault="001F0009" w:rsidP="001F0009">
      <w:pPr>
        <w:pStyle w:val="BodyText"/>
        <w:rPr>
          <w:rFonts w:cs="Arial"/>
          <w:sz w:val="20"/>
          <w:szCs w:val="20"/>
        </w:rPr>
      </w:pPr>
      <w:r w:rsidRPr="001F0009">
        <w:rPr>
          <w:rFonts w:cs="Arial"/>
          <w:b/>
          <w:sz w:val="20"/>
          <w:szCs w:val="20"/>
        </w:rPr>
        <w:t>Valuation Point</w:t>
      </w:r>
      <w:r w:rsidRPr="001F0009">
        <w:rPr>
          <w:rFonts w:cs="Arial"/>
          <w:sz w:val="20"/>
          <w:szCs w:val="20"/>
        </w:rPr>
        <w:t xml:space="preserve"> means the close of business in the relevant market that closes last on the Business Day immediately preceding the relevant Dealing Day or such other time or times as the Directors may determine provided that the Valuation Point shall always occur after the Dealing Deadline;</w:t>
      </w:r>
    </w:p>
    <w:p w14:paraId="7BADABC1" w14:textId="77777777" w:rsidR="001F0009" w:rsidRPr="001F0009" w:rsidRDefault="001F0009" w:rsidP="001F0009">
      <w:pPr>
        <w:spacing w:before="120"/>
        <w:rPr>
          <w:rFonts w:cs="Arial"/>
          <w:sz w:val="20"/>
          <w:szCs w:val="20"/>
          <w:lang w:val="en-GB" w:eastAsia="en-GB"/>
        </w:rPr>
      </w:pPr>
      <w:r w:rsidRPr="001F0009">
        <w:rPr>
          <w:rFonts w:cs="Arial"/>
          <w:b/>
          <w:sz w:val="20"/>
          <w:szCs w:val="20"/>
          <w:lang w:val="en-GB" w:eastAsia="en-GB"/>
        </w:rPr>
        <w:t>Weighted Average Life</w:t>
      </w:r>
      <w:r w:rsidRPr="001F0009">
        <w:rPr>
          <w:rFonts w:cs="Arial"/>
          <w:sz w:val="20"/>
          <w:szCs w:val="20"/>
          <w:lang w:val="en-GB" w:eastAsia="en-GB"/>
        </w:rPr>
        <w:t xml:space="preserve"> means the average length of time to legal maturity of all of the underlying assets in the Fund reflecting the relative holdings in each asset; and</w:t>
      </w:r>
    </w:p>
    <w:p w14:paraId="50A30F5C" w14:textId="77777777" w:rsidR="001F0009" w:rsidRPr="001F0009" w:rsidRDefault="001F0009" w:rsidP="001F0009">
      <w:pPr>
        <w:spacing w:before="120"/>
        <w:rPr>
          <w:rFonts w:cs="Arial"/>
          <w:sz w:val="20"/>
          <w:szCs w:val="20"/>
          <w:lang w:val="en-GB" w:eastAsia="en-GB"/>
        </w:rPr>
      </w:pPr>
      <w:r w:rsidRPr="001F0009">
        <w:rPr>
          <w:rFonts w:cs="Arial"/>
          <w:b/>
          <w:sz w:val="20"/>
          <w:szCs w:val="20"/>
          <w:lang w:val="en-GB" w:eastAsia="en-GB"/>
        </w:rPr>
        <w:t>Weighted Average Maturity</w:t>
      </w:r>
      <w:r w:rsidRPr="001F0009">
        <w:rPr>
          <w:rFonts w:cs="Arial"/>
          <w:sz w:val="20"/>
          <w:szCs w:val="20"/>
          <w:lang w:val="en-GB" w:eastAsia="en-GB"/>
        </w:rPr>
        <w:t xml:space="preserve"> means the average length of time to legal maturity or, if shorter, to the next interest rate reset to a money market rate, of all of the underlying assets in the Fund reflecting the relative holdings in each asset.</w:t>
      </w:r>
    </w:p>
    <w:p w14:paraId="1A912D31" w14:textId="77777777" w:rsidR="001F0009" w:rsidRPr="001F0009" w:rsidRDefault="001F0009" w:rsidP="001F0009">
      <w:pPr>
        <w:pStyle w:val="BodyText"/>
        <w:rPr>
          <w:rFonts w:cs="Arial"/>
          <w:sz w:val="20"/>
          <w:szCs w:val="20"/>
        </w:rPr>
      </w:pPr>
      <w:r w:rsidRPr="001F0009">
        <w:rPr>
          <w:rFonts w:cs="Arial"/>
          <w:sz w:val="20"/>
          <w:szCs w:val="20"/>
        </w:rPr>
        <w:t>All other defined terms used in this Supplement shall have the same meaning as in the Prospectus.</w:t>
      </w:r>
    </w:p>
    <w:p w14:paraId="4E7F7270" w14:textId="77777777" w:rsidR="001F0009" w:rsidRPr="001F0009" w:rsidRDefault="001F0009" w:rsidP="001F0009">
      <w:pPr>
        <w:pStyle w:val="BodyText"/>
        <w:rPr>
          <w:rFonts w:cs="Arial"/>
          <w:sz w:val="20"/>
          <w:szCs w:val="20"/>
        </w:rPr>
      </w:pPr>
      <w:r w:rsidRPr="001F0009">
        <w:rPr>
          <w:rFonts w:cs="Arial"/>
          <w:sz w:val="20"/>
          <w:szCs w:val="20"/>
        </w:rPr>
        <w:br w:type="page"/>
      </w:r>
      <w:r w:rsidRPr="001F0009">
        <w:rPr>
          <w:rFonts w:cs="Arial"/>
          <w:sz w:val="20"/>
          <w:szCs w:val="20"/>
        </w:rPr>
        <w:lastRenderedPageBreak/>
        <w:t>___________________________________________________________________________</w:t>
      </w:r>
    </w:p>
    <w:p w14:paraId="0A561107" w14:textId="77777777" w:rsidR="001F0009" w:rsidRPr="001F0009" w:rsidRDefault="001F0009" w:rsidP="001F0009">
      <w:pPr>
        <w:pStyle w:val="Agreement1"/>
        <w:pBdr>
          <w:bottom w:val="single" w:sz="12" w:space="1" w:color="auto"/>
        </w:pBdr>
        <w:jc w:val="center"/>
        <w:rPr>
          <w:rFonts w:ascii="Arial" w:hAnsi="Arial" w:cs="Arial"/>
          <w:sz w:val="20"/>
          <w:szCs w:val="20"/>
        </w:rPr>
      </w:pPr>
      <w:r w:rsidRPr="001F0009">
        <w:rPr>
          <w:rFonts w:ascii="Arial" w:hAnsi="Arial" w:cs="Arial"/>
          <w:sz w:val="20"/>
          <w:szCs w:val="20"/>
        </w:rPr>
        <w:t>INFORMATION ON THE FUND</w:t>
      </w:r>
    </w:p>
    <w:p w14:paraId="22D7E0F5"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Investment Objective, Investment Policies and Investment Strategy</w:t>
      </w:r>
    </w:p>
    <w:p w14:paraId="4EDDDF4F" w14:textId="77777777" w:rsidR="001F0009" w:rsidRPr="001F0009" w:rsidRDefault="001F0009" w:rsidP="001F0009">
      <w:pPr>
        <w:pStyle w:val="Agreement3"/>
        <w:keepNext/>
        <w:spacing w:before="120"/>
        <w:ind w:left="720"/>
        <w:rPr>
          <w:rFonts w:cs="Arial"/>
          <w:b/>
          <w:sz w:val="20"/>
          <w:szCs w:val="20"/>
        </w:rPr>
      </w:pPr>
      <w:r w:rsidRPr="001F0009">
        <w:rPr>
          <w:rFonts w:cs="Arial"/>
          <w:b/>
          <w:sz w:val="20"/>
          <w:szCs w:val="20"/>
        </w:rPr>
        <w:t>Investment Objective</w:t>
      </w:r>
    </w:p>
    <w:p w14:paraId="30CCBE67" w14:textId="77777777" w:rsidR="001F0009" w:rsidRPr="001F0009" w:rsidRDefault="001F0009" w:rsidP="001F0009">
      <w:pPr>
        <w:pStyle w:val="BodyTextIndent"/>
        <w:ind w:left="0"/>
        <w:rPr>
          <w:rFonts w:cs="Arial"/>
          <w:sz w:val="20"/>
          <w:szCs w:val="20"/>
        </w:rPr>
      </w:pPr>
      <w:r w:rsidRPr="001F0009">
        <w:rPr>
          <w:rFonts w:cs="Arial"/>
          <w:sz w:val="20"/>
          <w:szCs w:val="20"/>
        </w:rPr>
        <w:t xml:space="preserve">The investment objective of the Fund is capital protection and to provide a return in line with money market rates.  </w:t>
      </w:r>
    </w:p>
    <w:p w14:paraId="39B1540E" w14:textId="77777777" w:rsidR="001F0009" w:rsidRPr="001F0009" w:rsidRDefault="001F0009" w:rsidP="001F0009">
      <w:pPr>
        <w:pStyle w:val="BodyTextIndent"/>
        <w:ind w:left="0"/>
        <w:rPr>
          <w:rFonts w:cs="Arial"/>
          <w:sz w:val="20"/>
          <w:szCs w:val="20"/>
        </w:rPr>
      </w:pPr>
      <w:r w:rsidRPr="001F0009">
        <w:rPr>
          <w:rFonts w:cs="Arial"/>
          <w:sz w:val="20"/>
          <w:szCs w:val="20"/>
        </w:rPr>
        <w:t>There can be no assurance that the Fund will achieve its investment objective.</w:t>
      </w:r>
    </w:p>
    <w:p w14:paraId="62F2605F" w14:textId="77777777" w:rsidR="001F0009" w:rsidRPr="001F0009" w:rsidRDefault="001F0009" w:rsidP="001F0009">
      <w:pPr>
        <w:pStyle w:val="Agreement3"/>
        <w:keepNext/>
        <w:spacing w:before="120"/>
        <w:ind w:left="720"/>
        <w:rPr>
          <w:rFonts w:cs="Arial"/>
          <w:b/>
          <w:sz w:val="20"/>
          <w:szCs w:val="20"/>
        </w:rPr>
      </w:pPr>
      <w:r w:rsidRPr="001F0009">
        <w:rPr>
          <w:rFonts w:cs="Arial"/>
          <w:b/>
          <w:sz w:val="20"/>
          <w:szCs w:val="20"/>
        </w:rPr>
        <w:t xml:space="preserve">Investment Policies </w:t>
      </w:r>
    </w:p>
    <w:p w14:paraId="0767FAB3" w14:textId="77777777" w:rsidR="001F0009" w:rsidRPr="001F0009" w:rsidRDefault="001F0009" w:rsidP="001F0009">
      <w:pPr>
        <w:spacing w:before="120"/>
        <w:rPr>
          <w:rFonts w:cs="Arial"/>
          <w:sz w:val="20"/>
          <w:szCs w:val="20"/>
          <w:lang w:val="en-GB" w:eastAsia="en-GB"/>
        </w:rPr>
      </w:pPr>
      <w:r w:rsidRPr="001F0009">
        <w:rPr>
          <w:rFonts w:cs="Arial"/>
          <w:sz w:val="20"/>
          <w:szCs w:val="20"/>
        </w:rPr>
        <w:t xml:space="preserve">The Fund intends to achieve its investment objective by investing in Money Market Instruments, all of which shall be Investment Grade rating and in Deposits with authorised Credit Institutions. </w:t>
      </w:r>
      <w:r w:rsidRPr="001F0009">
        <w:rPr>
          <w:rFonts w:cs="Arial"/>
          <w:sz w:val="20"/>
          <w:szCs w:val="20"/>
          <w:lang w:val="en-GB" w:eastAsia="en-GB"/>
        </w:rPr>
        <w:t>By professional management and the pooling of investors' monies, the Fund has a potential to obtain better rates than those generally available to an individual investor.</w:t>
      </w:r>
    </w:p>
    <w:p w14:paraId="3B0964DE" w14:textId="4FDD7E72" w:rsidR="001F0009" w:rsidRDefault="001F0009" w:rsidP="001F0009">
      <w:pPr>
        <w:spacing w:before="120"/>
        <w:rPr>
          <w:rFonts w:cs="Arial"/>
          <w:sz w:val="20"/>
          <w:szCs w:val="20"/>
          <w:lang w:val="en-GB" w:eastAsia="en-GB"/>
        </w:rPr>
      </w:pPr>
      <w:r w:rsidRPr="001F0009">
        <w:rPr>
          <w:rFonts w:cs="Arial"/>
          <w:sz w:val="20"/>
          <w:szCs w:val="20"/>
          <w:lang w:val="en-GB" w:eastAsia="en-GB"/>
        </w:rPr>
        <w:t>The assets of the Fund shall consist of Deposits with Credit Institutions and/or Money Market Instruments which have a maturity at date of acquisition of not greater than one year. The Fund will invest no more than 10% of its assets in Deposits made with the same Credit Institution, unless the structure of the banking sector in Ireland in which the Fund is domiciled is such that there are insufficient viable Credit Institutions to meet that diversification requirement and it is not economically feasible for the Fund to make Deposits in another EU Member State, in which case up to 15% of its assets may be deposited with the same Credit Institution.</w:t>
      </w:r>
    </w:p>
    <w:p w14:paraId="7F48A956" w14:textId="6D19B7B2" w:rsidR="00930FCE" w:rsidRDefault="00930FCE" w:rsidP="001F0009">
      <w:pPr>
        <w:spacing w:before="120"/>
        <w:rPr>
          <w:rFonts w:cs="Arial"/>
          <w:sz w:val="20"/>
          <w:szCs w:val="20"/>
          <w:lang w:val="en-GB" w:eastAsia="en-GB"/>
        </w:rPr>
      </w:pPr>
      <w:r w:rsidRPr="00930FCE">
        <w:rPr>
          <w:rFonts w:cs="Arial"/>
          <w:sz w:val="20"/>
          <w:szCs w:val="20"/>
          <w:lang w:val="en-GB" w:eastAsia="en-GB"/>
        </w:rPr>
        <w:t xml:space="preserve">The Fund may </w:t>
      </w:r>
      <w:r w:rsidR="004656AE">
        <w:rPr>
          <w:rFonts w:cs="Arial"/>
          <w:sz w:val="20"/>
          <w:szCs w:val="20"/>
          <w:lang w:val="en-GB" w:eastAsia="en-GB"/>
        </w:rPr>
        <w:t xml:space="preserve">invest in units or shares of other </w:t>
      </w:r>
      <w:r w:rsidR="00003741">
        <w:rPr>
          <w:rFonts w:cs="Arial"/>
          <w:sz w:val="20"/>
          <w:szCs w:val="20"/>
          <w:lang w:val="en-GB" w:eastAsia="en-GB"/>
        </w:rPr>
        <w:t>a</w:t>
      </w:r>
      <w:r w:rsidR="004656AE">
        <w:rPr>
          <w:rFonts w:cs="Arial"/>
          <w:sz w:val="20"/>
          <w:szCs w:val="20"/>
          <w:lang w:val="en-GB" w:eastAsia="en-GB"/>
        </w:rPr>
        <w:t>uthorised Money Market Funds.</w:t>
      </w:r>
    </w:p>
    <w:p w14:paraId="726F6932" w14:textId="77777777" w:rsidR="001F0009" w:rsidRPr="001F0009" w:rsidRDefault="001F0009" w:rsidP="001F0009">
      <w:pPr>
        <w:spacing w:before="120"/>
        <w:rPr>
          <w:rFonts w:cs="Arial"/>
          <w:sz w:val="20"/>
          <w:szCs w:val="20"/>
          <w:lang w:val="en-GB" w:eastAsia="en-GB"/>
        </w:rPr>
      </w:pPr>
      <w:r w:rsidRPr="001F0009">
        <w:rPr>
          <w:rFonts w:cs="Arial"/>
          <w:sz w:val="20"/>
          <w:szCs w:val="20"/>
          <w:lang w:val="en-GB" w:eastAsia="en-GB"/>
        </w:rPr>
        <w:t>In deciding how to make investments, in accordance with the Internal Credit Quality Assessment Procedure as set out in Article 19 of the Money Market Fund Regulation, the Investment Manager reviews appropriate counterparties for credit ratings, interest rate and counterparty exposure and in accordance with the Liquidity Management Process combining this with the underlying expectations for the investor liquidity, invests the assets of the Fund.</w:t>
      </w:r>
    </w:p>
    <w:p w14:paraId="3723871F" w14:textId="77777777" w:rsidR="001F0009" w:rsidRPr="001F0009" w:rsidRDefault="001F0009" w:rsidP="001F0009">
      <w:pPr>
        <w:pStyle w:val="BodyTextIndent"/>
        <w:ind w:left="0"/>
        <w:rPr>
          <w:rFonts w:cs="Arial"/>
          <w:sz w:val="20"/>
          <w:szCs w:val="20"/>
        </w:rPr>
      </w:pPr>
      <w:r w:rsidRPr="001F0009">
        <w:rPr>
          <w:rFonts w:cs="Arial"/>
          <w:sz w:val="20"/>
          <w:szCs w:val="20"/>
        </w:rPr>
        <w:t xml:space="preserve">The Fund may use FDIs for the purposes of hedging interest rate and/or exchange rate risk. </w:t>
      </w:r>
    </w:p>
    <w:p w14:paraId="69036FB9" w14:textId="77777777" w:rsidR="001F0009" w:rsidRPr="001F0009" w:rsidRDefault="001F0009" w:rsidP="001F0009">
      <w:pPr>
        <w:pStyle w:val="BodyTextIndent"/>
        <w:ind w:left="0"/>
        <w:rPr>
          <w:rFonts w:cs="Arial"/>
          <w:sz w:val="20"/>
          <w:szCs w:val="20"/>
        </w:rPr>
      </w:pPr>
      <w:r w:rsidRPr="001F0009">
        <w:rPr>
          <w:rFonts w:cs="Arial"/>
          <w:sz w:val="20"/>
          <w:szCs w:val="20"/>
        </w:rPr>
        <w:t xml:space="preserve">The Fund may also utilise repurchase agreements and reverse repurchase agreements that fulfil the conditions of Article 14 and Article 15 respectively of the Money Market Fund Regulation respectively. </w:t>
      </w:r>
    </w:p>
    <w:p w14:paraId="43E206A4" w14:textId="77777777" w:rsidR="001F0009" w:rsidRPr="001F0009" w:rsidRDefault="001F0009" w:rsidP="001F0009">
      <w:pPr>
        <w:pStyle w:val="BodyTextIndent"/>
        <w:ind w:left="0"/>
        <w:rPr>
          <w:rFonts w:cs="Arial"/>
          <w:sz w:val="20"/>
          <w:szCs w:val="20"/>
        </w:rPr>
      </w:pPr>
      <w:r w:rsidRPr="001F0009">
        <w:rPr>
          <w:rFonts w:cs="Arial"/>
          <w:sz w:val="20"/>
          <w:szCs w:val="20"/>
        </w:rPr>
        <w:t>Subject to the investment restrictions set out under the heading "</w:t>
      </w:r>
      <w:r w:rsidRPr="001F0009">
        <w:rPr>
          <w:rFonts w:cs="Arial"/>
          <w:b/>
          <w:sz w:val="20"/>
          <w:szCs w:val="20"/>
        </w:rPr>
        <w:t>Investment Restrictions</w:t>
      </w:r>
      <w:r w:rsidRPr="001F0009">
        <w:rPr>
          <w:rFonts w:cs="Arial"/>
          <w:sz w:val="20"/>
          <w:szCs w:val="20"/>
        </w:rPr>
        <w:t xml:space="preserve">" as detailed in Appendix I of the Prospectus, the assets of the Fund will be invested in securities that are listed or traded on Permitted Markets as detailed in Appendix II of the Prospectus. </w:t>
      </w:r>
    </w:p>
    <w:p w14:paraId="512593C6"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Portfolio Maturity</w:t>
      </w:r>
    </w:p>
    <w:p w14:paraId="29A2F6BC" w14:textId="77777777" w:rsidR="001F0009" w:rsidRPr="001F0009" w:rsidRDefault="001F0009" w:rsidP="001F0009">
      <w:pPr>
        <w:spacing w:before="120"/>
        <w:rPr>
          <w:rFonts w:cs="Arial"/>
          <w:sz w:val="20"/>
          <w:szCs w:val="20"/>
          <w:lang w:val="en-GB" w:eastAsia="en-GB"/>
        </w:rPr>
      </w:pPr>
      <w:r w:rsidRPr="001F0009">
        <w:rPr>
          <w:rFonts w:cs="Arial"/>
          <w:sz w:val="20"/>
          <w:szCs w:val="20"/>
          <w:lang w:val="en-GB" w:eastAsia="en-GB"/>
        </w:rPr>
        <w:t>The Funds' investments in Money Market Instruments are limited to Money Market Instruments with a residual maturity until the legal repurchase date of less than or equal to two years (provided the time remaining until the next interest reset date is less than or equal to 397 days).</w:t>
      </w:r>
    </w:p>
    <w:p w14:paraId="6BE06209" w14:textId="77777777" w:rsidR="001F0009" w:rsidRPr="001F0009" w:rsidRDefault="001F0009" w:rsidP="001F0009">
      <w:pPr>
        <w:spacing w:before="120"/>
        <w:rPr>
          <w:rFonts w:cs="Arial"/>
          <w:sz w:val="20"/>
          <w:szCs w:val="20"/>
          <w:lang w:val="en-GB" w:eastAsia="en-GB"/>
        </w:rPr>
      </w:pPr>
      <w:r w:rsidRPr="001F0009">
        <w:rPr>
          <w:rFonts w:cs="Arial"/>
          <w:sz w:val="20"/>
          <w:szCs w:val="20"/>
          <w:lang w:val="en-GB" w:eastAsia="en-GB"/>
        </w:rPr>
        <w:t>The Weighted Average Maturity of the Fund's portfolio will not exceed 6 months. The Weighted Average Life of the Fund's portfolio will not exceed 12 months.</w:t>
      </w:r>
    </w:p>
    <w:p w14:paraId="1A1DE803" w14:textId="77777777" w:rsidR="001F0009" w:rsidRPr="001F0009" w:rsidRDefault="001F0009" w:rsidP="001F0009">
      <w:pPr>
        <w:spacing w:before="120"/>
        <w:rPr>
          <w:rFonts w:cs="Arial"/>
          <w:sz w:val="20"/>
          <w:szCs w:val="20"/>
          <w:lang w:val="en-GB" w:eastAsia="en-GB"/>
        </w:rPr>
      </w:pPr>
      <w:r w:rsidRPr="001F0009">
        <w:rPr>
          <w:rFonts w:cs="Arial"/>
          <w:sz w:val="20"/>
          <w:szCs w:val="20"/>
          <w:lang w:val="en-GB" w:eastAsia="en-GB"/>
        </w:rPr>
        <w:t>A minimum of 15% of the Net Asset Value of the Fund will be comprised of assets that mature on five Business Days, reverse repurchase agreements which are able to be terminated by giving prior notice of five Business Days, or Deposits which are able to be withdrawn by giving prior notice of five Business Days. The Fund shall not acquire any asset other than a weekly maturing asset when such acquisition would result in the Fund investing less than 15% of the Net Asset Value in weekly maturing assets.</w:t>
      </w:r>
    </w:p>
    <w:p w14:paraId="085A6E92" w14:textId="77777777" w:rsidR="001F0009" w:rsidRPr="001F0009" w:rsidRDefault="001F0009" w:rsidP="001F0009">
      <w:pPr>
        <w:spacing w:before="120"/>
        <w:rPr>
          <w:rFonts w:cs="Arial"/>
          <w:sz w:val="20"/>
          <w:szCs w:val="20"/>
          <w:lang w:val="en-GB" w:eastAsia="en-GB"/>
        </w:rPr>
      </w:pPr>
      <w:r w:rsidRPr="001F0009">
        <w:rPr>
          <w:rFonts w:cs="Arial"/>
          <w:sz w:val="20"/>
          <w:szCs w:val="20"/>
          <w:lang w:val="en-GB" w:eastAsia="en-GB"/>
        </w:rPr>
        <w:t>In addition, a minimum of 7.5% of the Net Asset Value of the Fund will be composed of assets that mature on each Business Day, reverse repurchase agreements which are able to be terminated by giving prior notice of one Business Day, or Deposits which are able to be withdrawn by giving prior notice of one Business Day. The Fund shall not acquire any asset other than a daily maturing asset when such acquisition would result in the Fund investing less than 7.5% of the Net Asset Value in daily maturing assets.</w:t>
      </w:r>
    </w:p>
    <w:p w14:paraId="1050825A"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lastRenderedPageBreak/>
        <w:t>Investment Restrictions</w:t>
      </w:r>
    </w:p>
    <w:p w14:paraId="7BA569B8" w14:textId="19960AB4" w:rsidR="001F0009" w:rsidRPr="001F0009" w:rsidRDefault="001F0009" w:rsidP="001F0009">
      <w:pPr>
        <w:pStyle w:val="BodyText"/>
        <w:rPr>
          <w:rFonts w:cs="Arial"/>
          <w:sz w:val="20"/>
          <w:szCs w:val="20"/>
        </w:rPr>
      </w:pPr>
      <w:r w:rsidRPr="001F0009">
        <w:rPr>
          <w:rFonts w:cs="Arial"/>
          <w:sz w:val="20"/>
          <w:szCs w:val="20"/>
        </w:rPr>
        <w:t xml:space="preserve">Investors must note that the Company and the Fund adhere to the restrictions and requirements set out under the Money Market Fund Regulation, as may be amended from time to time. These are set out in Appendix I to the Prospectus. </w:t>
      </w:r>
    </w:p>
    <w:p w14:paraId="13D5AC6F"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 xml:space="preserve">Use of FDI </w:t>
      </w:r>
    </w:p>
    <w:p w14:paraId="0744EA15" w14:textId="77777777" w:rsidR="001F0009" w:rsidRPr="001F0009" w:rsidRDefault="001F0009" w:rsidP="001F0009">
      <w:pPr>
        <w:pStyle w:val="Agreement1"/>
        <w:keepNext w:val="0"/>
        <w:numPr>
          <w:ilvl w:val="0"/>
          <w:numId w:val="0"/>
        </w:numPr>
        <w:spacing w:before="120"/>
        <w:rPr>
          <w:rFonts w:ascii="Arial" w:hAnsi="Arial" w:cs="Arial"/>
          <w:b w:val="0"/>
          <w:sz w:val="20"/>
          <w:szCs w:val="20"/>
          <w:lang w:eastAsia="en-GB"/>
        </w:rPr>
      </w:pPr>
      <w:r w:rsidRPr="001F0009">
        <w:rPr>
          <w:rFonts w:ascii="Arial" w:hAnsi="Arial" w:cs="Arial"/>
          <w:b w:val="0"/>
          <w:sz w:val="20"/>
          <w:szCs w:val="20"/>
          <w:lang w:eastAsia="en-GB"/>
        </w:rPr>
        <w:t xml:space="preserve">Subject to the Regulations, the Money Market Fund Regulation and to the conditions and limits laid down by the Central Bank from time to time, the Fund may invest in FDIs listed or traded on permitted markets listed in Appendix II of the Prospectus and/or OTC FDIs which will be used solely for the purposes of hedging interest rate and/or exchange rate risk inherent in other investments of the Fund.  </w:t>
      </w:r>
    </w:p>
    <w:p w14:paraId="79D4CD3D" w14:textId="77777777" w:rsidR="001F0009" w:rsidRPr="001F0009" w:rsidRDefault="001F0009" w:rsidP="001F0009">
      <w:pPr>
        <w:pStyle w:val="Agreement1"/>
        <w:keepNext w:val="0"/>
        <w:numPr>
          <w:ilvl w:val="0"/>
          <w:numId w:val="0"/>
        </w:numPr>
        <w:spacing w:before="120"/>
        <w:rPr>
          <w:rFonts w:ascii="Arial" w:hAnsi="Arial" w:cs="Arial"/>
          <w:b w:val="0"/>
          <w:sz w:val="20"/>
          <w:szCs w:val="20"/>
          <w:lang w:eastAsia="en-GB"/>
        </w:rPr>
      </w:pPr>
      <w:r w:rsidRPr="001F0009">
        <w:rPr>
          <w:rFonts w:ascii="Arial" w:hAnsi="Arial" w:cs="Arial"/>
          <w:b w:val="0"/>
          <w:sz w:val="20"/>
          <w:szCs w:val="20"/>
          <w:lang w:eastAsia="en-GB"/>
        </w:rPr>
        <w:t xml:space="preserve">The FDIs in which the Fund may invest are futures, forwards and options. The underlying of such derivative instruments may consist of interest rates, foreign exchange rates, currencies or indices representing one of those categories. </w:t>
      </w:r>
    </w:p>
    <w:p w14:paraId="73D2A467" w14:textId="77777777" w:rsidR="001F0009" w:rsidRPr="001F0009" w:rsidRDefault="001F0009" w:rsidP="001F0009">
      <w:pPr>
        <w:pStyle w:val="BodyText"/>
        <w:rPr>
          <w:rFonts w:cs="Arial"/>
          <w:sz w:val="20"/>
          <w:szCs w:val="20"/>
        </w:rPr>
      </w:pPr>
      <w:r w:rsidRPr="001F0009">
        <w:rPr>
          <w:rFonts w:cs="Arial"/>
          <w:sz w:val="20"/>
          <w:szCs w:val="20"/>
        </w:rPr>
        <w:t>The Fund will employ the commitment approach to assess the Fund's global exposure and to ensure that the Fund's use of FDIs is within the limits specified by the Central Bank. Global exposure will be calculated daily.</w:t>
      </w:r>
    </w:p>
    <w:p w14:paraId="72F9FE5F" w14:textId="6742C11D" w:rsidR="001F0009" w:rsidRPr="001F0009" w:rsidRDefault="001F0009" w:rsidP="001F0009">
      <w:pPr>
        <w:pStyle w:val="BodyText"/>
        <w:rPr>
          <w:rFonts w:cs="Arial"/>
          <w:sz w:val="20"/>
          <w:szCs w:val="20"/>
        </w:rPr>
      </w:pPr>
      <w:r w:rsidRPr="001F0009">
        <w:rPr>
          <w:rFonts w:cs="Arial"/>
          <w:sz w:val="20"/>
          <w:szCs w:val="20"/>
        </w:rPr>
        <w:t>To the extent that the Fund uses FDIs, the Fund may be leveraged, however such leverage will not exceed 100% of the Net Asset Value of the Fund.</w:t>
      </w:r>
    </w:p>
    <w:p w14:paraId="7BA0858F" w14:textId="77777777" w:rsidR="001F0009" w:rsidRPr="001F0009" w:rsidRDefault="001F0009" w:rsidP="001F0009">
      <w:pPr>
        <w:pStyle w:val="BodyText"/>
        <w:keepNext/>
        <w:rPr>
          <w:rFonts w:cs="Arial"/>
          <w:sz w:val="20"/>
          <w:szCs w:val="20"/>
        </w:rPr>
      </w:pPr>
      <w:r w:rsidRPr="001F0009">
        <w:rPr>
          <w:rFonts w:cs="Arial"/>
          <w:b/>
          <w:sz w:val="20"/>
          <w:szCs w:val="20"/>
        </w:rPr>
        <w:t>Futures</w:t>
      </w:r>
    </w:p>
    <w:p w14:paraId="5830B350" w14:textId="77777777" w:rsidR="001F0009" w:rsidRPr="001F0009" w:rsidRDefault="001F0009" w:rsidP="001F0009">
      <w:pPr>
        <w:pStyle w:val="BodyText"/>
        <w:rPr>
          <w:rFonts w:cs="Arial"/>
          <w:sz w:val="20"/>
          <w:szCs w:val="20"/>
        </w:rPr>
      </w:pPr>
      <w:r w:rsidRPr="001F0009">
        <w:rPr>
          <w:rFonts w:cs="Arial"/>
          <w:sz w:val="20"/>
          <w:szCs w:val="20"/>
        </w:rPr>
        <w:t>Futures could be used to gain exposure to positions in a more efficient manner.  For example a single stock future could be used to provide the Fund with exposure to a single security.  The Fund will use futures for the purpose of managing interest rate or currency risk.</w:t>
      </w:r>
    </w:p>
    <w:p w14:paraId="5F5BE159" w14:textId="77777777" w:rsidR="001F0009" w:rsidRPr="001F0009" w:rsidRDefault="001F0009" w:rsidP="001F0009">
      <w:pPr>
        <w:pStyle w:val="BodyText"/>
        <w:keepNext/>
        <w:rPr>
          <w:rFonts w:cs="Arial"/>
          <w:b/>
          <w:sz w:val="20"/>
          <w:szCs w:val="20"/>
        </w:rPr>
      </w:pPr>
      <w:r w:rsidRPr="001F0009">
        <w:rPr>
          <w:rFonts w:cs="Arial"/>
          <w:b/>
          <w:sz w:val="20"/>
          <w:szCs w:val="20"/>
        </w:rPr>
        <w:t>Forwards</w:t>
      </w:r>
    </w:p>
    <w:p w14:paraId="62E0F2A4" w14:textId="77777777" w:rsidR="001F0009" w:rsidRPr="001F0009" w:rsidRDefault="001F0009" w:rsidP="001F0009">
      <w:pPr>
        <w:pStyle w:val="BodyText"/>
        <w:rPr>
          <w:rFonts w:cs="Arial"/>
          <w:sz w:val="20"/>
          <w:szCs w:val="20"/>
        </w:rPr>
      </w:pPr>
      <w:r w:rsidRPr="001F0009">
        <w:rPr>
          <w:rFonts w:cs="Arial"/>
          <w:sz w:val="20"/>
          <w:szCs w:val="20"/>
        </w:rPr>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risen from holding assets in that currency.</w:t>
      </w:r>
    </w:p>
    <w:p w14:paraId="6AC95937" w14:textId="77777777" w:rsidR="001F0009" w:rsidRPr="001F0009" w:rsidRDefault="001F0009" w:rsidP="001F0009">
      <w:pPr>
        <w:pStyle w:val="BodyText"/>
        <w:keepNext/>
        <w:rPr>
          <w:rFonts w:cs="Arial"/>
          <w:b/>
          <w:sz w:val="20"/>
          <w:szCs w:val="20"/>
        </w:rPr>
      </w:pPr>
      <w:r w:rsidRPr="001F0009">
        <w:rPr>
          <w:rFonts w:cs="Arial"/>
          <w:b/>
          <w:sz w:val="20"/>
          <w:szCs w:val="20"/>
        </w:rPr>
        <w:t>Options</w:t>
      </w:r>
    </w:p>
    <w:p w14:paraId="49707270" w14:textId="77777777" w:rsidR="001F0009" w:rsidRPr="001F0009" w:rsidRDefault="001F0009" w:rsidP="001F0009">
      <w:pPr>
        <w:pStyle w:val="BodyText"/>
        <w:rPr>
          <w:rFonts w:cs="Arial"/>
          <w:sz w:val="20"/>
          <w:szCs w:val="20"/>
        </w:rPr>
      </w:pPr>
      <w:r w:rsidRPr="001F0009">
        <w:rPr>
          <w:rFonts w:cs="Arial"/>
          <w:sz w:val="20"/>
          <w:szCs w:val="20"/>
        </w:rPr>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Any option entered into by the Fund will be in accordance with the limits prescribed by law.</w:t>
      </w:r>
    </w:p>
    <w:p w14:paraId="79E31C68"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Profile of a Typical Investor</w:t>
      </w:r>
    </w:p>
    <w:p w14:paraId="18C5CD4D" w14:textId="77777777" w:rsidR="001F0009" w:rsidRPr="001F0009" w:rsidRDefault="001F0009" w:rsidP="001F0009">
      <w:pPr>
        <w:pStyle w:val="Agreement2"/>
        <w:numPr>
          <w:ilvl w:val="0"/>
          <w:numId w:val="0"/>
        </w:numPr>
        <w:spacing w:before="120"/>
        <w:rPr>
          <w:rFonts w:cs="Arial"/>
          <w:sz w:val="20"/>
          <w:szCs w:val="20"/>
        </w:rPr>
      </w:pPr>
      <w:r w:rsidRPr="001F0009">
        <w:rPr>
          <w:rFonts w:cs="Arial"/>
          <w:sz w:val="20"/>
          <w:szCs w:val="20"/>
        </w:rPr>
        <w:t>A typical investor will be seeking to achieve exposure to fixed income, adjustable rate securities or Deposits and a return on its investment in the short to medium term.</w:t>
      </w:r>
    </w:p>
    <w:p w14:paraId="7761BED6"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 xml:space="preserve">Description of the Fund </w:t>
      </w:r>
    </w:p>
    <w:p w14:paraId="7BE31CF6" w14:textId="77777777" w:rsidR="001F0009" w:rsidRPr="001F0009" w:rsidRDefault="001F0009" w:rsidP="001F0009">
      <w:pPr>
        <w:pStyle w:val="Agreement2"/>
        <w:numPr>
          <w:ilvl w:val="0"/>
          <w:numId w:val="0"/>
        </w:numPr>
        <w:spacing w:before="120"/>
        <w:rPr>
          <w:rFonts w:cs="Arial"/>
          <w:sz w:val="20"/>
          <w:szCs w:val="20"/>
        </w:rPr>
      </w:pPr>
      <w:r w:rsidRPr="001F0009">
        <w:rPr>
          <w:rFonts w:cs="Arial"/>
          <w:sz w:val="20"/>
          <w:szCs w:val="20"/>
        </w:rPr>
        <w:t>The Fund is a variable net asset value money market fund that meets the criteria for and is categorised as standard money market fund in accordance with the Money Market Funds Regulation.</w:t>
      </w:r>
    </w:p>
    <w:p w14:paraId="52DB0812" w14:textId="77777777" w:rsidR="001F0009" w:rsidRPr="001F0009" w:rsidRDefault="001F0009" w:rsidP="001F0009">
      <w:pPr>
        <w:pStyle w:val="Agreement2"/>
        <w:numPr>
          <w:ilvl w:val="0"/>
          <w:numId w:val="0"/>
        </w:numPr>
        <w:spacing w:before="120"/>
        <w:rPr>
          <w:rFonts w:cs="Arial"/>
          <w:sz w:val="20"/>
          <w:szCs w:val="20"/>
        </w:rPr>
      </w:pPr>
      <w:r w:rsidRPr="001F0009">
        <w:rPr>
          <w:rFonts w:cs="Arial"/>
          <w:sz w:val="20"/>
          <w:szCs w:val="20"/>
        </w:rPr>
        <w:t xml:space="preserve">The Fund does not seek to maintain a stable Net Asset Value. As a result, the Fund's Net Asset Value per Share will vary and reflect the effects of unrealised appreciation and depreciation and realised losses and gains. There is no guarantee that the Fund will not experience repurchases based upon unrealised depreciation, realised losses or other factors. </w:t>
      </w:r>
    </w:p>
    <w:p w14:paraId="37D17A60" w14:textId="77777777" w:rsidR="001F0009" w:rsidRPr="001F0009" w:rsidRDefault="001F0009" w:rsidP="001F0009">
      <w:pPr>
        <w:pStyle w:val="BodyText"/>
        <w:rPr>
          <w:rFonts w:cs="Arial"/>
          <w:sz w:val="20"/>
          <w:szCs w:val="20"/>
        </w:rPr>
      </w:pPr>
      <w:r w:rsidRPr="001F0009">
        <w:rPr>
          <w:rFonts w:cs="Arial"/>
          <w:sz w:val="20"/>
          <w:szCs w:val="20"/>
        </w:rPr>
        <w:t>For the purposes of the Taxonomy Regulation, the investments underlying the Fund do not take into account the EU criteria for environmentally sustainable economic activities (the "</w:t>
      </w:r>
      <w:r w:rsidRPr="001F0009">
        <w:rPr>
          <w:rFonts w:cs="Arial"/>
          <w:b/>
          <w:bCs/>
          <w:sz w:val="20"/>
          <w:szCs w:val="20"/>
        </w:rPr>
        <w:t>Taxonomy-alignment criteria</w:t>
      </w:r>
      <w:r w:rsidRPr="001F0009">
        <w:rPr>
          <w:rFonts w:cs="Arial"/>
          <w:sz w:val="20"/>
          <w:szCs w:val="20"/>
        </w:rPr>
        <w:t>"). This means that the Taxonomy-alignment criteria are not taken into account when making investment decisions in respect of the Fund.</w:t>
      </w:r>
    </w:p>
    <w:p w14:paraId="7A507490"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lastRenderedPageBreak/>
        <w:t>Risk Factors</w:t>
      </w:r>
    </w:p>
    <w:p w14:paraId="7B94A149" w14:textId="77777777" w:rsidR="001F0009" w:rsidRPr="001F0009" w:rsidRDefault="001F0009" w:rsidP="001F0009">
      <w:pPr>
        <w:pStyle w:val="Agreement2"/>
        <w:numPr>
          <w:ilvl w:val="0"/>
          <w:numId w:val="0"/>
        </w:numPr>
        <w:spacing w:before="120"/>
        <w:rPr>
          <w:rFonts w:cs="Arial"/>
          <w:sz w:val="20"/>
          <w:szCs w:val="20"/>
        </w:rPr>
      </w:pPr>
      <w:r w:rsidRPr="001F0009">
        <w:rPr>
          <w:rFonts w:cs="Arial"/>
          <w:b/>
          <w:sz w:val="20"/>
          <w:szCs w:val="20"/>
        </w:rPr>
        <w:t>Investors should note that the difference between the nature of a deposit and the nature of an investment in a money market fund and in particular the risk that the principal invested in a money market fund is capable of fluctuation</w:t>
      </w:r>
      <w:r w:rsidRPr="001F0009">
        <w:rPr>
          <w:rFonts w:cs="Arial"/>
          <w:sz w:val="20"/>
          <w:szCs w:val="20"/>
        </w:rPr>
        <w:t>.</w:t>
      </w:r>
    </w:p>
    <w:p w14:paraId="0FFC59CB" w14:textId="77777777" w:rsidR="001F0009" w:rsidRPr="001F0009" w:rsidRDefault="001F0009" w:rsidP="001F0009">
      <w:pPr>
        <w:pStyle w:val="Agreement2"/>
        <w:numPr>
          <w:ilvl w:val="0"/>
          <w:numId w:val="0"/>
        </w:numPr>
        <w:spacing w:before="120"/>
        <w:rPr>
          <w:rFonts w:cs="Arial"/>
          <w:b/>
          <w:sz w:val="20"/>
          <w:szCs w:val="20"/>
        </w:rPr>
      </w:pPr>
      <w:r w:rsidRPr="001F0009">
        <w:rPr>
          <w:rFonts w:cs="Arial"/>
          <w:b/>
          <w:sz w:val="20"/>
          <w:szCs w:val="20"/>
        </w:rPr>
        <w:t>The Fund is not a guaranteed investment. The Fund does not rely on external support for guaranteeing the liquidity of the Fund or stabilising the Net Asset Value per Share. The risk of loss of the principal will be borne by the investor.</w:t>
      </w:r>
    </w:p>
    <w:p w14:paraId="5F0D865A" w14:textId="77777777" w:rsidR="001F0009" w:rsidRPr="001F0009" w:rsidRDefault="001F0009" w:rsidP="001F0009">
      <w:pPr>
        <w:pStyle w:val="Agreement2"/>
        <w:numPr>
          <w:ilvl w:val="0"/>
          <w:numId w:val="0"/>
        </w:numPr>
        <w:spacing w:before="120"/>
        <w:rPr>
          <w:rFonts w:cs="Arial"/>
          <w:sz w:val="20"/>
          <w:szCs w:val="20"/>
        </w:rPr>
      </w:pPr>
      <w:r w:rsidRPr="001F0009">
        <w:rPr>
          <w:rFonts w:cs="Arial"/>
          <w:sz w:val="20"/>
          <w:szCs w:val="20"/>
        </w:rPr>
        <w:t xml:space="preserve">The risk and reward profile of the Fund is such that the aim of the Fund is to preserve capital and maintain liquidity which it seeks to achieve by foregoing the potential for capital growth. The Fund will carry out monthly portfolio analysis to examine portfolio returns under various market scenarios to determine if the portfolio constituents are appropriate to meet pre-determined levels of credit risk, interest rate risk, market risk and investor repurchases. </w:t>
      </w:r>
    </w:p>
    <w:p w14:paraId="24E82116" w14:textId="77777777" w:rsidR="001F0009" w:rsidRPr="001F0009" w:rsidRDefault="001F0009" w:rsidP="001F0009">
      <w:pPr>
        <w:spacing w:before="120"/>
        <w:outlineLvl w:val="1"/>
        <w:rPr>
          <w:rFonts w:cs="Arial"/>
          <w:sz w:val="20"/>
          <w:szCs w:val="20"/>
          <w:lang w:val="en-GB"/>
        </w:rPr>
      </w:pPr>
      <w:r w:rsidRPr="001F0009">
        <w:rPr>
          <w:rFonts w:cs="Arial"/>
          <w:sz w:val="20"/>
          <w:szCs w:val="20"/>
          <w:lang w:val="en-GB"/>
        </w:rPr>
        <w:t>Investors should read and consider the sections of the Prospectus entitled "</w:t>
      </w:r>
      <w:r w:rsidRPr="001F0009">
        <w:rPr>
          <w:rFonts w:cs="Arial"/>
          <w:b/>
          <w:bCs/>
          <w:sz w:val="20"/>
          <w:szCs w:val="20"/>
          <w:lang w:val="en-GB"/>
        </w:rPr>
        <w:t>RISK FACTORS</w:t>
      </w:r>
      <w:r w:rsidRPr="001F0009">
        <w:rPr>
          <w:rFonts w:cs="Arial"/>
          <w:sz w:val="20"/>
          <w:szCs w:val="20"/>
          <w:lang w:val="en-GB"/>
        </w:rPr>
        <w:t>" and "</w:t>
      </w:r>
      <w:r w:rsidRPr="001F0009">
        <w:rPr>
          <w:rFonts w:cs="Arial"/>
          <w:b/>
          <w:bCs/>
          <w:sz w:val="20"/>
          <w:szCs w:val="20"/>
          <w:lang w:val="en-GB"/>
        </w:rPr>
        <w:t>SFDR-related Disclosures (a) Sustainability Risk</w:t>
      </w:r>
      <w:r w:rsidRPr="001F0009">
        <w:rPr>
          <w:rFonts w:cs="Arial"/>
          <w:sz w:val="20"/>
          <w:szCs w:val="20"/>
          <w:lang w:val="en-GB"/>
        </w:rPr>
        <w:t xml:space="preserve">" before investing in the Fund. However, not all of the risks disclosed in the </w:t>
      </w:r>
      <w:r w:rsidRPr="001F0009">
        <w:rPr>
          <w:rFonts w:cs="Arial"/>
          <w:b/>
          <w:bCs/>
          <w:sz w:val="20"/>
          <w:szCs w:val="20"/>
          <w:lang w:val="en-GB"/>
        </w:rPr>
        <w:t>RISK FACTORS</w:t>
      </w:r>
      <w:r w:rsidRPr="001F0009">
        <w:rPr>
          <w:rFonts w:cs="Arial"/>
          <w:sz w:val="20"/>
          <w:szCs w:val="20"/>
          <w:lang w:val="en-GB"/>
        </w:rPr>
        <w:t xml:space="preserve"> section of the Prospectus will be material to an investment in this particular Fund. </w:t>
      </w:r>
      <w:r w:rsidRPr="001F0009">
        <w:rPr>
          <w:rFonts w:cs="Arial"/>
          <w:sz w:val="20"/>
          <w:szCs w:val="20"/>
        </w:rPr>
        <w:t xml:space="preserve"> </w:t>
      </w:r>
    </w:p>
    <w:p w14:paraId="7849FC2A" w14:textId="77777777" w:rsidR="001F0009" w:rsidRPr="001F0009" w:rsidRDefault="001F0009" w:rsidP="001F0009">
      <w:pPr>
        <w:pStyle w:val="Agreement2"/>
        <w:numPr>
          <w:ilvl w:val="0"/>
          <w:numId w:val="0"/>
        </w:numPr>
        <w:spacing w:before="120"/>
        <w:rPr>
          <w:rFonts w:cs="Arial"/>
          <w:sz w:val="20"/>
          <w:szCs w:val="20"/>
        </w:rPr>
      </w:pPr>
      <w:r w:rsidRPr="001F0009">
        <w:rPr>
          <w:rFonts w:cs="Arial"/>
          <w:sz w:val="20"/>
          <w:szCs w:val="20"/>
        </w:rPr>
        <w:t xml:space="preserve">In addition to the above referenced risks, investors should also consider the particular implications of the following risks that are relevant to an investment in the Fund. Fees and expenses of the Fund may be charged to the capital of the Fund </w:t>
      </w:r>
      <w:r w:rsidRPr="001F0009">
        <w:rPr>
          <w:rFonts w:cs="Arial"/>
          <w:sz w:val="20"/>
          <w:szCs w:val="20"/>
          <w:lang w:eastAsia="en-GB"/>
        </w:rPr>
        <w:t>where insufficient income has been generated by the Fund to cover the fees and expenses</w:t>
      </w:r>
      <w:r w:rsidRPr="001F0009">
        <w:rPr>
          <w:rFonts w:cs="Arial"/>
          <w:sz w:val="20"/>
          <w:szCs w:val="20"/>
        </w:rPr>
        <w:t xml:space="preserve">. Thus, on repurchases 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495BD9C8" w14:textId="77777777" w:rsidR="001F0009" w:rsidRPr="001F0009" w:rsidRDefault="001F0009" w:rsidP="001F0009">
      <w:pPr>
        <w:pStyle w:val="Agreement2"/>
        <w:keepNext/>
        <w:numPr>
          <w:ilvl w:val="0"/>
          <w:numId w:val="0"/>
        </w:numPr>
        <w:spacing w:before="120"/>
        <w:ind w:left="720" w:hanging="720"/>
        <w:rPr>
          <w:rFonts w:cs="Arial"/>
          <w:sz w:val="20"/>
          <w:szCs w:val="20"/>
        </w:rPr>
      </w:pPr>
      <w:r w:rsidRPr="001F0009">
        <w:rPr>
          <w:rFonts w:cs="Arial"/>
          <w:sz w:val="20"/>
          <w:szCs w:val="20"/>
        </w:rPr>
        <w:t>Currency Fluctuations</w:t>
      </w:r>
    </w:p>
    <w:p w14:paraId="63BEB7AE" w14:textId="77777777" w:rsidR="001F0009" w:rsidRPr="001F0009" w:rsidRDefault="001F0009" w:rsidP="001F0009">
      <w:pPr>
        <w:pStyle w:val="BodyTextIndent"/>
        <w:ind w:left="0"/>
        <w:rPr>
          <w:rFonts w:cs="Arial"/>
          <w:sz w:val="20"/>
          <w:szCs w:val="20"/>
          <w:lang w:val="en-IE"/>
        </w:rPr>
      </w:pPr>
      <w:r w:rsidRPr="001F0009">
        <w:rPr>
          <w:rFonts w:cs="Arial"/>
          <w:sz w:val="20"/>
          <w:szCs w:val="20"/>
          <w:lang w:val="en-IE"/>
        </w:rPr>
        <w:t>The performance of the assets held by the Fund may be strongly influenced by movements in currency rates because the currency positions held by the Fund may not correspond with the securities positions held.</w:t>
      </w:r>
    </w:p>
    <w:p w14:paraId="269968E0" w14:textId="77777777" w:rsidR="001F0009" w:rsidRPr="001F0009" w:rsidRDefault="001F0009" w:rsidP="001F0009">
      <w:pPr>
        <w:pStyle w:val="BodyText"/>
        <w:rPr>
          <w:rFonts w:cs="Arial"/>
          <w:sz w:val="20"/>
          <w:szCs w:val="20"/>
        </w:rPr>
      </w:pPr>
      <w:r w:rsidRPr="001F0009">
        <w:rPr>
          <w:rFonts w:cs="Arial"/>
          <w:sz w:val="20"/>
          <w:szCs w:val="20"/>
        </w:rP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66592AF8" w14:textId="6AC1089B" w:rsidR="001F0009" w:rsidRPr="001F0009" w:rsidRDefault="001F0009" w:rsidP="001F0009">
      <w:pPr>
        <w:pStyle w:val="Agreement2"/>
        <w:keepNext/>
        <w:spacing w:before="120"/>
        <w:rPr>
          <w:rFonts w:cs="Arial"/>
          <w:b/>
          <w:sz w:val="20"/>
          <w:szCs w:val="20"/>
        </w:rPr>
      </w:pPr>
      <w:r w:rsidRPr="001F0009">
        <w:rPr>
          <w:rFonts w:cs="Arial"/>
          <w:b/>
          <w:sz w:val="20"/>
          <w:szCs w:val="20"/>
        </w:rPr>
        <w:t xml:space="preserve">Key Information for Buying and Selling Shares </w:t>
      </w:r>
    </w:p>
    <w:p w14:paraId="05D264E2" w14:textId="77777777" w:rsidR="001F0009" w:rsidRPr="001F0009" w:rsidRDefault="001F0009" w:rsidP="001F0009">
      <w:pPr>
        <w:pStyle w:val="Agreement1"/>
        <w:keepNext w:val="0"/>
        <w:numPr>
          <w:ilvl w:val="0"/>
          <w:numId w:val="0"/>
        </w:numPr>
        <w:spacing w:before="120"/>
        <w:rPr>
          <w:rFonts w:ascii="Arial" w:hAnsi="Arial" w:cs="Arial"/>
          <w:b w:val="0"/>
          <w:sz w:val="20"/>
          <w:szCs w:val="20"/>
        </w:rPr>
      </w:pPr>
      <w:r w:rsidRPr="001F0009">
        <w:rPr>
          <w:rFonts w:ascii="Arial" w:hAnsi="Arial" w:cs="Arial"/>
          <w:b w:val="0"/>
          <w:sz w:val="20"/>
          <w:szCs w:val="20"/>
        </w:rPr>
        <w:t>Details of all share classes are set out in the table below.</w:t>
      </w:r>
    </w:p>
    <w:tbl>
      <w:tblPr>
        <w:tblW w:w="5000" w:type="pct"/>
        <w:tblLayout w:type="fixed"/>
        <w:tblLook w:val="04A0" w:firstRow="1" w:lastRow="0" w:firstColumn="1" w:lastColumn="0" w:noHBand="0" w:noVBand="1"/>
      </w:tblPr>
      <w:tblGrid>
        <w:gridCol w:w="1556"/>
        <w:gridCol w:w="1001"/>
        <w:gridCol w:w="1124"/>
        <w:gridCol w:w="1598"/>
        <w:gridCol w:w="1466"/>
        <w:gridCol w:w="1136"/>
        <w:gridCol w:w="1136"/>
      </w:tblGrid>
      <w:tr w:rsidR="001F0009" w:rsidRPr="001F0009" w14:paraId="220CA820" w14:textId="77777777" w:rsidTr="00B521D9">
        <w:trPr>
          <w:trHeight w:val="1491"/>
          <w:tblHeader/>
        </w:trPr>
        <w:tc>
          <w:tcPr>
            <w:tcW w:w="863" w:type="pct"/>
            <w:tcBorders>
              <w:top w:val="single" w:sz="4" w:space="0" w:color="auto"/>
              <w:left w:val="single" w:sz="4" w:space="0" w:color="auto"/>
              <w:bottom w:val="single" w:sz="4" w:space="0" w:color="auto"/>
              <w:right w:val="single" w:sz="4" w:space="0" w:color="auto"/>
            </w:tcBorders>
            <w:shd w:val="clear" w:color="auto" w:fill="auto"/>
          </w:tcPr>
          <w:p w14:paraId="7374DE15" w14:textId="77777777" w:rsidR="001F0009" w:rsidRPr="00343B4C" w:rsidRDefault="001F0009" w:rsidP="007A37D2">
            <w:pPr>
              <w:pStyle w:val="BodyText"/>
              <w:rPr>
                <w:rFonts w:cs="Arial"/>
                <w:b/>
                <w:sz w:val="20"/>
                <w:szCs w:val="20"/>
              </w:rPr>
            </w:pPr>
            <w:r w:rsidRPr="00343B4C">
              <w:rPr>
                <w:rFonts w:cs="Arial"/>
                <w:b/>
                <w:sz w:val="20"/>
                <w:szCs w:val="20"/>
              </w:rPr>
              <w:t>Class</w:t>
            </w:r>
          </w:p>
        </w:tc>
        <w:tc>
          <w:tcPr>
            <w:tcW w:w="555" w:type="pct"/>
            <w:tcBorders>
              <w:top w:val="single" w:sz="4" w:space="0" w:color="auto"/>
              <w:left w:val="single" w:sz="4" w:space="0" w:color="auto"/>
              <w:bottom w:val="single" w:sz="4" w:space="0" w:color="auto"/>
              <w:right w:val="single" w:sz="4" w:space="0" w:color="auto"/>
            </w:tcBorders>
          </w:tcPr>
          <w:p w14:paraId="6578BD5E" w14:textId="77777777" w:rsidR="001F0009" w:rsidRPr="00343B4C" w:rsidRDefault="001F0009" w:rsidP="007A37D2">
            <w:pPr>
              <w:pStyle w:val="BodyText"/>
              <w:rPr>
                <w:rFonts w:cs="Arial"/>
                <w:b/>
                <w:sz w:val="20"/>
                <w:szCs w:val="20"/>
              </w:rPr>
            </w:pPr>
            <w:r w:rsidRPr="00343B4C">
              <w:rPr>
                <w:rFonts w:cs="Arial"/>
                <w:b/>
                <w:sz w:val="20"/>
                <w:szCs w:val="20"/>
              </w:rPr>
              <w:t xml:space="preserve">Class Currency***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405B529" w14:textId="219D4E8D" w:rsidR="001F0009" w:rsidRPr="00343B4C" w:rsidRDefault="001F0009" w:rsidP="007A37D2">
            <w:pPr>
              <w:pStyle w:val="BodyText"/>
              <w:rPr>
                <w:rFonts w:cs="Arial"/>
                <w:b/>
                <w:sz w:val="20"/>
                <w:szCs w:val="20"/>
              </w:rPr>
            </w:pPr>
            <w:r w:rsidRPr="00343B4C">
              <w:rPr>
                <w:rFonts w:cs="Arial"/>
                <w:b/>
                <w:sz w:val="20"/>
                <w:szCs w:val="20"/>
              </w:rPr>
              <w:t>Initial Offer Period</w:t>
            </w:r>
            <w:r w:rsidR="00995A7A" w:rsidRPr="00343B4C">
              <w:rPr>
                <w:rFonts w:cs="Arial"/>
                <w:b/>
                <w:sz w:val="20"/>
                <w:szCs w:val="20"/>
              </w:rPr>
              <w:t xml:space="preserve"> / Offer Period</w:t>
            </w:r>
            <w:r w:rsidRPr="00343B4C">
              <w:rPr>
                <w:rFonts w:cs="Arial"/>
                <w:b/>
                <w:sz w:val="20"/>
                <w:szCs w:val="20"/>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4A03C2F5" w14:textId="4B91A035" w:rsidR="001F0009" w:rsidRPr="00343B4C" w:rsidRDefault="001F0009" w:rsidP="007A37D2">
            <w:pPr>
              <w:pStyle w:val="BodyText"/>
              <w:rPr>
                <w:rFonts w:cs="Arial"/>
                <w:b/>
                <w:sz w:val="20"/>
                <w:szCs w:val="20"/>
              </w:rPr>
            </w:pPr>
            <w:r w:rsidRPr="00343B4C">
              <w:rPr>
                <w:rFonts w:cs="Arial"/>
                <w:b/>
                <w:sz w:val="20"/>
                <w:szCs w:val="20"/>
              </w:rPr>
              <w:t>Initial Issue Price</w:t>
            </w:r>
            <w:r w:rsidR="00995A7A" w:rsidRPr="00343B4C">
              <w:rPr>
                <w:rFonts w:cs="Arial"/>
                <w:b/>
                <w:sz w:val="20"/>
                <w:szCs w:val="20"/>
              </w:rPr>
              <w:t xml:space="preserve"> / Issue Price</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D5AFB69" w14:textId="77777777" w:rsidR="001F0009" w:rsidRPr="00343B4C" w:rsidRDefault="001F0009" w:rsidP="007A37D2">
            <w:pPr>
              <w:pStyle w:val="BodyText"/>
              <w:rPr>
                <w:rFonts w:cs="Arial"/>
                <w:b/>
                <w:sz w:val="20"/>
                <w:szCs w:val="20"/>
              </w:rPr>
            </w:pPr>
            <w:r w:rsidRPr="00343B4C">
              <w:rPr>
                <w:rFonts w:cs="Arial"/>
                <w:b/>
                <w:sz w:val="20"/>
                <w:szCs w:val="20"/>
              </w:rPr>
              <w:t>Minimum Shareholding**</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66BACC7" w14:textId="77777777" w:rsidR="001F0009" w:rsidRPr="00343B4C" w:rsidRDefault="001F0009" w:rsidP="007A37D2">
            <w:pPr>
              <w:pStyle w:val="BodyText"/>
              <w:rPr>
                <w:rFonts w:cs="Arial"/>
                <w:b/>
                <w:sz w:val="20"/>
                <w:szCs w:val="20"/>
              </w:rPr>
            </w:pPr>
            <w:r w:rsidRPr="00343B4C">
              <w:rPr>
                <w:rFonts w:cs="Arial"/>
                <w:b/>
                <w:sz w:val="20"/>
                <w:szCs w:val="20"/>
              </w:rPr>
              <w:t>Minimum Initial Investment Amount**</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BD052FE" w14:textId="77777777" w:rsidR="001F0009" w:rsidRPr="00343B4C" w:rsidRDefault="001F0009" w:rsidP="007A37D2">
            <w:pPr>
              <w:pStyle w:val="BodyText"/>
              <w:rPr>
                <w:rFonts w:cs="Arial"/>
                <w:b/>
                <w:sz w:val="20"/>
                <w:szCs w:val="20"/>
              </w:rPr>
            </w:pPr>
            <w:r w:rsidRPr="00343B4C">
              <w:rPr>
                <w:rFonts w:cs="Arial"/>
                <w:b/>
                <w:sz w:val="20"/>
                <w:szCs w:val="20"/>
              </w:rPr>
              <w:t>Minimum Additional Investment Amount**</w:t>
            </w:r>
          </w:p>
        </w:tc>
      </w:tr>
      <w:tr w:rsidR="001F0009" w:rsidRPr="001F0009" w14:paraId="7705E302"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5A9AA2E6" w14:textId="77777777" w:rsidR="001F0009" w:rsidRPr="00343B4C" w:rsidRDefault="001F0009" w:rsidP="007A37D2">
            <w:pPr>
              <w:pStyle w:val="BodyText"/>
              <w:rPr>
                <w:rFonts w:cs="Arial"/>
                <w:b/>
                <w:sz w:val="20"/>
                <w:szCs w:val="20"/>
              </w:rPr>
            </w:pPr>
            <w:r w:rsidRPr="00343B4C">
              <w:rPr>
                <w:rFonts w:cs="Arial"/>
                <w:b/>
                <w:sz w:val="20"/>
                <w:szCs w:val="20"/>
              </w:rPr>
              <w:t>A Accumulating</w:t>
            </w:r>
          </w:p>
        </w:tc>
        <w:tc>
          <w:tcPr>
            <w:tcW w:w="555" w:type="pct"/>
            <w:tcBorders>
              <w:top w:val="single" w:sz="4" w:space="0" w:color="auto"/>
              <w:left w:val="single" w:sz="4" w:space="0" w:color="auto"/>
              <w:bottom w:val="single" w:sz="4" w:space="0" w:color="auto"/>
              <w:right w:val="single" w:sz="4" w:space="0" w:color="auto"/>
            </w:tcBorders>
          </w:tcPr>
          <w:p w14:paraId="79683222" w14:textId="77777777" w:rsidR="001F0009" w:rsidRPr="00343B4C" w:rsidRDefault="001F0009" w:rsidP="007A37D2">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D5847BA" w14:textId="2D147087" w:rsidR="001F0009" w:rsidRPr="00343B4C" w:rsidRDefault="001F0009" w:rsidP="007A37D2">
            <w:pPr>
              <w:pStyle w:val="BodyText"/>
              <w:rPr>
                <w:rFonts w:cs="Arial"/>
                <w:sz w:val="20"/>
                <w:szCs w:val="20"/>
              </w:rPr>
            </w:pPr>
            <w:r w:rsidRPr="00343B4C">
              <w:rPr>
                <w:rFonts w:cs="Arial"/>
                <w:sz w:val="20"/>
                <w:szCs w:val="20"/>
              </w:rPr>
              <w:t xml:space="preserve">Initial </w:t>
            </w:r>
            <w:r w:rsidR="00340115" w:rsidRPr="00343B4C">
              <w:rPr>
                <w:rFonts w:cs="Arial"/>
                <w:sz w:val="20"/>
                <w:szCs w:val="20"/>
              </w:rPr>
              <w:t>o</w:t>
            </w:r>
            <w:r w:rsidRPr="00343B4C">
              <w:rPr>
                <w:rFonts w:cs="Arial"/>
                <w:sz w:val="20"/>
                <w:szCs w:val="20"/>
              </w:rPr>
              <w:t xml:space="preserve">ffer </w:t>
            </w:r>
            <w:r w:rsidR="00340115" w:rsidRPr="00343B4C">
              <w:rPr>
                <w:rFonts w:cs="Arial"/>
                <w:sz w:val="20"/>
                <w:szCs w:val="20"/>
              </w:rPr>
              <w:t>p</w:t>
            </w:r>
            <w:r w:rsidRPr="00343B4C">
              <w:rPr>
                <w:rFonts w:cs="Arial"/>
                <w:sz w:val="20"/>
                <w:szCs w:val="20"/>
              </w:rPr>
              <w:t xml:space="preserve">eriod is closed </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EC46A56" w14:textId="6B44A033" w:rsidR="001F0009" w:rsidRPr="00343B4C" w:rsidRDefault="00B521D9" w:rsidP="007A37D2">
            <w:pPr>
              <w:pStyle w:val="BodyText"/>
              <w:rPr>
                <w:rFonts w:cs="Arial"/>
                <w:sz w:val="20"/>
                <w:szCs w:val="20"/>
              </w:rPr>
            </w:pPr>
            <w:r w:rsidRPr="00343B4C">
              <w:rPr>
                <w:sz w:val="20"/>
                <w:szCs w:val="20"/>
              </w:rPr>
              <w:t xml:space="preserve">The prevailing issue price will be available at </w:t>
            </w:r>
            <w:hyperlink r:id="rId17" w:history="1">
              <w:r w:rsidRPr="00343B4C">
                <w:rPr>
                  <w:rStyle w:val="Hyperlink"/>
                  <w:sz w:val="20"/>
                  <w:szCs w:val="20"/>
                </w:rPr>
                <w:t>https://iqeq.com/fund-prices</w:t>
              </w:r>
            </w:hyperlink>
            <w:r w:rsidRPr="00343B4C">
              <w:rPr>
                <w:sz w:val="20"/>
                <w:szCs w:val="20"/>
              </w:rPr>
              <w:t xml:space="preserve"> or from the investment manager.</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0302ED2"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381165E"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A43D316" w14:textId="77777777" w:rsidR="001F0009" w:rsidRPr="00343B4C" w:rsidRDefault="001F0009" w:rsidP="007A37D2">
            <w:pPr>
              <w:pStyle w:val="BodyText"/>
              <w:rPr>
                <w:rFonts w:cs="Arial"/>
                <w:sz w:val="20"/>
                <w:szCs w:val="20"/>
              </w:rPr>
            </w:pPr>
            <w:r w:rsidRPr="00343B4C">
              <w:rPr>
                <w:rFonts w:cs="Arial"/>
                <w:sz w:val="20"/>
                <w:szCs w:val="20"/>
              </w:rPr>
              <w:t>€100</w:t>
            </w:r>
          </w:p>
        </w:tc>
      </w:tr>
      <w:tr w:rsidR="001F0009" w:rsidRPr="001F0009" w14:paraId="502482D9"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37E2B2C5" w14:textId="77777777" w:rsidR="001F0009" w:rsidRPr="00343B4C" w:rsidRDefault="001F0009" w:rsidP="00343B4C">
            <w:pPr>
              <w:pStyle w:val="BodyText"/>
              <w:keepNext/>
              <w:keepLines/>
              <w:rPr>
                <w:rFonts w:cs="Arial"/>
                <w:b/>
                <w:sz w:val="20"/>
                <w:szCs w:val="20"/>
              </w:rPr>
            </w:pPr>
            <w:r w:rsidRPr="00343B4C">
              <w:rPr>
                <w:rFonts w:cs="Arial"/>
                <w:b/>
                <w:sz w:val="20"/>
                <w:szCs w:val="20"/>
              </w:rPr>
              <w:lastRenderedPageBreak/>
              <w:t>A Distributing</w:t>
            </w:r>
          </w:p>
        </w:tc>
        <w:tc>
          <w:tcPr>
            <w:tcW w:w="555" w:type="pct"/>
            <w:tcBorders>
              <w:top w:val="single" w:sz="4" w:space="0" w:color="auto"/>
              <w:left w:val="single" w:sz="4" w:space="0" w:color="auto"/>
              <w:bottom w:val="single" w:sz="4" w:space="0" w:color="auto"/>
              <w:right w:val="single" w:sz="4" w:space="0" w:color="auto"/>
            </w:tcBorders>
          </w:tcPr>
          <w:p w14:paraId="0EF110E7" w14:textId="77777777" w:rsidR="001F0009" w:rsidRPr="00343B4C" w:rsidRDefault="001F0009" w:rsidP="00343B4C">
            <w:pPr>
              <w:pStyle w:val="BodyText"/>
              <w:keepNext/>
              <w:keepLines/>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1221F85" w14:textId="2E0A6AA7" w:rsidR="001F0009" w:rsidRPr="00343B4C" w:rsidRDefault="006C2D4D" w:rsidP="00343B4C">
            <w:pPr>
              <w:pStyle w:val="BodyText"/>
              <w:keepNext/>
              <w:keepLines/>
              <w:rPr>
                <w:rFonts w:cs="Arial"/>
                <w:sz w:val="20"/>
                <w:szCs w:val="20"/>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5201499" w14:textId="042DC0D7" w:rsidR="001F0009" w:rsidRPr="00343B4C" w:rsidRDefault="001F0009" w:rsidP="00343B4C">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AC2FEE8" w14:textId="77777777" w:rsidR="001F0009" w:rsidRPr="00343B4C" w:rsidRDefault="001F0009" w:rsidP="00343B4C">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5B9F582" w14:textId="77777777" w:rsidR="001F0009" w:rsidRPr="00343B4C" w:rsidRDefault="001F0009" w:rsidP="00343B4C">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A0C2CEE" w14:textId="77777777" w:rsidR="001F0009" w:rsidRPr="00343B4C" w:rsidRDefault="001F0009" w:rsidP="00343B4C">
            <w:pPr>
              <w:pStyle w:val="BodyText"/>
              <w:keepNext/>
              <w:keepLines/>
              <w:rPr>
                <w:rFonts w:cs="Arial"/>
                <w:sz w:val="20"/>
                <w:szCs w:val="20"/>
              </w:rPr>
            </w:pPr>
            <w:r w:rsidRPr="00343B4C">
              <w:rPr>
                <w:rFonts w:cs="Arial"/>
                <w:sz w:val="20"/>
                <w:szCs w:val="20"/>
              </w:rPr>
              <w:t>€100</w:t>
            </w:r>
          </w:p>
        </w:tc>
      </w:tr>
      <w:tr w:rsidR="001F0009" w:rsidRPr="001F0009" w14:paraId="4B5BF1FA"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3BC9740" w14:textId="77777777" w:rsidR="001F0009" w:rsidRPr="00343B4C" w:rsidRDefault="001F0009" w:rsidP="007A37D2">
            <w:pPr>
              <w:pStyle w:val="BodyText"/>
              <w:rPr>
                <w:rFonts w:cs="Arial"/>
                <w:b/>
                <w:sz w:val="20"/>
                <w:szCs w:val="20"/>
              </w:rPr>
            </w:pPr>
            <w:r w:rsidRPr="00343B4C">
              <w:rPr>
                <w:rFonts w:cs="Arial"/>
                <w:b/>
                <w:sz w:val="20"/>
                <w:szCs w:val="20"/>
              </w:rPr>
              <w:t>B Accumulating</w:t>
            </w:r>
          </w:p>
        </w:tc>
        <w:tc>
          <w:tcPr>
            <w:tcW w:w="555" w:type="pct"/>
            <w:tcBorders>
              <w:top w:val="single" w:sz="4" w:space="0" w:color="auto"/>
              <w:left w:val="single" w:sz="4" w:space="0" w:color="auto"/>
              <w:bottom w:val="single" w:sz="4" w:space="0" w:color="auto"/>
              <w:right w:val="single" w:sz="4" w:space="0" w:color="auto"/>
            </w:tcBorders>
          </w:tcPr>
          <w:p w14:paraId="1503329E" w14:textId="77777777" w:rsidR="001F0009" w:rsidRPr="00343B4C" w:rsidRDefault="001F0009" w:rsidP="007A37D2">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6B98C00" w14:textId="4B3B8B6E" w:rsidR="001F0009" w:rsidRPr="00343B4C" w:rsidRDefault="001F0009" w:rsidP="007A37D2">
            <w:pPr>
              <w:pStyle w:val="BodyText"/>
              <w:rPr>
                <w:rFonts w:cs="Arial"/>
                <w:sz w:val="20"/>
                <w:szCs w:val="20"/>
              </w:rPr>
            </w:pPr>
            <w:r w:rsidRPr="00343B4C">
              <w:rPr>
                <w:rFonts w:cs="Arial"/>
                <w:sz w:val="20"/>
                <w:szCs w:val="20"/>
              </w:rPr>
              <w:t xml:space="preserve">Initial </w:t>
            </w:r>
            <w:r w:rsidR="00340115" w:rsidRPr="00343B4C">
              <w:rPr>
                <w:rFonts w:cs="Arial"/>
                <w:sz w:val="20"/>
                <w:szCs w:val="20"/>
              </w:rPr>
              <w:t>o</w:t>
            </w:r>
            <w:r w:rsidRPr="00343B4C">
              <w:rPr>
                <w:rFonts w:cs="Arial"/>
                <w:sz w:val="20"/>
                <w:szCs w:val="20"/>
              </w:rPr>
              <w:t xml:space="preserve">ffer </w:t>
            </w:r>
            <w:r w:rsidR="00340115" w:rsidRPr="00343B4C">
              <w:rPr>
                <w:rFonts w:cs="Arial"/>
                <w:sz w:val="20"/>
                <w:szCs w:val="20"/>
              </w:rPr>
              <w:t>p</w:t>
            </w:r>
            <w:r w:rsidRPr="00343B4C">
              <w:rPr>
                <w:rFonts w:cs="Arial"/>
                <w:sz w:val="20"/>
                <w:szCs w:val="20"/>
              </w:rPr>
              <w:t>eriod is closed</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073CA31C" w14:textId="42392BC1" w:rsidR="001F0009" w:rsidRPr="00343B4C" w:rsidRDefault="00B521D9" w:rsidP="007A37D2">
            <w:pPr>
              <w:pStyle w:val="BodyText"/>
              <w:rPr>
                <w:rFonts w:cs="Arial"/>
                <w:sz w:val="20"/>
                <w:szCs w:val="20"/>
              </w:rPr>
            </w:pPr>
            <w:r w:rsidRPr="00343B4C">
              <w:rPr>
                <w:sz w:val="20"/>
                <w:szCs w:val="20"/>
              </w:rPr>
              <w:t xml:space="preserve">The prevailing issue price will be available at </w:t>
            </w:r>
            <w:hyperlink r:id="rId18" w:history="1">
              <w:r w:rsidRPr="00343B4C">
                <w:rPr>
                  <w:rStyle w:val="Hyperlink"/>
                  <w:sz w:val="20"/>
                  <w:szCs w:val="20"/>
                </w:rPr>
                <w:t>https://iqeq.com/fund-prices</w:t>
              </w:r>
            </w:hyperlink>
            <w:r w:rsidRPr="00343B4C">
              <w:rPr>
                <w:sz w:val="20"/>
                <w:szCs w:val="20"/>
              </w:rPr>
              <w:t xml:space="preserve"> or from the investment manager.</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3C4A2B1C"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464A505"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41B6E1C" w14:textId="77777777" w:rsidR="001F0009" w:rsidRPr="00343B4C" w:rsidRDefault="001F0009" w:rsidP="007A37D2">
            <w:pPr>
              <w:pStyle w:val="BodyText"/>
              <w:rPr>
                <w:rFonts w:cs="Arial"/>
                <w:sz w:val="20"/>
                <w:szCs w:val="20"/>
              </w:rPr>
            </w:pPr>
            <w:r w:rsidRPr="00343B4C">
              <w:rPr>
                <w:rFonts w:cs="Arial"/>
                <w:sz w:val="20"/>
                <w:szCs w:val="20"/>
              </w:rPr>
              <w:t>€100</w:t>
            </w:r>
          </w:p>
        </w:tc>
      </w:tr>
      <w:tr w:rsidR="001F0009" w:rsidRPr="001F0009" w14:paraId="26FD779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15EDA71" w14:textId="77777777" w:rsidR="001F0009" w:rsidRPr="00343B4C" w:rsidRDefault="001F0009" w:rsidP="007A37D2">
            <w:pPr>
              <w:pStyle w:val="BodyText"/>
              <w:rPr>
                <w:rFonts w:cs="Arial"/>
                <w:b/>
                <w:sz w:val="20"/>
                <w:szCs w:val="20"/>
              </w:rPr>
            </w:pPr>
            <w:r w:rsidRPr="00343B4C">
              <w:rPr>
                <w:rFonts w:cs="Arial"/>
                <w:b/>
                <w:sz w:val="20"/>
                <w:szCs w:val="20"/>
              </w:rPr>
              <w:t>B Distributing</w:t>
            </w:r>
          </w:p>
        </w:tc>
        <w:tc>
          <w:tcPr>
            <w:tcW w:w="555" w:type="pct"/>
            <w:tcBorders>
              <w:top w:val="single" w:sz="4" w:space="0" w:color="auto"/>
              <w:left w:val="single" w:sz="4" w:space="0" w:color="auto"/>
              <w:bottom w:val="single" w:sz="4" w:space="0" w:color="auto"/>
              <w:right w:val="single" w:sz="4" w:space="0" w:color="auto"/>
            </w:tcBorders>
          </w:tcPr>
          <w:p w14:paraId="4EEED3A0" w14:textId="77777777" w:rsidR="001F0009" w:rsidRPr="00343B4C" w:rsidRDefault="001F0009" w:rsidP="007A37D2">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B399244" w14:textId="331722E6" w:rsidR="001F0009" w:rsidRPr="00343B4C" w:rsidRDefault="006C2D4D" w:rsidP="007A37D2">
            <w:pPr>
              <w:pStyle w:val="BodyText"/>
              <w:rPr>
                <w:rFonts w:cs="Arial"/>
                <w:sz w:val="20"/>
                <w:szCs w:val="20"/>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AAD1F2F" w14:textId="4660D506" w:rsidR="001F0009" w:rsidRPr="00343B4C" w:rsidRDefault="001F0009" w:rsidP="007A37D2">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E9217CE"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5A8097C" w14:textId="77777777" w:rsidR="001F0009" w:rsidRPr="00343B4C" w:rsidRDefault="001F0009" w:rsidP="007A37D2">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A80B71C" w14:textId="77777777" w:rsidR="001F0009" w:rsidRPr="00343B4C" w:rsidRDefault="001F0009" w:rsidP="007A37D2">
            <w:pPr>
              <w:pStyle w:val="BodyText"/>
              <w:rPr>
                <w:rFonts w:cs="Arial"/>
                <w:sz w:val="20"/>
                <w:szCs w:val="20"/>
              </w:rPr>
            </w:pPr>
            <w:r w:rsidRPr="00343B4C">
              <w:rPr>
                <w:rFonts w:cs="Arial"/>
                <w:sz w:val="20"/>
                <w:szCs w:val="20"/>
              </w:rPr>
              <w:t>€100</w:t>
            </w:r>
          </w:p>
        </w:tc>
      </w:tr>
      <w:tr w:rsidR="00340115" w:rsidRPr="001F0009" w14:paraId="12FD9B3D"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64E12A67" w14:textId="77777777" w:rsidR="00340115" w:rsidRPr="00343B4C" w:rsidRDefault="00340115" w:rsidP="00340115">
            <w:pPr>
              <w:pStyle w:val="BodyText"/>
              <w:rPr>
                <w:rFonts w:cs="Arial"/>
                <w:b/>
                <w:sz w:val="20"/>
                <w:szCs w:val="20"/>
              </w:rPr>
            </w:pPr>
            <w:r w:rsidRPr="00343B4C">
              <w:rPr>
                <w:rFonts w:cs="Arial"/>
                <w:b/>
                <w:sz w:val="20"/>
                <w:szCs w:val="20"/>
              </w:rPr>
              <w:t>C Accumulating</w:t>
            </w:r>
          </w:p>
        </w:tc>
        <w:tc>
          <w:tcPr>
            <w:tcW w:w="555" w:type="pct"/>
            <w:tcBorders>
              <w:top w:val="single" w:sz="4" w:space="0" w:color="auto"/>
              <w:left w:val="single" w:sz="4" w:space="0" w:color="auto"/>
              <w:bottom w:val="single" w:sz="4" w:space="0" w:color="auto"/>
              <w:right w:val="single" w:sz="4" w:space="0" w:color="auto"/>
            </w:tcBorders>
          </w:tcPr>
          <w:p w14:paraId="2D248FC1" w14:textId="77777777" w:rsidR="00340115" w:rsidRPr="00343B4C" w:rsidRDefault="00340115" w:rsidP="00340115">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EABACE3" w14:textId="5A514E96" w:rsidR="00340115" w:rsidRPr="00343B4C" w:rsidRDefault="00340115" w:rsidP="00340115">
            <w:pPr>
              <w:pStyle w:val="BodyText"/>
              <w:rPr>
                <w:rFonts w:cs="Arial"/>
                <w:sz w:val="20"/>
                <w:szCs w:val="20"/>
              </w:rPr>
            </w:pPr>
            <w:r w:rsidRPr="00343B4C">
              <w:rPr>
                <w:rFonts w:cs="Arial"/>
                <w:sz w:val="20"/>
                <w:szCs w:val="20"/>
              </w:rPr>
              <w:t>Initial offer period is closed</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4B146F22" w14:textId="7426E2DB" w:rsidR="00340115" w:rsidRPr="00343B4C" w:rsidRDefault="00B521D9" w:rsidP="00340115">
            <w:pPr>
              <w:pStyle w:val="BodyText"/>
              <w:rPr>
                <w:rFonts w:cs="Arial"/>
                <w:sz w:val="20"/>
                <w:szCs w:val="20"/>
              </w:rPr>
            </w:pPr>
            <w:r w:rsidRPr="00343B4C">
              <w:rPr>
                <w:sz w:val="20"/>
                <w:szCs w:val="20"/>
              </w:rPr>
              <w:t xml:space="preserve">The prevailing issue price will be available at </w:t>
            </w:r>
            <w:hyperlink r:id="rId19" w:history="1">
              <w:r w:rsidRPr="00343B4C">
                <w:rPr>
                  <w:rStyle w:val="Hyperlink"/>
                  <w:sz w:val="20"/>
                  <w:szCs w:val="20"/>
                </w:rPr>
                <w:t>https://iqeq.com/fund-prices</w:t>
              </w:r>
            </w:hyperlink>
            <w:r w:rsidRPr="00343B4C">
              <w:rPr>
                <w:sz w:val="20"/>
                <w:szCs w:val="20"/>
              </w:rPr>
              <w:t xml:space="preserve"> or from the investment manager.</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9F85021" w14:textId="77777777" w:rsidR="00340115" w:rsidRPr="00343B4C" w:rsidRDefault="00340115" w:rsidP="00340115">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626E797" w14:textId="77777777" w:rsidR="00340115" w:rsidRPr="00343B4C" w:rsidRDefault="00340115" w:rsidP="00340115">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D8F7162" w14:textId="77777777" w:rsidR="00340115" w:rsidRPr="00343B4C" w:rsidRDefault="00340115" w:rsidP="00340115">
            <w:pPr>
              <w:pStyle w:val="BodyText"/>
              <w:rPr>
                <w:rFonts w:cs="Arial"/>
                <w:sz w:val="20"/>
                <w:szCs w:val="20"/>
              </w:rPr>
            </w:pPr>
            <w:r w:rsidRPr="00343B4C">
              <w:rPr>
                <w:rFonts w:cs="Arial"/>
                <w:sz w:val="20"/>
                <w:szCs w:val="20"/>
              </w:rPr>
              <w:t>€100</w:t>
            </w:r>
          </w:p>
        </w:tc>
      </w:tr>
      <w:tr w:rsidR="00340115" w:rsidRPr="001F0009" w14:paraId="5B8AE6A5"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6393673" w14:textId="77777777" w:rsidR="00340115" w:rsidRPr="00343B4C" w:rsidRDefault="00340115" w:rsidP="00340115">
            <w:pPr>
              <w:pStyle w:val="BodyText"/>
              <w:rPr>
                <w:rFonts w:cs="Arial"/>
                <w:b/>
                <w:sz w:val="20"/>
                <w:szCs w:val="20"/>
              </w:rPr>
            </w:pPr>
            <w:r w:rsidRPr="00343B4C">
              <w:rPr>
                <w:rFonts w:cs="Arial"/>
                <w:b/>
                <w:sz w:val="20"/>
                <w:szCs w:val="20"/>
              </w:rPr>
              <w:t>D Accumulating</w:t>
            </w:r>
          </w:p>
        </w:tc>
        <w:tc>
          <w:tcPr>
            <w:tcW w:w="555" w:type="pct"/>
            <w:tcBorders>
              <w:top w:val="single" w:sz="4" w:space="0" w:color="auto"/>
              <w:left w:val="single" w:sz="4" w:space="0" w:color="auto"/>
              <w:bottom w:val="single" w:sz="4" w:space="0" w:color="auto"/>
              <w:right w:val="single" w:sz="4" w:space="0" w:color="auto"/>
            </w:tcBorders>
          </w:tcPr>
          <w:p w14:paraId="7BEA9198" w14:textId="77777777" w:rsidR="00340115" w:rsidRPr="00343B4C" w:rsidRDefault="00340115" w:rsidP="00340115">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0E080C8" w14:textId="59997C1E" w:rsidR="00340115" w:rsidRPr="00343B4C" w:rsidRDefault="00340115" w:rsidP="00340115">
            <w:pPr>
              <w:pStyle w:val="BodyText"/>
              <w:rPr>
                <w:rFonts w:cs="Arial"/>
                <w:sz w:val="20"/>
                <w:szCs w:val="20"/>
              </w:rPr>
            </w:pPr>
            <w:r w:rsidRPr="00343B4C">
              <w:rPr>
                <w:rFonts w:cs="Arial"/>
                <w:sz w:val="20"/>
                <w:szCs w:val="20"/>
              </w:rPr>
              <w:t>Initial offer period is closed</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6FB96F91" w14:textId="49CF70B2" w:rsidR="00340115" w:rsidRPr="00343B4C" w:rsidRDefault="00B521D9" w:rsidP="00340115">
            <w:pPr>
              <w:pStyle w:val="BodyText"/>
              <w:rPr>
                <w:rFonts w:cs="Arial"/>
                <w:sz w:val="20"/>
                <w:szCs w:val="20"/>
              </w:rPr>
            </w:pPr>
            <w:r w:rsidRPr="00343B4C">
              <w:rPr>
                <w:sz w:val="20"/>
                <w:szCs w:val="20"/>
              </w:rPr>
              <w:t xml:space="preserve">The prevailing issue price will be available at </w:t>
            </w:r>
            <w:hyperlink r:id="rId20" w:history="1">
              <w:r w:rsidRPr="00343B4C">
                <w:rPr>
                  <w:rStyle w:val="Hyperlink"/>
                  <w:sz w:val="20"/>
                  <w:szCs w:val="20"/>
                </w:rPr>
                <w:t>https://iqeq.com/fund-prices</w:t>
              </w:r>
            </w:hyperlink>
            <w:r w:rsidRPr="00343B4C">
              <w:rPr>
                <w:sz w:val="20"/>
                <w:szCs w:val="20"/>
              </w:rPr>
              <w:t xml:space="preserve"> or from the investment manager.</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37F9F1B5" w14:textId="77777777" w:rsidR="00340115" w:rsidRPr="00343B4C" w:rsidRDefault="00340115" w:rsidP="00340115">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ABA731D" w14:textId="77777777" w:rsidR="00340115" w:rsidRPr="00343B4C" w:rsidRDefault="00340115" w:rsidP="00340115">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DDEE884" w14:textId="77777777" w:rsidR="00340115" w:rsidRPr="00343B4C" w:rsidRDefault="00340115" w:rsidP="00340115">
            <w:pPr>
              <w:pStyle w:val="BodyText"/>
              <w:rPr>
                <w:rFonts w:cs="Arial"/>
                <w:sz w:val="20"/>
                <w:szCs w:val="20"/>
              </w:rPr>
            </w:pPr>
            <w:r w:rsidRPr="00343B4C">
              <w:rPr>
                <w:rFonts w:cs="Arial"/>
                <w:sz w:val="20"/>
                <w:szCs w:val="20"/>
              </w:rPr>
              <w:t>€100</w:t>
            </w:r>
          </w:p>
        </w:tc>
      </w:tr>
      <w:tr w:rsidR="006C2D4D" w:rsidRPr="001F0009" w14:paraId="5B66A47D"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7ABF27D9" w14:textId="77777777" w:rsidR="006C2D4D" w:rsidRPr="00343B4C" w:rsidRDefault="006C2D4D" w:rsidP="006C2D4D">
            <w:pPr>
              <w:pStyle w:val="BodyText"/>
              <w:keepNext/>
              <w:keepLines/>
              <w:rPr>
                <w:rFonts w:cs="Arial"/>
                <w:b/>
                <w:sz w:val="20"/>
                <w:szCs w:val="20"/>
              </w:rPr>
            </w:pPr>
            <w:r w:rsidRPr="00343B4C">
              <w:rPr>
                <w:rFonts w:cs="Arial"/>
                <w:b/>
                <w:sz w:val="20"/>
                <w:szCs w:val="20"/>
              </w:rPr>
              <w:lastRenderedPageBreak/>
              <w:t>E Accumulating</w:t>
            </w:r>
          </w:p>
        </w:tc>
        <w:tc>
          <w:tcPr>
            <w:tcW w:w="555" w:type="pct"/>
            <w:tcBorders>
              <w:top w:val="single" w:sz="4" w:space="0" w:color="auto"/>
              <w:left w:val="single" w:sz="4" w:space="0" w:color="auto"/>
              <w:bottom w:val="single" w:sz="4" w:space="0" w:color="auto"/>
              <w:right w:val="single" w:sz="4" w:space="0" w:color="auto"/>
            </w:tcBorders>
          </w:tcPr>
          <w:p w14:paraId="12689CDB" w14:textId="77777777" w:rsidR="006C2D4D" w:rsidRPr="00343B4C" w:rsidRDefault="006C2D4D" w:rsidP="006C2D4D">
            <w:pPr>
              <w:pStyle w:val="BodyText"/>
              <w:keepNext/>
              <w:keepLines/>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2563C1F" w14:textId="3D22514D" w:rsidR="006C2D4D" w:rsidRPr="00343B4C" w:rsidRDefault="006C2D4D" w:rsidP="006C2D4D">
            <w:pPr>
              <w:pStyle w:val="BodyText"/>
              <w:keepNext/>
              <w:keepLines/>
              <w:rPr>
                <w:rFonts w:cs="Arial"/>
                <w:sz w:val="20"/>
                <w:szCs w:val="20"/>
              </w:rPr>
            </w:pPr>
            <w:r w:rsidRPr="00E169CC">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14D64CD" w14:textId="703B6556" w:rsidR="006C2D4D" w:rsidRPr="00343B4C" w:rsidRDefault="006C2D4D" w:rsidP="006C2D4D">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120E9C3"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6B496CA"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90978A8" w14:textId="77777777" w:rsidR="006C2D4D" w:rsidRPr="00343B4C" w:rsidRDefault="006C2D4D" w:rsidP="006C2D4D">
            <w:pPr>
              <w:pStyle w:val="BodyText"/>
              <w:keepNext/>
              <w:keepLines/>
              <w:rPr>
                <w:rFonts w:cs="Arial"/>
                <w:sz w:val="20"/>
                <w:szCs w:val="20"/>
              </w:rPr>
            </w:pPr>
            <w:r w:rsidRPr="00343B4C">
              <w:rPr>
                <w:rFonts w:cs="Arial"/>
                <w:sz w:val="20"/>
                <w:szCs w:val="20"/>
              </w:rPr>
              <w:t>€100</w:t>
            </w:r>
          </w:p>
        </w:tc>
      </w:tr>
      <w:tr w:rsidR="006C2D4D" w:rsidRPr="001F0009" w14:paraId="5F5F2982"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0BC138FD" w14:textId="77777777" w:rsidR="006C2D4D" w:rsidRPr="00343B4C" w:rsidRDefault="006C2D4D" w:rsidP="006C2D4D">
            <w:pPr>
              <w:pStyle w:val="BodyText"/>
              <w:rPr>
                <w:rFonts w:cs="Arial"/>
                <w:b/>
                <w:sz w:val="20"/>
                <w:szCs w:val="20"/>
              </w:rPr>
            </w:pPr>
            <w:r w:rsidRPr="00343B4C">
              <w:rPr>
                <w:rFonts w:cs="Arial"/>
                <w:b/>
                <w:sz w:val="20"/>
                <w:szCs w:val="20"/>
              </w:rPr>
              <w:t>F Accumulating</w:t>
            </w:r>
          </w:p>
        </w:tc>
        <w:tc>
          <w:tcPr>
            <w:tcW w:w="555" w:type="pct"/>
            <w:tcBorders>
              <w:top w:val="single" w:sz="4" w:space="0" w:color="auto"/>
              <w:left w:val="single" w:sz="4" w:space="0" w:color="auto"/>
              <w:bottom w:val="single" w:sz="4" w:space="0" w:color="auto"/>
              <w:right w:val="single" w:sz="4" w:space="0" w:color="auto"/>
            </w:tcBorders>
          </w:tcPr>
          <w:p w14:paraId="0EB3F2C4"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8750D2A" w14:textId="57EB5C8D" w:rsidR="006C2D4D" w:rsidRPr="00343B4C" w:rsidRDefault="006C2D4D" w:rsidP="006C2D4D">
            <w:pPr>
              <w:pStyle w:val="BodyText"/>
              <w:rPr>
                <w:rFonts w:cs="Arial"/>
                <w:sz w:val="20"/>
                <w:szCs w:val="20"/>
              </w:rPr>
            </w:pPr>
            <w:r w:rsidRPr="00E169CC">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D86D46F" w14:textId="31AB774C"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8906770"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6DD079B"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879AFEF"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3B61AC5F"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60C83737" w14:textId="77777777" w:rsidR="006C2D4D" w:rsidRPr="00343B4C" w:rsidRDefault="006C2D4D" w:rsidP="006C2D4D">
            <w:pPr>
              <w:pStyle w:val="BodyText"/>
              <w:rPr>
                <w:rFonts w:cs="Arial"/>
                <w:b/>
                <w:sz w:val="20"/>
                <w:szCs w:val="20"/>
              </w:rPr>
            </w:pPr>
            <w:r w:rsidRPr="00343B4C">
              <w:rPr>
                <w:rFonts w:cs="Arial"/>
                <w:b/>
                <w:sz w:val="20"/>
                <w:szCs w:val="20"/>
              </w:rPr>
              <w:t>G Accumulating</w:t>
            </w:r>
          </w:p>
        </w:tc>
        <w:tc>
          <w:tcPr>
            <w:tcW w:w="555" w:type="pct"/>
            <w:tcBorders>
              <w:top w:val="single" w:sz="4" w:space="0" w:color="auto"/>
              <w:left w:val="single" w:sz="4" w:space="0" w:color="auto"/>
              <w:bottom w:val="single" w:sz="4" w:space="0" w:color="auto"/>
              <w:right w:val="single" w:sz="4" w:space="0" w:color="auto"/>
            </w:tcBorders>
          </w:tcPr>
          <w:p w14:paraId="7BFB34C2"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F23F960" w14:textId="712139D1" w:rsidR="006C2D4D" w:rsidRPr="00343B4C" w:rsidRDefault="006C2D4D" w:rsidP="006C2D4D">
            <w:pPr>
              <w:pStyle w:val="BodyText"/>
              <w:rPr>
                <w:rFonts w:cs="Arial"/>
                <w:sz w:val="20"/>
                <w:szCs w:val="20"/>
              </w:rPr>
            </w:pPr>
            <w:r w:rsidRPr="00E169CC">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222BE4D" w14:textId="1A0C7D8C" w:rsidR="006C2D4D" w:rsidRPr="00343B4C" w:rsidRDefault="006C2D4D" w:rsidP="006C2D4D">
            <w:pPr>
              <w:spacing w:before="120"/>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9EB7581"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9078E0E"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1E1B822"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22C2E19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D1E7EF2" w14:textId="77777777" w:rsidR="006C2D4D" w:rsidRPr="00343B4C" w:rsidRDefault="006C2D4D" w:rsidP="006C2D4D">
            <w:pPr>
              <w:pStyle w:val="BodyText"/>
              <w:rPr>
                <w:rFonts w:cs="Arial"/>
                <w:b/>
                <w:sz w:val="20"/>
                <w:szCs w:val="20"/>
              </w:rPr>
            </w:pPr>
            <w:r w:rsidRPr="00343B4C">
              <w:rPr>
                <w:rFonts w:cs="Arial"/>
                <w:b/>
                <w:sz w:val="20"/>
                <w:szCs w:val="20"/>
              </w:rPr>
              <w:t>H Accumulating</w:t>
            </w:r>
          </w:p>
        </w:tc>
        <w:tc>
          <w:tcPr>
            <w:tcW w:w="555" w:type="pct"/>
            <w:tcBorders>
              <w:top w:val="single" w:sz="4" w:space="0" w:color="auto"/>
              <w:left w:val="single" w:sz="4" w:space="0" w:color="auto"/>
              <w:bottom w:val="single" w:sz="4" w:space="0" w:color="auto"/>
              <w:right w:val="single" w:sz="4" w:space="0" w:color="auto"/>
            </w:tcBorders>
          </w:tcPr>
          <w:p w14:paraId="05F8D9DE"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6CAC5DB" w14:textId="6E519C71" w:rsidR="006C2D4D" w:rsidRPr="00343B4C" w:rsidRDefault="006C2D4D" w:rsidP="006C2D4D">
            <w:pPr>
              <w:pStyle w:val="BodyText"/>
              <w:rPr>
                <w:rFonts w:cs="Arial"/>
                <w:sz w:val="20"/>
                <w:szCs w:val="20"/>
              </w:rPr>
            </w:pPr>
            <w:r w:rsidRPr="00E169CC">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1C1542D8" w14:textId="6C391CA7" w:rsidR="006C2D4D" w:rsidRPr="00343B4C" w:rsidRDefault="006C2D4D" w:rsidP="006C2D4D">
            <w:pPr>
              <w:spacing w:before="120"/>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6B21B9A"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9D9D98F"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57C0B1B"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72F6738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954AB48" w14:textId="77777777" w:rsidR="006C2D4D" w:rsidRPr="00343B4C" w:rsidRDefault="006C2D4D" w:rsidP="006C2D4D">
            <w:pPr>
              <w:pStyle w:val="BodyText"/>
              <w:rPr>
                <w:rFonts w:cs="Arial"/>
                <w:b/>
                <w:sz w:val="20"/>
                <w:szCs w:val="20"/>
              </w:rPr>
            </w:pPr>
            <w:r w:rsidRPr="00343B4C">
              <w:rPr>
                <w:rFonts w:cs="Arial"/>
                <w:b/>
                <w:sz w:val="20"/>
                <w:szCs w:val="20"/>
              </w:rPr>
              <w:t>I Accumulating</w:t>
            </w:r>
          </w:p>
        </w:tc>
        <w:tc>
          <w:tcPr>
            <w:tcW w:w="555" w:type="pct"/>
            <w:tcBorders>
              <w:top w:val="single" w:sz="4" w:space="0" w:color="auto"/>
              <w:left w:val="single" w:sz="4" w:space="0" w:color="auto"/>
              <w:bottom w:val="single" w:sz="4" w:space="0" w:color="auto"/>
              <w:right w:val="single" w:sz="4" w:space="0" w:color="auto"/>
            </w:tcBorders>
          </w:tcPr>
          <w:p w14:paraId="303BABB2"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C368A87" w14:textId="26235BA5" w:rsidR="006C2D4D" w:rsidRPr="00343B4C" w:rsidRDefault="006C2D4D" w:rsidP="006C2D4D">
            <w:pPr>
              <w:pStyle w:val="BodyText"/>
              <w:rPr>
                <w:rFonts w:cs="Arial"/>
                <w:sz w:val="20"/>
                <w:szCs w:val="20"/>
              </w:rPr>
            </w:pPr>
            <w:r w:rsidRPr="00E169CC">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36D4617" w14:textId="660D26BB"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226D3AC"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69335DD"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8864AF6"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5FC65582"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73BA78F9" w14:textId="77777777" w:rsidR="006C2D4D" w:rsidRPr="00343B4C" w:rsidRDefault="006C2D4D" w:rsidP="006C2D4D">
            <w:pPr>
              <w:pStyle w:val="BodyText"/>
              <w:keepNext/>
              <w:keepLines/>
              <w:rPr>
                <w:rFonts w:cs="Arial"/>
                <w:b/>
                <w:sz w:val="20"/>
                <w:szCs w:val="20"/>
              </w:rPr>
            </w:pPr>
            <w:r w:rsidRPr="00343B4C">
              <w:rPr>
                <w:rFonts w:cs="Arial"/>
                <w:b/>
                <w:sz w:val="20"/>
                <w:szCs w:val="20"/>
              </w:rPr>
              <w:lastRenderedPageBreak/>
              <w:t>J Distributing</w:t>
            </w:r>
          </w:p>
        </w:tc>
        <w:tc>
          <w:tcPr>
            <w:tcW w:w="555" w:type="pct"/>
            <w:tcBorders>
              <w:top w:val="single" w:sz="4" w:space="0" w:color="auto"/>
              <w:left w:val="single" w:sz="4" w:space="0" w:color="auto"/>
              <w:bottom w:val="single" w:sz="4" w:space="0" w:color="auto"/>
              <w:right w:val="single" w:sz="4" w:space="0" w:color="auto"/>
            </w:tcBorders>
          </w:tcPr>
          <w:p w14:paraId="53BFE98F" w14:textId="77777777" w:rsidR="006C2D4D" w:rsidRPr="00343B4C" w:rsidRDefault="006C2D4D" w:rsidP="006C2D4D">
            <w:pPr>
              <w:pStyle w:val="BodyText"/>
              <w:keepNext/>
              <w:keepLines/>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46FEB98" w14:textId="182C365B" w:rsidR="006C2D4D" w:rsidRPr="00343B4C" w:rsidRDefault="006C2D4D" w:rsidP="006C2D4D">
            <w:pPr>
              <w:pStyle w:val="BodyText"/>
              <w:keepNext/>
              <w:keepLines/>
              <w:rPr>
                <w:sz w:val="20"/>
                <w:szCs w:val="20"/>
              </w:rPr>
            </w:pPr>
            <w:r w:rsidRPr="00FF5557">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4ADD51F" w14:textId="2193BBB6" w:rsidR="006C2D4D" w:rsidRPr="00343B4C" w:rsidRDefault="006C2D4D" w:rsidP="006C2D4D">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BD5FB3A"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B13A84D"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C2C6FB5" w14:textId="77777777" w:rsidR="006C2D4D" w:rsidRPr="00343B4C" w:rsidRDefault="006C2D4D" w:rsidP="006C2D4D">
            <w:pPr>
              <w:pStyle w:val="BodyText"/>
              <w:keepNext/>
              <w:keepLines/>
              <w:rPr>
                <w:rFonts w:cs="Arial"/>
                <w:sz w:val="20"/>
                <w:szCs w:val="20"/>
              </w:rPr>
            </w:pPr>
            <w:r w:rsidRPr="00343B4C">
              <w:rPr>
                <w:rFonts w:cs="Arial"/>
                <w:sz w:val="20"/>
                <w:szCs w:val="20"/>
              </w:rPr>
              <w:t>€100</w:t>
            </w:r>
          </w:p>
        </w:tc>
      </w:tr>
      <w:tr w:rsidR="006C2D4D" w:rsidRPr="001F0009" w14:paraId="566801F5"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56CB4580" w14:textId="77777777" w:rsidR="006C2D4D" w:rsidRPr="00343B4C" w:rsidRDefault="006C2D4D" w:rsidP="006C2D4D">
            <w:pPr>
              <w:pStyle w:val="BodyText"/>
              <w:rPr>
                <w:rFonts w:cs="Arial"/>
                <w:b/>
                <w:sz w:val="20"/>
                <w:szCs w:val="20"/>
              </w:rPr>
            </w:pPr>
            <w:r w:rsidRPr="00343B4C">
              <w:rPr>
                <w:rFonts w:cs="Arial"/>
                <w:b/>
                <w:sz w:val="20"/>
                <w:szCs w:val="20"/>
              </w:rPr>
              <w:t>K Distributing</w:t>
            </w:r>
          </w:p>
        </w:tc>
        <w:tc>
          <w:tcPr>
            <w:tcW w:w="555" w:type="pct"/>
            <w:tcBorders>
              <w:top w:val="single" w:sz="4" w:space="0" w:color="auto"/>
              <w:left w:val="single" w:sz="4" w:space="0" w:color="auto"/>
              <w:bottom w:val="single" w:sz="4" w:space="0" w:color="auto"/>
              <w:right w:val="single" w:sz="4" w:space="0" w:color="auto"/>
            </w:tcBorders>
          </w:tcPr>
          <w:p w14:paraId="4F362135"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AA4C2B2" w14:textId="43FFA978" w:rsidR="006C2D4D" w:rsidRPr="00343B4C" w:rsidRDefault="006C2D4D" w:rsidP="006C2D4D">
            <w:pPr>
              <w:pStyle w:val="BodyText"/>
              <w:rPr>
                <w:rFonts w:cs="Arial"/>
                <w:sz w:val="20"/>
                <w:szCs w:val="20"/>
              </w:rPr>
            </w:pPr>
            <w:r w:rsidRPr="00FF5557">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4DCE1BB4" w14:textId="3B94FE8C"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7099796"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6095578"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F20BFB9"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747856BB"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6F20079E" w14:textId="77777777" w:rsidR="006C2D4D" w:rsidRPr="00343B4C" w:rsidRDefault="006C2D4D" w:rsidP="006C2D4D">
            <w:pPr>
              <w:pStyle w:val="BodyText"/>
              <w:rPr>
                <w:rFonts w:cs="Arial"/>
                <w:b/>
                <w:sz w:val="20"/>
                <w:szCs w:val="20"/>
              </w:rPr>
            </w:pPr>
            <w:r w:rsidRPr="00343B4C">
              <w:rPr>
                <w:rFonts w:cs="Arial"/>
                <w:b/>
                <w:sz w:val="20"/>
                <w:szCs w:val="20"/>
              </w:rPr>
              <w:t>L Distributing</w:t>
            </w:r>
          </w:p>
        </w:tc>
        <w:tc>
          <w:tcPr>
            <w:tcW w:w="555" w:type="pct"/>
            <w:tcBorders>
              <w:top w:val="single" w:sz="4" w:space="0" w:color="auto"/>
              <w:left w:val="single" w:sz="4" w:space="0" w:color="auto"/>
              <w:bottom w:val="single" w:sz="4" w:space="0" w:color="auto"/>
              <w:right w:val="single" w:sz="4" w:space="0" w:color="auto"/>
            </w:tcBorders>
          </w:tcPr>
          <w:p w14:paraId="3AD11CA7"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3450E02" w14:textId="4352C74A" w:rsidR="006C2D4D" w:rsidRPr="00343B4C" w:rsidRDefault="006C2D4D" w:rsidP="006C2D4D">
            <w:pPr>
              <w:pStyle w:val="BodyText"/>
              <w:rPr>
                <w:rFonts w:cs="Arial"/>
                <w:sz w:val="20"/>
                <w:szCs w:val="20"/>
              </w:rPr>
            </w:pPr>
            <w:r w:rsidRPr="00FF5557">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0B372651" w14:textId="5DF61AFF"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DC59EC2"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1686531"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CFEC27F"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4A877902"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47A42C0C" w14:textId="77777777" w:rsidR="006C2D4D" w:rsidRPr="00343B4C" w:rsidRDefault="006C2D4D" w:rsidP="006C2D4D">
            <w:pPr>
              <w:pStyle w:val="BodyText"/>
              <w:rPr>
                <w:rFonts w:cs="Arial"/>
                <w:b/>
                <w:sz w:val="20"/>
                <w:szCs w:val="20"/>
              </w:rPr>
            </w:pPr>
            <w:r w:rsidRPr="00343B4C">
              <w:rPr>
                <w:rFonts w:cs="Arial"/>
                <w:b/>
                <w:sz w:val="20"/>
                <w:szCs w:val="20"/>
              </w:rPr>
              <w:t>M Distributing</w:t>
            </w:r>
          </w:p>
        </w:tc>
        <w:tc>
          <w:tcPr>
            <w:tcW w:w="555" w:type="pct"/>
            <w:tcBorders>
              <w:top w:val="single" w:sz="4" w:space="0" w:color="auto"/>
              <w:left w:val="single" w:sz="4" w:space="0" w:color="auto"/>
              <w:bottom w:val="single" w:sz="4" w:space="0" w:color="auto"/>
              <w:right w:val="single" w:sz="4" w:space="0" w:color="auto"/>
            </w:tcBorders>
          </w:tcPr>
          <w:p w14:paraId="003A9E02"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3CC5771" w14:textId="72BFF5BD" w:rsidR="006C2D4D" w:rsidRPr="00343B4C" w:rsidRDefault="006C2D4D" w:rsidP="006C2D4D">
            <w:pPr>
              <w:pStyle w:val="BodyText"/>
              <w:rPr>
                <w:rFonts w:cs="Arial"/>
                <w:sz w:val="20"/>
                <w:szCs w:val="20"/>
              </w:rPr>
            </w:pPr>
            <w:r w:rsidRPr="00FF5557">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3143640B" w14:textId="4576962F"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161C1A2"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E4E09D8"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2DC5A78"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1EBE6D13"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4A3A27E4" w14:textId="77777777" w:rsidR="006C2D4D" w:rsidRPr="00343B4C" w:rsidRDefault="006C2D4D" w:rsidP="006C2D4D">
            <w:pPr>
              <w:pStyle w:val="BodyText"/>
              <w:rPr>
                <w:rFonts w:cs="Arial"/>
                <w:b/>
                <w:sz w:val="20"/>
                <w:szCs w:val="20"/>
              </w:rPr>
            </w:pPr>
            <w:r w:rsidRPr="00343B4C">
              <w:rPr>
                <w:rFonts w:cs="Arial"/>
                <w:b/>
                <w:sz w:val="20"/>
                <w:szCs w:val="20"/>
              </w:rPr>
              <w:t>N Distributing</w:t>
            </w:r>
          </w:p>
        </w:tc>
        <w:tc>
          <w:tcPr>
            <w:tcW w:w="555" w:type="pct"/>
            <w:tcBorders>
              <w:top w:val="single" w:sz="4" w:space="0" w:color="auto"/>
              <w:left w:val="single" w:sz="4" w:space="0" w:color="auto"/>
              <w:bottom w:val="single" w:sz="4" w:space="0" w:color="auto"/>
              <w:right w:val="single" w:sz="4" w:space="0" w:color="auto"/>
            </w:tcBorders>
          </w:tcPr>
          <w:p w14:paraId="34193609"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63AD9CD" w14:textId="345FF4C7" w:rsidR="006C2D4D" w:rsidRPr="00343B4C" w:rsidRDefault="006C2D4D" w:rsidP="006C2D4D">
            <w:pPr>
              <w:pStyle w:val="BodyText"/>
              <w:rPr>
                <w:rFonts w:cs="Arial"/>
                <w:sz w:val="20"/>
                <w:szCs w:val="20"/>
              </w:rPr>
            </w:pPr>
            <w:r w:rsidRPr="00FF5557">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AC261D7" w14:textId="716C51FA"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E30632C"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15988AB"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2DCE15C"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557B6F9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0A6B460D" w14:textId="77777777" w:rsidR="006C2D4D" w:rsidRPr="00343B4C" w:rsidRDefault="006C2D4D" w:rsidP="006C2D4D">
            <w:pPr>
              <w:pStyle w:val="BodyText"/>
              <w:keepNext/>
              <w:keepLines/>
              <w:rPr>
                <w:rFonts w:cs="Arial"/>
                <w:b/>
                <w:sz w:val="20"/>
                <w:szCs w:val="20"/>
              </w:rPr>
            </w:pPr>
            <w:r w:rsidRPr="00343B4C">
              <w:rPr>
                <w:rFonts w:cs="Arial"/>
                <w:b/>
                <w:sz w:val="20"/>
                <w:szCs w:val="20"/>
              </w:rPr>
              <w:lastRenderedPageBreak/>
              <w:t>O Accumulating</w:t>
            </w:r>
          </w:p>
        </w:tc>
        <w:tc>
          <w:tcPr>
            <w:tcW w:w="555" w:type="pct"/>
            <w:tcBorders>
              <w:top w:val="single" w:sz="4" w:space="0" w:color="auto"/>
              <w:left w:val="single" w:sz="4" w:space="0" w:color="auto"/>
              <w:bottom w:val="single" w:sz="4" w:space="0" w:color="auto"/>
              <w:right w:val="single" w:sz="4" w:space="0" w:color="auto"/>
            </w:tcBorders>
          </w:tcPr>
          <w:p w14:paraId="506B1386" w14:textId="77777777" w:rsidR="006C2D4D" w:rsidRPr="00343B4C" w:rsidRDefault="006C2D4D" w:rsidP="006C2D4D">
            <w:pPr>
              <w:pStyle w:val="BodyText"/>
              <w:keepNext/>
              <w:keepLines/>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6D8DB5D" w14:textId="4025E411" w:rsidR="006C2D4D" w:rsidRPr="00343B4C" w:rsidRDefault="006C2D4D" w:rsidP="006C2D4D">
            <w:pPr>
              <w:pStyle w:val="BodyText"/>
              <w:keepNext/>
              <w:keepLines/>
              <w:rPr>
                <w:rFonts w:cs="Arial"/>
                <w:sz w:val="20"/>
                <w:szCs w:val="20"/>
              </w:rPr>
            </w:pPr>
            <w:r w:rsidRPr="003D691B">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386456E7" w14:textId="6391D9E8" w:rsidR="006C2D4D" w:rsidRPr="00343B4C" w:rsidRDefault="006C2D4D" w:rsidP="006C2D4D">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C66A6C5"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918BF04"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564C237" w14:textId="77777777" w:rsidR="006C2D4D" w:rsidRPr="00343B4C" w:rsidRDefault="006C2D4D" w:rsidP="006C2D4D">
            <w:pPr>
              <w:pStyle w:val="BodyText"/>
              <w:keepNext/>
              <w:keepLines/>
              <w:rPr>
                <w:rFonts w:cs="Arial"/>
                <w:sz w:val="20"/>
                <w:szCs w:val="20"/>
              </w:rPr>
            </w:pPr>
            <w:r w:rsidRPr="00343B4C">
              <w:rPr>
                <w:rFonts w:cs="Arial"/>
                <w:sz w:val="20"/>
                <w:szCs w:val="20"/>
              </w:rPr>
              <w:t>£100</w:t>
            </w:r>
          </w:p>
        </w:tc>
      </w:tr>
      <w:tr w:rsidR="006C2D4D" w:rsidRPr="001F0009" w14:paraId="15F66FE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7B74520F" w14:textId="77777777" w:rsidR="006C2D4D" w:rsidRPr="00343B4C" w:rsidRDefault="006C2D4D" w:rsidP="006C2D4D">
            <w:pPr>
              <w:pStyle w:val="BodyText"/>
              <w:rPr>
                <w:rFonts w:cs="Arial"/>
                <w:b/>
                <w:sz w:val="20"/>
                <w:szCs w:val="20"/>
              </w:rPr>
            </w:pPr>
            <w:r w:rsidRPr="00343B4C">
              <w:rPr>
                <w:rFonts w:cs="Arial"/>
                <w:b/>
                <w:sz w:val="20"/>
                <w:szCs w:val="20"/>
              </w:rPr>
              <w:t>P Distributing</w:t>
            </w:r>
          </w:p>
        </w:tc>
        <w:tc>
          <w:tcPr>
            <w:tcW w:w="555" w:type="pct"/>
            <w:tcBorders>
              <w:top w:val="single" w:sz="4" w:space="0" w:color="auto"/>
              <w:left w:val="single" w:sz="4" w:space="0" w:color="auto"/>
              <w:bottom w:val="single" w:sz="4" w:space="0" w:color="auto"/>
              <w:right w:val="single" w:sz="4" w:space="0" w:color="auto"/>
            </w:tcBorders>
          </w:tcPr>
          <w:p w14:paraId="387D0CB9"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05DF80A" w14:textId="289622E4" w:rsidR="006C2D4D" w:rsidRPr="00343B4C" w:rsidRDefault="006C2D4D" w:rsidP="006C2D4D">
            <w:pPr>
              <w:pStyle w:val="BodyText"/>
              <w:rPr>
                <w:rFonts w:cs="Arial"/>
                <w:sz w:val="20"/>
                <w:szCs w:val="20"/>
              </w:rPr>
            </w:pPr>
            <w:r w:rsidRPr="003D691B">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0016184" w14:textId="6D617D4F"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006BC2C"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D6DDF2A"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B173FC7"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7EFFFE7A"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2A2F32F4" w14:textId="77777777" w:rsidR="006C2D4D" w:rsidRPr="00343B4C" w:rsidRDefault="006C2D4D" w:rsidP="006C2D4D">
            <w:pPr>
              <w:pStyle w:val="BodyText"/>
              <w:rPr>
                <w:rFonts w:cs="Arial"/>
                <w:b/>
                <w:sz w:val="20"/>
                <w:szCs w:val="20"/>
              </w:rPr>
            </w:pPr>
            <w:r w:rsidRPr="00343B4C">
              <w:rPr>
                <w:rFonts w:cs="Arial"/>
                <w:b/>
                <w:sz w:val="20"/>
                <w:szCs w:val="20"/>
              </w:rPr>
              <w:t>Q Accumulating</w:t>
            </w:r>
          </w:p>
        </w:tc>
        <w:tc>
          <w:tcPr>
            <w:tcW w:w="555" w:type="pct"/>
            <w:tcBorders>
              <w:top w:val="single" w:sz="4" w:space="0" w:color="auto"/>
              <w:left w:val="single" w:sz="4" w:space="0" w:color="auto"/>
              <w:bottom w:val="single" w:sz="4" w:space="0" w:color="auto"/>
              <w:right w:val="single" w:sz="4" w:space="0" w:color="auto"/>
            </w:tcBorders>
          </w:tcPr>
          <w:p w14:paraId="6FC28C29"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587F2B7" w14:textId="05190279" w:rsidR="006C2D4D" w:rsidRPr="00343B4C" w:rsidRDefault="006C2D4D" w:rsidP="006C2D4D">
            <w:pPr>
              <w:pStyle w:val="BodyText"/>
              <w:rPr>
                <w:rFonts w:cs="Arial"/>
                <w:sz w:val="20"/>
                <w:szCs w:val="20"/>
              </w:rPr>
            </w:pPr>
            <w:r w:rsidRPr="003D691B">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1B7706A9" w14:textId="50112C58"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047535E"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B560C0D"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F190C76"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26D889CA"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3DD29903" w14:textId="77777777" w:rsidR="006C2D4D" w:rsidRPr="00343B4C" w:rsidRDefault="006C2D4D" w:rsidP="006C2D4D">
            <w:pPr>
              <w:pStyle w:val="BodyText"/>
              <w:rPr>
                <w:rFonts w:cs="Arial"/>
                <w:b/>
                <w:sz w:val="20"/>
                <w:szCs w:val="20"/>
              </w:rPr>
            </w:pPr>
            <w:r w:rsidRPr="00343B4C">
              <w:rPr>
                <w:rFonts w:cs="Arial"/>
                <w:b/>
                <w:sz w:val="20"/>
                <w:szCs w:val="20"/>
              </w:rPr>
              <w:t>R Distributing</w:t>
            </w:r>
          </w:p>
        </w:tc>
        <w:tc>
          <w:tcPr>
            <w:tcW w:w="555" w:type="pct"/>
            <w:tcBorders>
              <w:top w:val="single" w:sz="4" w:space="0" w:color="auto"/>
              <w:left w:val="single" w:sz="4" w:space="0" w:color="auto"/>
              <w:bottom w:val="single" w:sz="4" w:space="0" w:color="auto"/>
              <w:right w:val="single" w:sz="4" w:space="0" w:color="auto"/>
            </w:tcBorders>
          </w:tcPr>
          <w:p w14:paraId="5344EA52"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5DE2AA7" w14:textId="008F4A08" w:rsidR="006C2D4D" w:rsidRPr="00343B4C" w:rsidRDefault="006C2D4D" w:rsidP="006C2D4D">
            <w:pPr>
              <w:pStyle w:val="BodyText"/>
              <w:rPr>
                <w:rFonts w:cs="Arial"/>
                <w:sz w:val="20"/>
                <w:szCs w:val="20"/>
              </w:rPr>
            </w:pPr>
            <w:r w:rsidRPr="003D691B">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0716FA80" w14:textId="3DDF147F"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794ABF6"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D95BD55"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48D2BDD"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228EB647"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5C2ACF51" w14:textId="77777777" w:rsidR="006C2D4D" w:rsidRPr="00343B4C" w:rsidRDefault="006C2D4D" w:rsidP="006C2D4D">
            <w:pPr>
              <w:pStyle w:val="BodyText"/>
              <w:rPr>
                <w:rFonts w:cs="Arial"/>
                <w:b/>
                <w:sz w:val="20"/>
                <w:szCs w:val="20"/>
              </w:rPr>
            </w:pPr>
            <w:r w:rsidRPr="00343B4C">
              <w:rPr>
                <w:rFonts w:cs="Arial"/>
                <w:b/>
                <w:sz w:val="20"/>
                <w:szCs w:val="20"/>
              </w:rPr>
              <w:t>S Accumulating</w:t>
            </w:r>
          </w:p>
        </w:tc>
        <w:tc>
          <w:tcPr>
            <w:tcW w:w="555" w:type="pct"/>
            <w:tcBorders>
              <w:top w:val="single" w:sz="4" w:space="0" w:color="auto"/>
              <w:left w:val="single" w:sz="4" w:space="0" w:color="auto"/>
              <w:bottom w:val="single" w:sz="4" w:space="0" w:color="auto"/>
              <w:right w:val="single" w:sz="4" w:space="0" w:color="auto"/>
            </w:tcBorders>
          </w:tcPr>
          <w:p w14:paraId="71603475"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2C96B23" w14:textId="6F01EE30" w:rsidR="006C2D4D" w:rsidRPr="00343B4C" w:rsidRDefault="006C2D4D" w:rsidP="006C2D4D">
            <w:pPr>
              <w:pStyle w:val="BodyText"/>
              <w:rPr>
                <w:rFonts w:cs="Arial"/>
                <w:sz w:val="20"/>
                <w:szCs w:val="20"/>
              </w:rPr>
            </w:pPr>
            <w:r w:rsidRPr="003D691B">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41FD04A" w14:textId="32220E86"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3869806"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D8302A9"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609D71F"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0087730B"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57F3787D" w14:textId="77777777" w:rsidR="006C2D4D" w:rsidRPr="00343B4C" w:rsidRDefault="006C2D4D" w:rsidP="006C2D4D">
            <w:pPr>
              <w:pStyle w:val="BodyText"/>
              <w:keepNext/>
              <w:keepLines/>
              <w:rPr>
                <w:rFonts w:cs="Arial"/>
                <w:b/>
                <w:sz w:val="20"/>
                <w:szCs w:val="20"/>
              </w:rPr>
            </w:pPr>
            <w:r w:rsidRPr="00343B4C">
              <w:rPr>
                <w:rFonts w:cs="Arial"/>
                <w:b/>
                <w:sz w:val="20"/>
                <w:szCs w:val="20"/>
              </w:rPr>
              <w:lastRenderedPageBreak/>
              <w:t>T Distributing</w:t>
            </w:r>
          </w:p>
        </w:tc>
        <w:tc>
          <w:tcPr>
            <w:tcW w:w="555" w:type="pct"/>
            <w:tcBorders>
              <w:top w:val="single" w:sz="4" w:space="0" w:color="auto"/>
              <w:left w:val="single" w:sz="4" w:space="0" w:color="auto"/>
              <w:bottom w:val="single" w:sz="4" w:space="0" w:color="auto"/>
              <w:right w:val="single" w:sz="4" w:space="0" w:color="auto"/>
            </w:tcBorders>
          </w:tcPr>
          <w:p w14:paraId="3262442E" w14:textId="77777777" w:rsidR="006C2D4D" w:rsidRPr="00343B4C" w:rsidRDefault="006C2D4D" w:rsidP="006C2D4D">
            <w:pPr>
              <w:pStyle w:val="BodyText"/>
              <w:keepNext/>
              <w:keepLines/>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EDE5A58" w14:textId="4061C446" w:rsidR="006C2D4D" w:rsidRPr="00343B4C" w:rsidRDefault="006C2D4D" w:rsidP="006C2D4D">
            <w:pPr>
              <w:pStyle w:val="BodyText"/>
              <w:keepNext/>
              <w:keepLines/>
              <w:rPr>
                <w:rFonts w:cs="Arial"/>
                <w:sz w:val="20"/>
                <w:szCs w:val="20"/>
              </w:rPr>
            </w:pPr>
            <w:r w:rsidRPr="00A1212E">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333CE6AB" w14:textId="5F9401F8" w:rsidR="006C2D4D" w:rsidRPr="00343B4C" w:rsidRDefault="006C2D4D" w:rsidP="006C2D4D">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269FBF9"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6F44EBA"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57D3C85" w14:textId="77777777" w:rsidR="006C2D4D" w:rsidRPr="00343B4C" w:rsidRDefault="006C2D4D" w:rsidP="006C2D4D">
            <w:pPr>
              <w:pStyle w:val="BodyText"/>
              <w:keepNext/>
              <w:keepLines/>
              <w:rPr>
                <w:rFonts w:cs="Arial"/>
                <w:sz w:val="20"/>
                <w:szCs w:val="20"/>
              </w:rPr>
            </w:pPr>
            <w:r w:rsidRPr="00343B4C">
              <w:rPr>
                <w:rFonts w:cs="Arial"/>
                <w:sz w:val="20"/>
                <w:szCs w:val="20"/>
              </w:rPr>
              <w:t>£100</w:t>
            </w:r>
          </w:p>
        </w:tc>
      </w:tr>
      <w:tr w:rsidR="006C2D4D" w:rsidRPr="001F0009" w14:paraId="36F1EBA0"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67550D5D" w14:textId="77777777" w:rsidR="006C2D4D" w:rsidRPr="00343B4C" w:rsidRDefault="006C2D4D" w:rsidP="006C2D4D">
            <w:pPr>
              <w:pStyle w:val="BodyText"/>
              <w:rPr>
                <w:rFonts w:cs="Arial"/>
                <w:b/>
                <w:sz w:val="20"/>
                <w:szCs w:val="20"/>
              </w:rPr>
            </w:pPr>
            <w:r w:rsidRPr="00343B4C">
              <w:rPr>
                <w:rFonts w:cs="Arial"/>
                <w:b/>
                <w:sz w:val="20"/>
                <w:szCs w:val="20"/>
              </w:rPr>
              <w:t>U Accumulating</w:t>
            </w:r>
          </w:p>
        </w:tc>
        <w:tc>
          <w:tcPr>
            <w:tcW w:w="555" w:type="pct"/>
            <w:tcBorders>
              <w:top w:val="single" w:sz="4" w:space="0" w:color="auto"/>
              <w:left w:val="single" w:sz="4" w:space="0" w:color="auto"/>
              <w:bottom w:val="single" w:sz="4" w:space="0" w:color="auto"/>
              <w:right w:val="single" w:sz="4" w:space="0" w:color="auto"/>
            </w:tcBorders>
          </w:tcPr>
          <w:p w14:paraId="44EE949C"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FC7F23A" w14:textId="61FDD033" w:rsidR="006C2D4D" w:rsidRPr="00343B4C" w:rsidRDefault="006C2D4D" w:rsidP="006C2D4D">
            <w:pPr>
              <w:pStyle w:val="BodyText"/>
              <w:rPr>
                <w:rFonts w:cs="Arial"/>
                <w:sz w:val="20"/>
                <w:szCs w:val="20"/>
              </w:rPr>
            </w:pPr>
            <w:r w:rsidRPr="00A1212E">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04A44E7A" w14:textId="4C1C7863"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E6342A9"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1012AE8"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4D7D422"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3ECE5FBF"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79E939B4" w14:textId="77777777" w:rsidR="006C2D4D" w:rsidRPr="00343B4C" w:rsidRDefault="006C2D4D" w:rsidP="006C2D4D">
            <w:pPr>
              <w:pStyle w:val="BodyText"/>
              <w:rPr>
                <w:rFonts w:cs="Arial"/>
                <w:b/>
                <w:sz w:val="20"/>
                <w:szCs w:val="20"/>
              </w:rPr>
            </w:pPr>
            <w:r w:rsidRPr="00343B4C">
              <w:rPr>
                <w:rFonts w:cs="Arial"/>
                <w:b/>
                <w:sz w:val="20"/>
                <w:szCs w:val="20"/>
              </w:rPr>
              <w:t>V Distributing</w:t>
            </w:r>
          </w:p>
        </w:tc>
        <w:tc>
          <w:tcPr>
            <w:tcW w:w="555" w:type="pct"/>
            <w:tcBorders>
              <w:top w:val="single" w:sz="4" w:space="0" w:color="auto"/>
              <w:left w:val="single" w:sz="4" w:space="0" w:color="auto"/>
              <w:bottom w:val="single" w:sz="4" w:space="0" w:color="auto"/>
              <w:right w:val="single" w:sz="4" w:space="0" w:color="auto"/>
            </w:tcBorders>
          </w:tcPr>
          <w:p w14:paraId="0357B3C4"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69825F7" w14:textId="019CF7DC" w:rsidR="006C2D4D" w:rsidRPr="00343B4C" w:rsidRDefault="006C2D4D" w:rsidP="006C2D4D">
            <w:pPr>
              <w:pStyle w:val="BodyText"/>
              <w:rPr>
                <w:rFonts w:cs="Arial"/>
                <w:sz w:val="20"/>
                <w:szCs w:val="20"/>
              </w:rPr>
            </w:pPr>
            <w:r w:rsidRPr="00A1212E">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25F564AD" w14:textId="7B433A04"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224028F"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A830D40"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0A04045"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2AB1F6B4"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0E3C0392" w14:textId="77777777" w:rsidR="006C2D4D" w:rsidRPr="00343B4C" w:rsidRDefault="006C2D4D" w:rsidP="006C2D4D">
            <w:pPr>
              <w:pStyle w:val="BodyText"/>
              <w:rPr>
                <w:rFonts w:cs="Arial"/>
                <w:b/>
                <w:sz w:val="20"/>
                <w:szCs w:val="20"/>
              </w:rPr>
            </w:pPr>
            <w:r w:rsidRPr="00343B4C">
              <w:rPr>
                <w:rFonts w:cs="Arial"/>
                <w:b/>
                <w:sz w:val="20"/>
                <w:szCs w:val="20"/>
              </w:rPr>
              <w:t>W Accumulating</w:t>
            </w:r>
          </w:p>
        </w:tc>
        <w:tc>
          <w:tcPr>
            <w:tcW w:w="555" w:type="pct"/>
            <w:tcBorders>
              <w:top w:val="single" w:sz="4" w:space="0" w:color="auto"/>
              <w:left w:val="single" w:sz="4" w:space="0" w:color="auto"/>
              <w:bottom w:val="single" w:sz="4" w:space="0" w:color="auto"/>
              <w:right w:val="single" w:sz="4" w:space="0" w:color="auto"/>
            </w:tcBorders>
          </w:tcPr>
          <w:p w14:paraId="2F61C212"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45EF1B2" w14:textId="2FE51D4B" w:rsidR="006C2D4D" w:rsidRPr="00343B4C" w:rsidRDefault="006C2D4D" w:rsidP="006C2D4D">
            <w:pPr>
              <w:pStyle w:val="BodyText"/>
              <w:rPr>
                <w:rFonts w:cs="Arial"/>
                <w:sz w:val="20"/>
                <w:szCs w:val="20"/>
              </w:rPr>
            </w:pPr>
            <w:r w:rsidRPr="00A1212E">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96B2C9A" w14:textId="5D15934D"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F9B0235"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8B0AB87"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CB1590C"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3FE1EBA1"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08522CF6" w14:textId="77777777" w:rsidR="006C2D4D" w:rsidRPr="00343B4C" w:rsidRDefault="006C2D4D" w:rsidP="006C2D4D">
            <w:pPr>
              <w:pStyle w:val="BodyText"/>
              <w:rPr>
                <w:rFonts w:cs="Arial"/>
                <w:b/>
                <w:sz w:val="20"/>
                <w:szCs w:val="20"/>
              </w:rPr>
            </w:pPr>
            <w:r w:rsidRPr="00343B4C">
              <w:rPr>
                <w:rFonts w:cs="Arial"/>
                <w:b/>
                <w:sz w:val="20"/>
                <w:szCs w:val="20"/>
              </w:rPr>
              <w:t>X Accumulating</w:t>
            </w:r>
          </w:p>
        </w:tc>
        <w:tc>
          <w:tcPr>
            <w:tcW w:w="555" w:type="pct"/>
            <w:tcBorders>
              <w:top w:val="single" w:sz="4" w:space="0" w:color="auto"/>
              <w:left w:val="single" w:sz="4" w:space="0" w:color="auto"/>
              <w:bottom w:val="single" w:sz="4" w:space="0" w:color="auto"/>
              <w:right w:val="single" w:sz="4" w:space="0" w:color="auto"/>
            </w:tcBorders>
          </w:tcPr>
          <w:p w14:paraId="53939D7A" w14:textId="77777777" w:rsidR="006C2D4D" w:rsidRPr="00343B4C" w:rsidRDefault="006C2D4D" w:rsidP="006C2D4D">
            <w:pPr>
              <w:pStyle w:val="BodyText"/>
              <w:rPr>
                <w:rFonts w:cs="Arial"/>
                <w:sz w:val="20"/>
                <w:szCs w:val="20"/>
              </w:rPr>
            </w:pPr>
            <w:r w:rsidRPr="00343B4C">
              <w:rPr>
                <w:rFonts w:cs="Arial"/>
                <w:sz w:val="20"/>
                <w:szCs w:val="20"/>
              </w:rPr>
              <w:t>Sterling</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10D2F6E" w14:textId="66E9A74E" w:rsidR="006C2D4D" w:rsidRPr="00343B4C" w:rsidRDefault="006C2D4D" w:rsidP="006C2D4D">
            <w:pPr>
              <w:pStyle w:val="BodyText"/>
              <w:rPr>
                <w:rFonts w:cs="Arial"/>
                <w:sz w:val="20"/>
                <w:szCs w:val="20"/>
              </w:rPr>
            </w:pPr>
            <w:r w:rsidRPr="00A1212E">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51E16E32" w14:textId="1FC0E7E3"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04D48D5"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FEFF6F5"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3E1FE33" w14:textId="77777777" w:rsidR="006C2D4D" w:rsidRPr="00343B4C" w:rsidRDefault="006C2D4D" w:rsidP="006C2D4D">
            <w:pPr>
              <w:pStyle w:val="BodyText"/>
              <w:rPr>
                <w:rFonts w:cs="Arial"/>
                <w:sz w:val="20"/>
                <w:szCs w:val="20"/>
              </w:rPr>
            </w:pPr>
            <w:r w:rsidRPr="00343B4C">
              <w:rPr>
                <w:rFonts w:cs="Arial"/>
                <w:sz w:val="20"/>
                <w:szCs w:val="20"/>
              </w:rPr>
              <w:t>£100</w:t>
            </w:r>
          </w:p>
        </w:tc>
      </w:tr>
      <w:tr w:rsidR="006C2D4D" w:rsidRPr="001F0009" w14:paraId="689A9E99"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59195821" w14:textId="77777777" w:rsidR="006C2D4D" w:rsidRPr="00343B4C" w:rsidRDefault="006C2D4D" w:rsidP="006C2D4D">
            <w:pPr>
              <w:pStyle w:val="BodyText"/>
              <w:keepNext/>
              <w:keepLines/>
              <w:rPr>
                <w:rFonts w:cs="Arial"/>
                <w:b/>
                <w:sz w:val="20"/>
                <w:szCs w:val="20"/>
              </w:rPr>
            </w:pPr>
            <w:r w:rsidRPr="00343B4C">
              <w:rPr>
                <w:rFonts w:cs="Arial"/>
                <w:b/>
                <w:sz w:val="20"/>
                <w:szCs w:val="20"/>
              </w:rPr>
              <w:lastRenderedPageBreak/>
              <w:t>Y Distributing</w:t>
            </w:r>
          </w:p>
        </w:tc>
        <w:tc>
          <w:tcPr>
            <w:tcW w:w="555" w:type="pct"/>
            <w:tcBorders>
              <w:top w:val="single" w:sz="4" w:space="0" w:color="auto"/>
              <w:left w:val="single" w:sz="4" w:space="0" w:color="auto"/>
              <w:bottom w:val="single" w:sz="4" w:space="0" w:color="auto"/>
              <w:right w:val="single" w:sz="4" w:space="0" w:color="auto"/>
            </w:tcBorders>
          </w:tcPr>
          <w:p w14:paraId="3C56BF42" w14:textId="77777777" w:rsidR="006C2D4D" w:rsidRPr="00343B4C" w:rsidRDefault="006C2D4D" w:rsidP="006C2D4D">
            <w:pPr>
              <w:pStyle w:val="BodyText"/>
              <w:keepNext/>
              <w:keepLines/>
              <w:rPr>
                <w:rFonts w:cs="Arial"/>
                <w:sz w:val="20"/>
                <w:szCs w:val="20"/>
              </w:rPr>
            </w:pPr>
            <w:r w:rsidRPr="00343B4C">
              <w:rPr>
                <w:rFonts w:cs="Arial"/>
                <w:sz w:val="20"/>
                <w:szCs w:val="20"/>
              </w:rPr>
              <w:t xml:space="preserve">Sterling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6F41593" w14:textId="6D49ADDC" w:rsidR="006C2D4D" w:rsidRPr="00343B4C" w:rsidRDefault="006C2D4D" w:rsidP="006C2D4D">
            <w:pPr>
              <w:pStyle w:val="BodyText"/>
              <w:keepNext/>
              <w:keepLines/>
              <w:rPr>
                <w:rFonts w:cs="Arial"/>
                <w:sz w:val="20"/>
                <w:szCs w:val="20"/>
              </w:rPr>
            </w:pPr>
            <w:r w:rsidRPr="00E03C01">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3CEC96FF" w14:textId="468CAD0E" w:rsidR="006C2D4D" w:rsidRPr="00343B4C" w:rsidRDefault="006C2D4D" w:rsidP="006C2D4D">
            <w:pPr>
              <w:pStyle w:val="BodyText"/>
              <w:keepNext/>
              <w:keepLines/>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B69925F"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C212944" w14:textId="77777777" w:rsidR="006C2D4D" w:rsidRPr="00343B4C" w:rsidRDefault="006C2D4D" w:rsidP="006C2D4D">
            <w:pPr>
              <w:pStyle w:val="BodyText"/>
              <w:keepNext/>
              <w:keepLines/>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F38FEFB" w14:textId="77777777" w:rsidR="006C2D4D" w:rsidRPr="00343B4C" w:rsidRDefault="006C2D4D" w:rsidP="006C2D4D">
            <w:pPr>
              <w:pStyle w:val="BodyText"/>
              <w:keepNext/>
              <w:keepLines/>
              <w:rPr>
                <w:rFonts w:cs="Arial"/>
                <w:sz w:val="20"/>
                <w:szCs w:val="20"/>
              </w:rPr>
            </w:pPr>
            <w:r w:rsidRPr="00343B4C">
              <w:rPr>
                <w:rFonts w:cs="Arial"/>
                <w:sz w:val="20"/>
                <w:szCs w:val="20"/>
              </w:rPr>
              <w:t>£100</w:t>
            </w:r>
          </w:p>
        </w:tc>
      </w:tr>
      <w:tr w:rsidR="006C2D4D" w:rsidRPr="001F0009" w14:paraId="7E68C5CC" w14:textId="77777777" w:rsidTr="00B521D9">
        <w:tc>
          <w:tcPr>
            <w:tcW w:w="863" w:type="pct"/>
            <w:tcBorders>
              <w:top w:val="single" w:sz="4" w:space="0" w:color="auto"/>
              <w:left w:val="single" w:sz="4" w:space="0" w:color="auto"/>
              <w:bottom w:val="single" w:sz="4" w:space="0" w:color="auto"/>
              <w:right w:val="single" w:sz="4" w:space="0" w:color="auto"/>
            </w:tcBorders>
            <w:shd w:val="clear" w:color="auto" w:fill="auto"/>
          </w:tcPr>
          <w:p w14:paraId="0EC3555C" w14:textId="77777777" w:rsidR="006C2D4D" w:rsidRPr="00343B4C" w:rsidRDefault="006C2D4D" w:rsidP="006C2D4D">
            <w:pPr>
              <w:pStyle w:val="BodyText"/>
              <w:rPr>
                <w:rFonts w:cs="Arial"/>
                <w:b/>
                <w:sz w:val="20"/>
                <w:szCs w:val="20"/>
              </w:rPr>
            </w:pPr>
            <w:r w:rsidRPr="00343B4C">
              <w:rPr>
                <w:rFonts w:cs="Arial"/>
                <w:b/>
                <w:sz w:val="20"/>
                <w:szCs w:val="20"/>
              </w:rPr>
              <w:t>Z Accumulating</w:t>
            </w:r>
          </w:p>
        </w:tc>
        <w:tc>
          <w:tcPr>
            <w:tcW w:w="555" w:type="pct"/>
            <w:tcBorders>
              <w:top w:val="single" w:sz="4" w:space="0" w:color="auto"/>
              <w:left w:val="single" w:sz="4" w:space="0" w:color="auto"/>
              <w:bottom w:val="single" w:sz="4" w:space="0" w:color="auto"/>
              <w:right w:val="single" w:sz="4" w:space="0" w:color="auto"/>
            </w:tcBorders>
          </w:tcPr>
          <w:p w14:paraId="76AE74F9" w14:textId="77777777" w:rsidR="006C2D4D" w:rsidRPr="00343B4C" w:rsidRDefault="006C2D4D" w:rsidP="006C2D4D">
            <w:pPr>
              <w:pStyle w:val="BodyText"/>
              <w:rPr>
                <w:rFonts w:cs="Arial"/>
                <w:sz w:val="20"/>
                <w:szCs w:val="20"/>
              </w:rPr>
            </w:pPr>
            <w:r w:rsidRPr="00343B4C">
              <w:rPr>
                <w:rFonts w:cs="Arial"/>
                <w:sz w:val="20"/>
                <w:szCs w:val="20"/>
              </w:rPr>
              <w:t>Euro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DCA6A66" w14:textId="12240173" w:rsidR="006C2D4D" w:rsidRPr="00343B4C" w:rsidRDefault="006C2D4D" w:rsidP="006C2D4D">
            <w:pPr>
              <w:pStyle w:val="BodyText"/>
              <w:rPr>
                <w:rFonts w:cs="Arial"/>
                <w:sz w:val="20"/>
                <w:szCs w:val="20"/>
              </w:rPr>
            </w:pPr>
            <w:r w:rsidRPr="00E03C01">
              <w:rPr>
                <w:sz w:val="18"/>
                <w:szCs w:val="18"/>
              </w:rPr>
              <w:t>9.00am (Irish time) on 1 July 2024 to 5.00pm (Irish time) on 31 December 2024*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79607AEE" w14:textId="1DD7D7C4" w:rsidR="006C2D4D" w:rsidRPr="00343B4C" w:rsidRDefault="006C2D4D" w:rsidP="006C2D4D">
            <w:pPr>
              <w:pStyle w:val="BodyText"/>
              <w:rPr>
                <w:rFonts w:cs="Arial"/>
                <w:sz w:val="20"/>
                <w:szCs w:val="20"/>
              </w:rPr>
            </w:pPr>
            <w:r w:rsidRPr="00343B4C">
              <w:rPr>
                <w:rFonts w:cs="Arial"/>
                <w:sz w:val="20"/>
                <w:szCs w:val="20"/>
              </w:rPr>
              <w:t>€100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558FF4A"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246730E" w14:textId="77777777" w:rsidR="006C2D4D" w:rsidRPr="00343B4C" w:rsidRDefault="006C2D4D" w:rsidP="006C2D4D">
            <w:pPr>
              <w:pStyle w:val="BodyText"/>
              <w:rPr>
                <w:rFonts w:cs="Arial"/>
                <w:sz w:val="20"/>
                <w:szCs w:val="20"/>
              </w:rPr>
            </w:pPr>
            <w:r w:rsidRPr="00343B4C">
              <w:rPr>
                <w:rFonts w:cs="Arial"/>
                <w:sz w:val="20"/>
                <w:szCs w:val="20"/>
              </w:rPr>
              <w:t>€500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3B8AA44" w14:textId="77777777" w:rsidR="006C2D4D" w:rsidRPr="00343B4C" w:rsidRDefault="006C2D4D" w:rsidP="006C2D4D">
            <w:pPr>
              <w:pStyle w:val="BodyText"/>
              <w:rPr>
                <w:rFonts w:cs="Arial"/>
                <w:sz w:val="20"/>
                <w:szCs w:val="20"/>
              </w:rPr>
            </w:pPr>
            <w:r w:rsidRPr="00343B4C">
              <w:rPr>
                <w:rFonts w:cs="Arial"/>
                <w:sz w:val="20"/>
                <w:szCs w:val="20"/>
              </w:rPr>
              <w:t>€100</w:t>
            </w:r>
          </w:p>
        </w:tc>
      </w:tr>
    </w:tbl>
    <w:p w14:paraId="14790DCF" w14:textId="77777777" w:rsidR="001F0009" w:rsidRPr="001F0009" w:rsidRDefault="001F0009" w:rsidP="001F0009">
      <w:pPr>
        <w:pStyle w:val="BodyText"/>
        <w:rPr>
          <w:rFonts w:cs="Arial"/>
          <w:sz w:val="20"/>
          <w:szCs w:val="20"/>
        </w:rPr>
      </w:pPr>
      <w:r w:rsidRPr="001F0009">
        <w:rPr>
          <w:rFonts w:cs="Arial"/>
          <w:sz w:val="20"/>
          <w:szCs w:val="20"/>
        </w:rP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03138ADB" w14:textId="77777777" w:rsidR="001F0009" w:rsidRPr="001F0009" w:rsidRDefault="001F0009" w:rsidP="001F0009">
      <w:pPr>
        <w:pStyle w:val="BodyText"/>
        <w:rPr>
          <w:rFonts w:cs="Arial"/>
          <w:sz w:val="20"/>
          <w:szCs w:val="20"/>
        </w:rPr>
      </w:pPr>
      <w:r w:rsidRPr="001F0009">
        <w:rPr>
          <w:rFonts w:cs="Arial"/>
          <w:sz w:val="20"/>
          <w:szCs w:val="20"/>
        </w:rPr>
        <w:t>**Subject to the discretion of the Directors (or their delegate) in each case to allow lesser amounts.</w:t>
      </w:r>
    </w:p>
    <w:p w14:paraId="1FC2A011" w14:textId="77777777" w:rsidR="001F0009" w:rsidRPr="001F0009" w:rsidRDefault="001F0009" w:rsidP="001F0009">
      <w:pPr>
        <w:pStyle w:val="Agreement2"/>
        <w:keepNext/>
        <w:numPr>
          <w:ilvl w:val="0"/>
          <w:numId w:val="0"/>
        </w:numPr>
        <w:spacing w:before="120"/>
        <w:rPr>
          <w:rFonts w:cs="Arial"/>
          <w:sz w:val="20"/>
          <w:szCs w:val="20"/>
        </w:rPr>
      </w:pPr>
      <w:r w:rsidRPr="001F0009">
        <w:rPr>
          <w:rFonts w:cs="Arial"/>
          <w:sz w:val="20"/>
          <w:szCs w:val="20"/>
        </w:rPr>
        <w:t>***</w:t>
      </w:r>
      <w:r w:rsidRPr="001F0009">
        <w:rPr>
          <w:rFonts w:cs="Arial"/>
          <w:b/>
          <w:sz w:val="20"/>
          <w:szCs w:val="20"/>
        </w:rPr>
        <w:t xml:space="preserve"> </w:t>
      </w:r>
      <w:r w:rsidRPr="001F0009">
        <w:rPr>
          <w:rFonts w:cs="Arial"/>
          <w:sz w:val="20"/>
          <w:szCs w:val="20"/>
        </w:rPr>
        <w:t>Unhedged Currency Share Classes. A currency conversion will take place on subscription, redemption and distributions at prevailing exchange rates. The value of the Share expressed in the Class currency may be subject to exchange rate risk in relation to the Base Currency.</w:t>
      </w:r>
    </w:p>
    <w:p w14:paraId="088381FA" w14:textId="3FFC87AD" w:rsidR="001F0009" w:rsidRPr="001F0009" w:rsidRDefault="001F0009" w:rsidP="001F0009">
      <w:pPr>
        <w:spacing w:before="120"/>
        <w:rPr>
          <w:rFonts w:cs="Arial"/>
          <w:sz w:val="20"/>
          <w:szCs w:val="20"/>
        </w:rPr>
      </w:pPr>
      <w:r w:rsidRPr="001F0009">
        <w:rPr>
          <w:rFonts w:cs="Arial"/>
          <w:sz w:val="20"/>
          <w:szCs w:val="20"/>
        </w:rPr>
        <w:t xml:space="preserve">Class Z Accumulating Shares do not bear any Investment Management Fees or performance fees and are restricted to </w:t>
      </w:r>
      <w:r w:rsidR="00681211">
        <w:rPr>
          <w:rFonts w:cs="Arial"/>
          <w:sz w:val="20"/>
          <w:szCs w:val="20"/>
        </w:rPr>
        <w:t>IQ EQ Group and Davy Group personnel</w:t>
      </w:r>
      <w:r w:rsidR="000C47B2">
        <w:rPr>
          <w:rFonts w:cs="Arial"/>
          <w:sz w:val="20"/>
          <w:szCs w:val="20"/>
        </w:rPr>
        <w:t xml:space="preserve"> and entities</w:t>
      </w:r>
      <w:r w:rsidR="00681211">
        <w:rPr>
          <w:rFonts w:cs="Arial"/>
          <w:sz w:val="20"/>
          <w:szCs w:val="20"/>
        </w:rPr>
        <w:t>.</w:t>
      </w:r>
      <w:r w:rsidRPr="001F0009">
        <w:rPr>
          <w:rFonts w:cs="Arial"/>
          <w:sz w:val="20"/>
          <w:szCs w:val="20"/>
        </w:rPr>
        <w:t xml:space="preserve"> Shares of any Class cannot be switched for Shares of Class Z Accumulating.</w:t>
      </w:r>
    </w:p>
    <w:p w14:paraId="381DF71D" w14:textId="77777777" w:rsidR="001F0009" w:rsidRPr="001F0009" w:rsidRDefault="001F0009" w:rsidP="001F0009">
      <w:pPr>
        <w:pStyle w:val="BodyText"/>
        <w:rPr>
          <w:rFonts w:cs="Arial"/>
          <w:sz w:val="20"/>
          <w:szCs w:val="20"/>
        </w:rPr>
      </w:pPr>
      <w:r w:rsidRPr="001F0009">
        <w:rPr>
          <w:rFonts w:cs="Arial"/>
          <w:sz w:val="20"/>
          <w:szCs w:val="20"/>
        </w:rPr>
        <w:t>Applications for Shares and applications for the repurchase of Shares along with all required anti-money laundering documentation must be received by the Dealing Deadline.</w:t>
      </w:r>
    </w:p>
    <w:p w14:paraId="709DDC37" w14:textId="77777777" w:rsidR="001F0009" w:rsidRPr="001F0009" w:rsidRDefault="001F0009" w:rsidP="001F0009">
      <w:pPr>
        <w:pStyle w:val="BodyText"/>
        <w:rPr>
          <w:rFonts w:cs="Arial"/>
          <w:sz w:val="20"/>
          <w:szCs w:val="20"/>
        </w:rPr>
      </w:pPr>
      <w:r w:rsidRPr="001F0009">
        <w:rPr>
          <w:rFonts w:cs="Arial"/>
          <w:sz w:val="20"/>
          <w:szCs w:val="20"/>
        </w:rP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73160B29" w14:textId="01EDCFBC" w:rsidR="001F0009" w:rsidRPr="001F0009" w:rsidRDefault="001F0009" w:rsidP="001F0009">
      <w:pPr>
        <w:pStyle w:val="BodyText"/>
        <w:rPr>
          <w:rFonts w:cs="Arial"/>
          <w:sz w:val="20"/>
          <w:szCs w:val="20"/>
        </w:rPr>
      </w:pPr>
      <w:r w:rsidRPr="001F0009">
        <w:rPr>
          <w:rFonts w:cs="Arial"/>
          <w:sz w:val="20"/>
          <w:szCs w:val="20"/>
        </w:rPr>
        <w:t xml:space="preserve">Subscription Settlement Date: Subscription monies should be paid to the account specified in the Application Form (or such other account specified by the Administrator) so as to be received by no later than </w:t>
      </w:r>
      <w:r w:rsidR="009416BC">
        <w:rPr>
          <w:rFonts w:cs="Arial"/>
          <w:sz w:val="20"/>
          <w:szCs w:val="20"/>
        </w:rPr>
        <w:t xml:space="preserve">one </w:t>
      </w:r>
      <w:r w:rsidRPr="001F0009">
        <w:rPr>
          <w:rFonts w:cs="Arial"/>
          <w:sz w:val="20"/>
          <w:szCs w:val="20"/>
        </w:rPr>
        <w:t>Business Day after the relevant Dealing Day. If payment in full and/or a properly completed Application Form along with all required anti-money laundering documentation have not been received by the relevant times stipulated above, the application may be refused.</w:t>
      </w:r>
    </w:p>
    <w:p w14:paraId="2FB7145D" w14:textId="77777777" w:rsidR="001F0009" w:rsidRPr="001F0009" w:rsidRDefault="001F0009" w:rsidP="00343B4C">
      <w:pPr>
        <w:pStyle w:val="BodyText"/>
        <w:keepNext/>
        <w:keepLines/>
        <w:rPr>
          <w:rFonts w:cs="Arial"/>
          <w:sz w:val="20"/>
          <w:szCs w:val="20"/>
        </w:rPr>
      </w:pPr>
      <w:r w:rsidRPr="001F0009">
        <w:rPr>
          <w:rFonts w:cs="Arial"/>
          <w:sz w:val="20"/>
          <w:szCs w:val="20"/>
        </w:rPr>
        <w:lastRenderedPageBreak/>
        <w:t>Repurchase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1D94FFFD" w14:textId="77777777" w:rsidR="001F0009" w:rsidRPr="001F0009" w:rsidRDefault="001F0009" w:rsidP="001F0009">
      <w:pPr>
        <w:spacing w:before="120"/>
        <w:rPr>
          <w:rFonts w:cs="Arial"/>
          <w:sz w:val="20"/>
          <w:szCs w:val="20"/>
        </w:rPr>
      </w:pPr>
      <w:r w:rsidRPr="001F0009">
        <w:rPr>
          <w:rFonts w:cs="Arial"/>
          <w:sz w:val="20"/>
          <w:szCs w:val="20"/>
        </w:rPr>
        <w:t>Repurchase proceeds may at the discretion of the Directors be paid in specie where the repurchasing Shareholder requests the repurchase of a number of Shares that represents 5% or more of the Net Asset Value of the Fund. Repurchase requests, which represent less than 5% of the Net Asset Value of the Fund may be satisfied by way of an in specie transfer where the repurchasing Shareholder has consented to same.</w:t>
      </w:r>
    </w:p>
    <w:p w14:paraId="782D5C55" w14:textId="77777777" w:rsidR="001F0009" w:rsidRPr="001F0009" w:rsidRDefault="001F0009" w:rsidP="001F0009">
      <w:pPr>
        <w:spacing w:before="120"/>
        <w:rPr>
          <w:rFonts w:cs="Arial"/>
          <w:sz w:val="20"/>
          <w:szCs w:val="20"/>
        </w:rPr>
      </w:pPr>
      <w:r w:rsidRPr="001F0009">
        <w:rPr>
          <w:rFonts w:cs="Arial"/>
          <w:sz w:val="20"/>
          <w:szCs w:val="20"/>
        </w:rPr>
        <w:t xml:space="preserve">Shares may also be subscribed in specie at the discretion of the Directors. </w:t>
      </w:r>
    </w:p>
    <w:p w14:paraId="7F3C1765" w14:textId="77777777" w:rsidR="001F0009" w:rsidRPr="001F0009" w:rsidRDefault="001F0009" w:rsidP="001F0009">
      <w:pPr>
        <w:spacing w:before="120"/>
        <w:rPr>
          <w:rFonts w:cs="Arial"/>
          <w:sz w:val="20"/>
          <w:szCs w:val="20"/>
        </w:rPr>
      </w:pPr>
      <w:r w:rsidRPr="001F0009">
        <w:rPr>
          <w:rFonts w:cs="Arial"/>
          <w:sz w:val="20"/>
          <w:szCs w:val="20"/>
        </w:rPr>
        <w:t>Please also refer to the section of the Prospectus entitled "</w:t>
      </w:r>
      <w:r w:rsidRPr="001F0009">
        <w:rPr>
          <w:rFonts w:cs="Arial"/>
          <w:b/>
          <w:sz w:val="20"/>
          <w:szCs w:val="20"/>
        </w:rPr>
        <w:t>In Specie Repurchases</w:t>
      </w:r>
      <w:r w:rsidRPr="001F0009">
        <w:rPr>
          <w:rFonts w:cs="Arial"/>
          <w:sz w:val="20"/>
          <w:szCs w:val="20"/>
        </w:rPr>
        <w:t>" and "</w:t>
      </w:r>
      <w:r w:rsidRPr="001F0009">
        <w:rPr>
          <w:rFonts w:cs="Arial"/>
          <w:b/>
          <w:sz w:val="20"/>
          <w:szCs w:val="20"/>
        </w:rPr>
        <w:t>In Specie Subscriptions</w:t>
      </w:r>
      <w:r w:rsidRPr="001F0009">
        <w:rPr>
          <w:rFonts w:cs="Arial"/>
          <w:sz w:val="20"/>
          <w:szCs w:val="20"/>
        </w:rPr>
        <w:t>".</w:t>
      </w:r>
    </w:p>
    <w:p w14:paraId="3F5A7AE6"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Dividend Policy</w:t>
      </w:r>
    </w:p>
    <w:p w14:paraId="0D29911D"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For the Class A Accumulating Shares, the Class B Accumulating Shares,  the Class C Accumulating Shares, the Class D Accumulating Shares, the Class E Accumulating Shares, the Class F Accumulating Shares, the Class G Accumulating Shares, the Class H Accumulating Shares, the Class I Accumulating Shares, the Class O Accumulating Shares, the Class Q Accumulating Shares, the Class S Accumulating Shares, the Class U Accumulating Shares,  Class W Accumulating Shares, Class X Accumulating Shares and the Class Z Accumulating Shares (the "</w:t>
      </w:r>
      <w:r w:rsidRPr="001F0009">
        <w:rPr>
          <w:rFonts w:cs="Arial"/>
          <w:b/>
          <w:sz w:val="20"/>
          <w:szCs w:val="20"/>
          <w:lang w:eastAsia="en-GB"/>
        </w:rPr>
        <w:t>Accumulating Share Classes</w:t>
      </w:r>
      <w:r w:rsidRPr="001F0009">
        <w:rPr>
          <w:rFonts w:cs="Arial"/>
          <w:sz w:val="20"/>
          <w:szCs w:val="20"/>
          <w:lang w:eastAsia="en-GB"/>
        </w:rPr>
        <w:t>") (and indicated as such in the table in the section above titled "</w:t>
      </w:r>
      <w:r w:rsidRPr="001F0009">
        <w:rPr>
          <w:rFonts w:cs="Arial"/>
          <w:b/>
          <w:sz w:val="20"/>
          <w:szCs w:val="20"/>
          <w:lang w:eastAsia="en-GB"/>
        </w:rPr>
        <w:t>Key Information for Buying and Selling Shares</w:t>
      </w:r>
      <w:r w:rsidRPr="001F0009">
        <w:rPr>
          <w:rFonts w:cs="Arial"/>
          <w:sz w:val="20"/>
          <w:szCs w:val="20"/>
          <w:lang w:eastAsia="en-GB"/>
        </w:rPr>
        <w:t xml:space="preserve">"), it is the present intention of the Directors not to declare or pay dividends, and any income or gains earned by the Fund and these Share Classes, will be reinvested and reflected in the value of the Shares. </w:t>
      </w:r>
    </w:p>
    <w:p w14:paraId="0EB0CAEC"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For the Class A Distributing Shares, the Class B Distributing Shares, the Class J Distributing Shares, the Class K Distributing Shares, the Class L Distributing Shares, the Class M Distributing Shares, the Class N Distributing Shares, the Class P Distributing Shares, the Class R Distributing Shares, the Class T Distributing Shares, the Class V Distributing Shares and the Class Y Distributing Shares (the "</w:t>
      </w:r>
      <w:r w:rsidRPr="001F0009">
        <w:rPr>
          <w:rFonts w:cs="Arial"/>
          <w:b/>
          <w:sz w:val="20"/>
          <w:szCs w:val="20"/>
          <w:lang w:eastAsia="en-GB"/>
        </w:rPr>
        <w:t>Distributing Share Classes</w:t>
      </w:r>
      <w:r w:rsidRPr="001F0009">
        <w:rPr>
          <w:rFonts w:cs="Arial"/>
          <w:sz w:val="20"/>
          <w:szCs w:val="20"/>
          <w:lang w:eastAsia="en-GB"/>
        </w:rPr>
        <w:t>") (and indicated as such in the table in the section above entitled "</w:t>
      </w:r>
      <w:r w:rsidRPr="001F0009">
        <w:rPr>
          <w:rFonts w:cs="Arial"/>
          <w:b/>
          <w:sz w:val="20"/>
          <w:szCs w:val="20"/>
          <w:lang w:eastAsia="en-GB"/>
        </w:rPr>
        <w:t>Key Information for Buying and Selling Shares</w:t>
      </w:r>
      <w:r w:rsidRPr="001F0009">
        <w:rPr>
          <w:rFonts w:cs="Arial"/>
          <w:sz w:val="20"/>
          <w:szCs w:val="20"/>
          <w:lang w:eastAsia="en-GB"/>
        </w:rPr>
        <w:t>"), subject to net income being available for distribution or out of capital, the Directors intend to declare dividends on the Distribution Date and such dividends will be paid on or before the 14</w:t>
      </w:r>
      <w:r w:rsidRPr="001F0009">
        <w:rPr>
          <w:rFonts w:cs="Arial"/>
          <w:sz w:val="20"/>
          <w:szCs w:val="20"/>
          <w:vertAlign w:val="superscript"/>
          <w:lang w:eastAsia="en-GB"/>
        </w:rPr>
        <w:t>th</w:t>
      </w:r>
      <w:r w:rsidRPr="001F0009">
        <w:rPr>
          <w:rFonts w:cs="Arial"/>
          <w:sz w:val="20"/>
          <w:szCs w:val="20"/>
          <w:lang w:eastAsia="en-GB"/>
        </w:rPr>
        <w:t xml:space="preserve"> 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2F657ADB"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Dividends are paid out of capital to allow the provision of income to Shareholders of the Distributing Share Classes, in the event of insufficient income being in the Fund for a particular period.</w:t>
      </w:r>
    </w:p>
    <w:p w14:paraId="6326E319"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The Directors reserve the right to increase or decrease the frequency of dividend payments, if any, at their discretion for the Distributing Share Classes. In the event of a change of policy full details will be disclosed in an updated Supplement and Shareholders will be notified in advance. Under the Constitution,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accumulated capital losses of the Fund; or (iii) out of capital.</w:t>
      </w:r>
    </w:p>
    <w:p w14:paraId="65E3111E"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 xml:space="preserve">Dividends will be paid to Shareholders by electronic transfer to the relevant Shareholder’s bank account of record on the initial Application Form in the currency of denomination of the relevant Distributing Share Class at the expense of the payee and within the timeframe outlined above. Where dividends are payable out of net income, the net income available for distribution in respect of the relevant Distributing Share Class will be determined in accordance with the relevant law and generally accepted accounting principles consistently applied. </w:t>
      </w:r>
    </w:p>
    <w:p w14:paraId="5314A056" w14:textId="77777777" w:rsidR="001F0009" w:rsidRPr="001F0009" w:rsidRDefault="001F0009" w:rsidP="001F0009">
      <w:pPr>
        <w:pStyle w:val="Agreement2"/>
        <w:numPr>
          <w:ilvl w:val="0"/>
          <w:numId w:val="0"/>
        </w:numPr>
        <w:spacing w:before="120"/>
        <w:rPr>
          <w:rFonts w:cs="Arial"/>
          <w:sz w:val="20"/>
          <w:szCs w:val="20"/>
          <w:lang w:eastAsia="en-GB"/>
        </w:rPr>
      </w:pPr>
      <w:r w:rsidRPr="001F0009">
        <w:rPr>
          <w:rFonts w:cs="Arial"/>
          <w:sz w:val="20"/>
          <w:szCs w:val="20"/>
          <w:lang w:eastAsia="en-GB"/>
        </w:rPr>
        <w:t>Please also refer to the section in the Prospectus entitled "</w:t>
      </w:r>
      <w:r w:rsidRPr="001F0009">
        <w:rPr>
          <w:rFonts w:cs="Arial"/>
          <w:b/>
          <w:sz w:val="20"/>
          <w:szCs w:val="20"/>
          <w:lang w:eastAsia="en-GB"/>
        </w:rPr>
        <w:t>Dividend Policy</w:t>
      </w:r>
      <w:r w:rsidRPr="001F0009">
        <w:rPr>
          <w:rFonts w:cs="Arial"/>
          <w:sz w:val="20"/>
          <w:szCs w:val="20"/>
          <w:lang w:eastAsia="en-GB"/>
        </w:rPr>
        <w:t>".</w:t>
      </w:r>
    </w:p>
    <w:p w14:paraId="5957E76C"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lastRenderedPageBreak/>
        <w:t>Exchange of Shares</w:t>
      </w:r>
    </w:p>
    <w:p w14:paraId="1C55EE75" w14:textId="77777777" w:rsidR="001F0009" w:rsidRPr="001F0009" w:rsidRDefault="001F0009" w:rsidP="001F0009">
      <w:pPr>
        <w:pStyle w:val="BodyText"/>
        <w:rPr>
          <w:rFonts w:cs="Arial"/>
          <w:sz w:val="20"/>
          <w:szCs w:val="20"/>
        </w:rPr>
      </w:pPr>
      <w:r w:rsidRPr="001F0009">
        <w:rPr>
          <w:rFonts w:cs="Arial"/>
          <w:sz w:val="20"/>
          <w:szCs w:val="20"/>
        </w:rPr>
        <w:t>Shareholders may exchange between similar Classes of Shares in accordance with the provisions set out under the heading "</w:t>
      </w:r>
      <w:r w:rsidRPr="001F0009">
        <w:rPr>
          <w:rFonts w:cs="Arial"/>
          <w:b/>
          <w:sz w:val="20"/>
          <w:szCs w:val="20"/>
        </w:rPr>
        <w:t>Exchange of Shares</w:t>
      </w:r>
      <w:r w:rsidRPr="001F0009">
        <w:rPr>
          <w:rFonts w:cs="Arial"/>
          <w:sz w:val="20"/>
          <w:szCs w:val="20"/>
        </w:rPr>
        <w:t>" in the Prospectus.  The Directors can refuse an application to exchange between Classes of Shares in accordance with the provisions set out under the heading "</w:t>
      </w:r>
      <w:r w:rsidRPr="001F0009">
        <w:rPr>
          <w:rFonts w:cs="Arial"/>
          <w:b/>
          <w:sz w:val="20"/>
          <w:szCs w:val="20"/>
        </w:rPr>
        <w:t>Exchange of Shares</w:t>
      </w:r>
      <w:r w:rsidRPr="001F0009">
        <w:rPr>
          <w:rFonts w:cs="Arial"/>
          <w:sz w:val="20"/>
          <w:szCs w:val="20"/>
        </w:rPr>
        <w:t>".</w:t>
      </w:r>
    </w:p>
    <w:p w14:paraId="27A9B847"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Fees and Expenses</w:t>
      </w:r>
    </w:p>
    <w:p w14:paraId="350F30FE" w14:textId="3A3B5219" w:rsidR="001F0009" w:rsidRDefault="001F0009" w:rsidP="001F0009">
      <w:pPr>
        <w:pStyle w:val="BodyText"/>
        <w:rPr>
          <w:rFonts w:cs="Arial"/>
          <w:sz w:val="20"/>
          <w:szCs w:val="20"/>
        </w:rPr>
      </w:pPr>
      <w:r w:rsidRPr="001F0009">
        <w:rPr>
          <w:rFonts w:cs="Arial"/>
          <w:sz w:val="20"/>
          <w:szCs w:val="20"/>
        </w:rPr>
        <w:t>The following fees and expenses will be incurred by the Company on behalf of the Fund and will affect the Net Asset Value of the relevant Share Class of the Fund.</w:t>
      </w:r>
    </w:p>
    <w:p w14:paraId="10C95F41" w14:textId="77777777" w:rsidR="009935FE" w:rsidRPr="001F0009" w:rsidRDefault="009935FE" w:rsidP="001F0009">
      <w:pPr>
        <w:pStyle w:val="BodyText"/>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36"/>
        <w:gridCol w:w="1333"/>
        <w:gridCol w:w="1628"/>
        <w:gridCol w:w="1342"/>
        <w:gridCol w:w="1538"/>
      </w:tblGrid>
      <w:tr w:rsidR="001F0009" w:rsidRPr="001F0009" w14:paraId="51ADE24C" w14:textId="77777777" w:rsidTr="007A37D2">
        <w:trPr>
          <w:tblHeader/>
        </w:trPr>
        <w:tc>
          <w:tcPr>
            <w:tcW w:w="909" w:type="pct"/>
            <w:shd w:val="clear" w:color="auto" w:fill="auto"/>
          </w:tcPr>
          <w:p w14:paraId="22D758C4" w14:textId="77777777" w:rsidR="001F0009" w:rsidRPr="001F0009" w:rsidRDefault="001F0009" w:rsidP="007A37D2">
            <w:pPr>
              <w:pStyle w:val="BodyText"/>
              <w:jc w:val="center"/>
              <w:rPr>
                <w:rFonts w:cs="Arial"/>
                <w:b/>
                <w:sz w:val="20"/>
                <w:szCs w:val="20"/>
              </w:rPr>
            </w:pPr>
            <w:r w:rsidRPr="001F0009">
              <w:rPr>
                <w:rFonts w:cs="Arial"/>
                <w:b/>
                <w:sz w:val="20"/>
                <w:szCs w:val="20"/>
              </w:rPr>
              <w:t>Class</w:t>
            </w:r>
          </w:p>
        </w:tc>
        <w:tc>
          <w:tcPr>
            <w:tcW w:w="852" w:type="pct"/>
          </w:tcPr>
          <w:p w14:paraId="3A751E89" w14:textId="77777777" w:rsidR="001F0009" w:rsidRPr="001F0009" w:rsidRDefault="001F0009" w:rsidP="007A37D2">
            <w:pPr>
              <w:pStyle w:val="BodyText"/>
              <w:jc w:val="center"/>
              <w:rPr>
                <w:rFonts w:cs="Arial"/>
                <w:b/>
                <w:sz w:val="20"/>
                <w:szCs w:val="20"/>
              </w:rPr>
            </w:pPr>
            <w:r w:rsidRPr="001F0009">
              <w:rPr>
                <w:rFonts w:cs="Arial"/>
                <w:b/>
                <w:sz w:val="20"/>
                <w:szCs w:val="20"/>
              </w:rPr>
              <w:t>Investment Management Fee</w:t>
            </w:r>
          </w:p>
        </w:tc>
        <w:tc>
          <w:tcPr>
            <w:tcW w:w="739" w:type="pct"/>
            <w:shd w:val="clear" w:color="auto" w:fill="auto"/>
          </w:tcPr>
          <w:p w14:paraId="3A21449D" w14:textId="77777777" w:rsidR="001F0009" w:rsidRPr="001F0009" w:rsidRDefault="001F0009" w:rsidP="007A37D2">
            <w:pPr>
              <w:pStyle w:val="BodyText"/>
              <w:jc w:val="center"/>
              <w:rPr>
                <w:rFonts w:cs="Arial"/>
                <w:b/>
                <w:sz w:val="20"/>
                <w:szCs w:val="20"/>
              </w:rPr>
            </w:pPr>
            <w:r w:rsidRPr="001F0009">
              <w:rPr>
                <w:rFonts w:cs="Arial"/>
                <w:b/>
                <w:sz w:val="20"/>
                <w:szCs w:val="20"/>
              </w:rPr>
              <w:t>Distributor Fee</w:t>
            </w:r>
          </w:p>
        </w:tc>
        <w:tc>
          <w:tcPr>
            <w:tcW w:w="903" w:type="pct"/>
          </w:tcPr>
          <w:p w14:paraId="29520285" w14:textId="77777777" w:rsidR="001F0009" w:rsidRPr="001F0009" w:rsidRDefault="001F0009" w:rsidP="007A37D2">
            <w:pPr>
              <w:spacing w:before="120"/>
              <w:jc w:val="center"/>
              <w:rPr>
                <w:rFonts w:cs="Arial"/>
                <w:b/>
                <w:sz w:val="20"/>
                <w:szCs w:val="20"/>
              </w:rPr>
            </w:pPr>
            <w:r w:rsidRPr="001F0009">
              <w:rPr>
                <w:rFonts w:cs="Arial"/>
                <w:b/>
                <w:sz w:val="20"/>
                <w:szCs w:val="20"/>
              </w:rPr>
              <w:t>Administrator Fee</w:t>
            </w:r>
          </w:p>
        </w:tc>
        <w:tc>
          <w:tcPr>
            <w:tcW w:w="744" w:type="pct"/>
          </w:tcPr>
          <w:p w14:paraId="4A3766BB" w14:textId="77777777" w:rsidR="001F0009" w:rsidRPr="001F0009" w:rsidRDefault="001F0009" w:rsidP="007A37D2">
            <w:pPr>
              <w:pStyle w:val="BodyText"/>
              <w:jc w:val="center"/>
              <w:rPr>
                <w:rFonts w:cs="Arial"/>
                <w:b/>
                <w:sz w:val="20"/>
                <w:szCs w:val="20"/>
              </w:rPr>
            </w:pPr>
            <w:r w:rsidRPr="001F0009">
              <w:rPr>
                <w:rFonts w:cs="Arial"/>
                <w:b/>
                <w:sz w:val="20"/>
                <w:szCs w:val="20"/>
              </w:rPr>
              <w:t>Depositary Fee</w:t>
            </w:r>
          </w:p>
        </w:tc>
        <w:tc>
          <w:tcPr>
            <w:tcW w:w="853" w:type="pct"/>
          </w:tcPr>
          <w:p w14:paraId="4A6CF989" w14:textId="77777777" w:rsidR="001F0009" w:rsidRPr="001F0009" w:rsidRDefault="001F0009" w:rsidP="007A37D2">
            <w:pPr>
              <w:pStyle w:val="BodyText"/>
              <w:jc w:val="center"/>
              <w:rPr>
                <w:rFonts w:cs="Arial"/>
                <w:b/>
                <w:sz w:val="20"/>
                <w:szCs w:val="20"/>
              </w:rPr>
            </w:pPr>
            <w:r w:rsidRPr="001F0009">
              <w:rPr>
                <w:rFonts w:cs="Arial"/>
                <w:b/>
                <w:sz w:val="20"/>
                <w:szCs w:val="20"/>
              </w:rPr>
              <w:t>Performance Fee</w:t>
            </w:r>
          </w:p>
        </w:tc>
      </w:tr>
      <w:tr w:rsidR="001F0009" w:rsidRPr="001F0009" w14:paraId="11B23062" w14:textId="77777777" w:rsidTr="007A37D2">
        <w:trPr>
          <w:trHeight w:val="350"/>
        </w:trPr>
        <w:tc>
          <w:tcPr>
            <w:tcW w:w="909" w:type="pct"/>
            <w:vMerge w:val="restart"/>
            <w:shd w:val="clear" w:color="auto" w:fill="auto"/>
          </w:tcPr>
          <w:p w14:paraId="16CF5C2C" w14:textId="77777777" w:rsidR="001F0009" w:rsidRPr="001F0009" w:rsidRDefault="001F0009" w:rsidP="007A37D2">
            <w:pPr>
              <w:pStyle w:val="BodyText"/>
              <w:rPr>
                <w:rFonts w:cs="Arial"/>
                <w:b/>
                <w:sz w:val="20"/>
                <w:szCs w:val="20"/>
              </w:rPr>
            </w:pPr>
            <w:r w:rsidRPr="001F0009">
              <w:rPr>
                <w:rFonts w:cs="Arial"/>
                <w:b/>
                <w:sz w:val="20"/>
                <w:szCs w:val="20"/>
              </w:rPr>
              <w:t>A Accumulating</w:t>
            </w:r>
          </w:p>
        </w:tc>
        <w:tc>
          <w:tcPr>
            <w:tcW w:w="852" w:type="pct"/>
            <w:vMerge w:val="restart"/>
          </w:tcPr>
          <w:p w14:paraId="2C0FC04E" w14:textId="77777777" w:rsidR="001F0009" w:rsidRPr="001F0009" w:rsidRDefault="001F0009" w:rsidP="007A37D2">
            <w:pPr>
              <w:spacing w:before="120"/>
              <w:rPr>
                <w:rFonts w:cs="Arial"/>
                <w:sz w:val="20"/>
                <w:szCs w:val="20"/>
              </w:rPr>
            </w:pPr>
            <w:r w:rsidRPr="001F0009">
              <w:rPr>
                <w:rFonts w:cs="Arial"/>
                <w:sz w:val="20"/>
                <w:szCs w:val="20"/>
              </w:rPr>
              <w:t>0.3%</w:t>
            </w:r>
          </w:p>
        </w:tc>
        <w:tc>
          <w:tcPr>
            <w:tcW w:w="739" w:type="pct"/>
            <w:vMerge w:val="restart"/>
            <w:shd w:val="clear" w:color="auto" w:fill="auto"/>
          </w:tcPr>
          <w:p w14:paraId="73512C47"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0C1C85A0" w14:textId="673E7D20"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3D3EF8E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33DFB572"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2840B619"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596B532" w14:textId="77777777" w:rsidR="001F0009" w:rsidRPr="001F0009" w:rsidRDefault="001F0009" w:rsidP="007A37D2">
            <w:pPr>
              <w:pStyle w:val="BodyText"/>
              <w:spacing w:line="360" w:lineRule="auto"/>
              <w:rPr>
                <w:rFonts w:cs="Arial"/>
                <w:sz w:val="20"/>
                <w:szCs w:val="20"/>
              </w:rPr>
            </w:pPr>
            <w:r w:rsidRPr="001F0009">
              <w:rPr>
                <w:rFonts w:cs="Arial"/>
                <w:sz w:val="20"/>
                <w:szCs w:val="20"/>
              </w:rPr>
              <w:t>0%</w:t>
            </w:r>
          </w:p>
        </w:tc>
      </w:tr>
      <w:tr w:rsidR="001F0009" w:rsidRPr="001F0009" w14:paraId="6E7F2103" w14:textId="77777777" w:rsidTr="007A37D2">
        <w:trPr>
          <w:trHeight w:val="470"/>
        </w:trPr>
        <w:tc>
          <w:tcPr>
            <w:tcW w:w="909" w:type="pct"/>
            <w:vMerge/>
            <w:shd w:val="clear" w:color="auto" w:fill="auto"/>
          </w:tcPr>
          <w:p w14:paraId="7BF6E4AF" w14:textId="77777777" w:rsidR="001F0009" w:rsidRPr="001F0009" w:rsidRDefault="001F0009" w:rsidP="007A37D2">
            <w:pPr>
              <w:pStyle w:val="BodyText"/>
              <w:rPr>
                <w:rFonts w:cs="Arial"/>
                <w:b/>
                <w:sz w:val="20"/>
                <w:szCs w:val="20"/>
              </w:rPr>
            </w:pPr>
          </w:p>
        </w:tc>
        <w:tc>
          <w:tcPr>
            <w:tcW w:w="852" w:type="pct"/>
            <w:vMerge/>
          </w:tcPr>
          <w:p w14:paraId="49AFF98C" w14:textId="77777777" w:rsidR="001F0009" w:rsidRPr="001F0009" w:rsidRDefault="001F0009" w:rsidP="007A37D2">
            <w:pPr>
              <w:spacing w:before="120"/>
              <w:rPr>
                <w:rFonts w:cs="Arial"/>
                <w:sz w:val="20"/>
                <w:szCs w:val="20"/>
              </w:rPr>
            </w:pPr>
          </w:p>
        </w:tc>
        <w:tc>
          <w:tcPr>
            <w:tcW w:w="739" w:type="pct"/>
            <w:vMerge/>
            <w:shd w:val="clear" w:color="auto" w:fill="auto"/>
          </w:tcPr>
          <w:p w14:paraId="7F053FF4" w14:textId="77777777" w:rsidR="001F0009" w:rsidRPr="001F0009" w:rsidRDefault="001F0009" w:rsidP="007A37D2">
            <w:pPr>
              <w:spacing w:before="120"/>
              <w:rPr>
                <w:rFonts w:cs="Arial"/>
                <w:sz w:val="20"/>
                <w:szCs w:val="20"/>
              </w:rPr>
            </w:pPr>
          </w:p>
        </w:tc>
        <w:tc>
          <w:tcPr>
            <w:tcW w:w="903" w:type="pct"/>
            <w:vMerge/>
          </w:tcPr>
          <w:p w14:paraId="07737A84" w14:textId="77777777" w:rsidR="001F0009" w:rsidRPr="001F0009" w:rsidRDefault="001F0009" w:rsidP="007A37D2">
            <w:pPr>
              <w:spacing w:before="120"/>
              <w:rPr>
                <w:rFonts w:cs="Arial"/>
                <w:sz w:val="20"/>
                <w:szCs w:val="20"/>
                <w:lang w:val="en-GB" w:eastAsia="en-GB"/>
              </w:rPr>
            </w:pPr>
          </w:p>
        </w:tc>
        <w:tc>
          <w:tcPr>
            <w:tcW w:w="744" w:type="pct"/>
            <w:vMerge/>
          </w:tcPr>
          <w:p w14:paraId="742FCBA1" w14:textId="77777777" w:rsidR="001F0009" w:rsidRPr="001F0009" w:rsidRDefault="001F0009" w:rsidP="007A37D2">
            <w:pPr>
              <w:spacing w:before="120"/>
              <w:rPr>
                <w:rFonts w:cs="Arial"/>
                <w:sz w:val="20"/>
                <w:szCs w:val="20"/>
                <w:lang w:val="en-GB" w:eastAsia="en-GB"/>
              </w:rPr>
            </w:pPr>
          </w:p>
        </w:tc>
        <w:tc>
          <w:tcPr>
            <w:tcW w:w="853" w:type="pct"/>
            <w:vMerge/>
          </w:tcPr>
          <w:p w14:paraId="68A3C9BC" w14:textId="77777777" w:rsidR="001F0009" w:rsidRPr="001F0009" w:rsidRDefault="001F0009" w:rsidP="007A37D2">
            <w:pPr>
              <w:pStyle w:val="BodyText"/>
              <w:spacing w:line="360" w:lineRule="auto"/>
              <w:rPr>
                <w:rFonts w:cs="Arial"/>
                <w:sz w:val="20"/>
                <w:szCs w:val="20"/>
              </w:rPr>
            </w:pPr>
          </w:p>
        </w:tc>
      </w:tr>
      <w:tr w:rsidR="001F0009" w:rsidRPr="001F0009" w14:paraId="79F9A7A2" w14:textId="77777777" w:rsidTr="007A37D2">
        <w:trPr>
          <w:trHeight w:val="470"/>
        </w:trPr>
        <w:tc>
          <w:tcPr>
            <w:tcW w:w="909" w:type="pct"/>
            <w:vMerge/>
            <w:shd w:val="clear" w:color="auto" w:fill="auto"/>
          </w:tcPr>
          <w:p w14:paraId="1E2269A0" w14:textId="77777777" w:rsidR="001F0009" w:rsidRPr="001F0009" w:rsidRDefault="001F0009" w:rsidP="007A37D2">
            <w:pPr>
              <w:pStyle w:val="BodyText"/>
              <w:rPr>
                <w:rFonts w:cs="Arial"/>
                <w:b/>
                <w:sz w:val="20"/>
                <w:szCs w:val="20"/>
              </w:rPr>
            </w:pPr>
          </w:p>
        </w:tc>
        <w:tc>
          <w:tcPr>
            <w:tcW w:w="852" w:type="pct"/>
            <w:vMerge/>
          </w:tcPr>
          <w:p w14:paraId="293AEA94" w14:textId="77777777" w:rsidR="001F0009" w:rsidRPr="001F0009" w:rsidRDefault="001F0009" w:rsidP="007A37D2">
            <w:pPr>
              <w:spacing w:before="120"/>
              <w:rPr>
                <w:rFonts w:cs="Arial"/>
                <w:sz w:val="20"/>
                <w:szCs w:val="20"/>
              </w:rPr>
            </w:pPr>
          </w:p>
        </w:tc>
        <w:tc>
          <w:tcPr>
            <w:tcW w:w="739" w:type="pct"/>
            <w:vMerge/>
            <w:shd w:val="clear" w:color="auto" w:fill="auto"/>
          </w:tcPr>
          <w:p w14:paraId="5446063B" w14:textId="77777777" w:rsidR="001F0009" w:rsidRPr="001F0009" w:rsidRDefault="001F0009" w:rsidP="007A37D2">
            <w:pPr>
              <w:spacing w:before="120"/>
              <w:rPr>
                <w:rFonts w:cs="Arial"/>
                <w:sz w:val="20"/>
                <w:szCs w:val="20"/>
              </w:rPr>
            </w:pPr>
          </w:p>
        </w:tc>
        <w:tc>
          <w:tcPr>
            <w:tcW w:w="903" w:type="pct"/>
            <w:vMerge/>
          </w:tcPr>
          <w:p w14:paraId="1D69F6CD" w14:textId="77777777" w:rsidR="001F0009" w:rsidRPr="001F0009" w:rsidRDefault="001F0009" w:rsidP="007A37D2">
            <w:pPr>
              <w:spacing w:before="120"/>
              <w:rPr>
                <w:rFonts w:cs="Arial"/>
                <w:sz w:val="20"/>
                <w:szCs w:val="20"/>
                <w:lang w:val="en-GB" w:eastAsia="en-GB"/>
              </w:rPr>
            </w:pPr>
          </w:p>
        </w:tc>
        <w:tc>
          <w:tcPr>
            <w:tcW w:w="744" w:type="pct"/>
            <w:vMerge/>
          </w:tcPr>
          <w:p w14:paraId="052DE97F" w14:textId="77777777" w:rsidR="001F0009" w:rsidRPr="001F0009" w:rsidRDefault="001F0009" w:rsidP="007A37D2">
            <w:pPr>
              <w:spacing w:before="120"/>
              <w:rPr>
                <w:rFonts w:cs="Arial"/>
                <w:sz w:val="20"/>
                <w:szCs w:val="20"/>
                <w:lang w:val="en-GB" w:eastAsia="en-GB"/>
              </w:rPr>
            </w:pPr>
          </w:p>
        </w:tc>
        <w:tc>
          <w:tcPr>
            <w:tcW w:w="853" w:type="pct"/>
            <w:vMerge/>
          </w:tcPr>
          <w:p w14:paraId="4D636A81" w14:textId="77777777" w:rsidR="001F0009" w:rsidRPr="001F0009" w:rsidRDefault="001F0009" w:rsidP="007A37D2">
            <w:pPr>
              <w:pStyle w:val="BodyText"/>
              <w:spacing w:line="360" w:lineRule="auto"/>
              <w:rPr>
                <w:rFonts w:cs="Arial"/>
                <w:sz w:val="20"/>
                <w:szCs w:val="20"/>
              </w:rPr>
            </w:pPr>
          </w:p>
        </w:tc>
      </w:tr>
      <w:tr w:rsidR="001F0009" w:rsidRPr="001F0009" w14:paraId="03F14420" w14:textId="77777777" w:rsidTr="007A37D2">
        <w:trPr>
          <w:trHeight w:val="350"/>
        </w:trPr>
        <w:tc>
          <w:tcPr>
            <w:tcW w:w="909" w:type="pct"/>
            <w:vMerge w:val="restart"/>
            <w:shd w:val="clear" w:color="auto" w:fill="auto"/>
          </w:tcPr>
          <w:p w14:paraId="79A0EAB5" w14:textId="77777777" w:rsidR="001F0009" w:rsidRPr="001F0009" w:rsidRDefault="001F0009" w:rsidP="007A37D2">
            <w:pPr>
              <w:pStyle w:val="BodyText"/>
              <w:rPr>
                <w:rFonts w:cs="Arial"/>
                <w:b/>
                <w:sz w:val="20"/>
                <w:szCs w:val="20"/>
              </w:rPr>
            </w:pPr>
            <w:r w:rsidRPr="001F0009">
              <w:rPr>
                <w:rFonts w:cs="Arial"/>
                <w:b/>
                <w:sz w:val="20"/>
                <w:szCs w:val="20"/>
              </w:rPr>
              <w:t>A Distributing</w:t>
            </w:r>
          </w:p>
        </w:tc>
        <w:tc>
          <w:tcPr>
            <w:tcW w:w="852" w:type="pct"/>
            <w:vMerge w:val="restart"/>
          </w:tcPr>
          <w:p w14:paraId="2D592182" w14:textId="77777777" w:rsidR="001F0009" w:rsidRPr="001F0009" w:rsidRDefault="001F0009" w:rsidP="007A37D2">
            <w:pPr>
              <w:spacing w:before="120"/>
              <w:rPr>
                <w:rFonts w:cs="Arial"/>
                <w:sz w:val="20"/>
                <w:szCs w:val="20"/>
              </w:rPr>
            </w:pPr>
            <w:r w:rsidRPr="001F0009">
              <w:rPr>
                <w:rFonts w:cs="Arial"/>
                <w:sz w:val="20"/>
                <w:szCs w:val="20"/>
              </w:rPr>
              <w:t>0.3%</w:t>
            </w:r>
          </w:p>
        </w:tc>
        <w:tc>
          <w:tcPr>
            <w:tcW w:w="739" w:type="pct"/>
            <w:vMerge w:val="restart"/>
            <w:shd w:val="clear" w:color="auto" w:fill="auto"/>
          </w:tcPr>
          <w:p w14:paraId="4F674687"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48097BC3" w14:textId="05E88B30"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2EDDD61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F69DEB6"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6B9196C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4B512B27"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093341CD" w14:textId="77777777" w:rsidTr="007A37D2">
        <w:trPr>
          <w:trHeight w:val="470"/>
        </w:trPr>
        <w:tc>
          <w:tcPr>
            <w:tcW w:w="909" w:type="pct"/>
            <w:vMerge/>
            <w:shd w:val="clear" w:color="auto" w:fill="auto"/>
          </w:tcPr>
          <w:p w14:paraId="59CF21A4" w14:textId="77777777" w:rsidR="001F0009" w:rsidRPr="001F0009" w:rsidRDefault="001F0009" w:rsidP="007A37D2">
            <w:pPr>
              <w:pStyle w:val="BodyText"/>
              <w:rPr>
                <w:rFonts w:cs="Arial"/>
                <w:b/>
                <w:sz w:val="20"/>
                <w:szCs w:val="20"/>
              </w:rPr>
            </w:pPr>
          </w:p>
        </w:tc>
        <w:tc>
          <w:tcPr>
            <w:tcW w:w="852" w:type="pct"/>
            <w:vMerge/>
          </w:tcPr>
          <w:p w14:paraId="7A4A7C3F" w14:textId="77777777" w:rsidR="001F0009" w:rsidRPr="001F0009" w:rsidRDefault="001F0009" w:rsidP="007A37D2">
            <w:pPr>
              <w:spacing w:before="120"/>
              <w:rPr>
                <w:rFonts w:cs="Arial"/>
                <w:sz w:val="20"/>
                <w:szCs w:val="20"/>
              </w:rPr>
            </w:pPr>
          </w:p>
        </w:tc>
        <w:tc>
          <w:tcPr>
            <w:tcW w:w="739" w:type="pct"/>
            <w:vMerge/>
            <w:shd w:val="clear" w:color="auto" w:fill="auto"/>
          </w:tcPr>
          <w:p w14:paraId="168D7DC4" w14:textId="77777777" w:rsidR="001F0009" w:rsidRPr="001F0009" w:rsidRDefault="001F0009" w:rsidP="007A37D2">
            <w:pPr>
              <w:spacing w:before="120"/>
              <w:rPr>
                <w:rFonts w:cs="Arial"/>
                <w:sz w:val="20"/>
                <w:szCs w:val="20"/>
              </w:rPr>
            </w:pPr>
          </w:p>
        </w:tc>
        <w:tc>
          <w:tcPr>
            <w:tcW w:w="903" w:type="pct"/>
            <w:vMerge/>
          </w:tcPr>
          <w:p w14:paraId="4D1E8BDD" w14:textId="77777777" w:rsidR="001F0009" w:rsidRPr="001F0009" w:rsidRDefault="001F0009" w:rsidP="007A37D2">
            <w:pPr>
              <w:spacing w:before="120"/>
              <w:rPr>
                <w:rFonts w:cs="Arial"/>
                <w:sz w:val="20"/>
                <w:szCs w:val="20"/>
                <w:lang w:val="en-GB" w:eastAsia="en-GB"/>
              </w:rPr>
            </w:pPr>
          </w:p>
        </w:tc>
        <w:tc>
          <w:tcPr>
            <w:tcW w:w="744" w:type="pct"/>
            <w:vMerge/>
          </w:tcPr>
          <w:p w14:paraId="27E877F3" w14:textId="77777777" w:rsidR="001F0009" w:rsidRPr="001F0009" w:rsidRDefault="001F0009" w:rsidP="007A37D2">
            <w:pPr>
              <w:spacing w:before="120"/>
              <w:rPr>
                <w:rFonts w:cs="Arial"/>
                <w:sz w:val="20"/>
                <w:szCs w:val="20"/>
                <w:lang w:val="en-GB" w:eastAsia="en-GB"/>
              </w:rPr>
            </w:pPr>
          </w:p>
        </w:tc>
        <w:tc>
          <w:tcPr>
            <w:tcW w:w="853" w:type="pct"/>
            <w:vMerge/>
          </w:tcPr>
          <w:p w14:paraId="1C4E76E0" w14:textId="77777777" w:rsidR="001F0009" w:rsidRPr="001F0009" w:rsidRDefault="001F0009" w:rsidP="007A37D2">
            <w:pPr>
              <w:spacing w:before="120"/>
              <w:rPr>
                <w:rFonts w:cs="Arial"/>
                <w:sz w:val="20"/>
                <w:szCs w:val="20"/>
              </w:rPr>
            </w:pPr>
          </w:p>
        </w:tc>
      </w:tr>
      <w:tr w:rsidR="001F0009" w:rsidRPr="001F0009" w14:paraId="557998BB" w14:textId="77777777" w:rsidTr="007A37D2">
        <w:trPr>
          <w:trHeight w:val="470"/>
        </w:trPr>
        <w:tc>
          <w:tcPr>
            <w:tcW w:w="909" w:type="pct"/>
            <w:vMerge/>
            <w:shd w:val="clear" w:color="auto" w:fill="auto"/>
          </w:tcPr>
          <w:p w14:paraId="0E700175" w14:textId="77777777" w:rsidR="001F0009" w:rsidRPr="001F0009" w:rsidRDefault="001F0009" w:rsidP="007A37D2">
            <w:pPr>
              <w:pStyle w:val="BodyText"/>
              <w:rPr>
                <w:rFonts w:cs="Arial"/>
                <w:b/>
                <w:sz w:val="20"/>
                <w:szCs w:val="20"/>
              </w:rPr>
            </w:pPr>
          </w:p>
        </w:tc>
        <w:tc>
          <w:tcPr>
            <w:tcW w:w="852" w:type="pct"/>
            <w:vMerge/>
          </w:tcPr>
          <w:p w14:paraId="79F4B0E1" w14:textId="77777777" w:rsidR="001F0009" w:rsidRPr="001F0009" w:rsidRDefault="001F0009" w:rsidP="007A37D2">
            <w:pPr>
              <w:spacing w:before="120"/>
              <w:rPr>
                <w:rFonts w:cs="Arial"/>
                <w:sz w:val="20"/>
                <w:szCs w:val="20"/>
              </w:rPr>
            </w:pPr>
          </w:p>
        </w:tc>
        <w:tc>
          <w:tcPr>
            <w:tcW w:w="739" w:type="pct"/>
            <w:vMerge/>
            <w:shd w:val="clear" w:color="auto" w:fill="auto"/>
          </w:tcPr>
          <w:p w14:paraId="3B329D9A" w14:textId="77777777" w:rsidR="001F0009" w:rsidRPr="001F0009" w:rsidRDefault="001F0009" w:rsidP="007A37D2">
            <w:pPr>
              <w:spacing w:before="120"/>
              <w:rPr>
                <w:rFonts w:cs="Arial"/>
                <w:sz w:val="20"/>
                <w:szCs w:val="20"/>
              </w:rPr>
            </w:pPr>
          </w:p>
        </w:tc>
        <w:tc>
          <w:tcPr>
            <w:tcW w:w="903" w:type="pct"/>
            <w:vMerge/>
          </w:tcPr>
          <w:p w14:paraId="1FD4EC26" w14:textId="77777777" w:rsidR="001F0009" w:rsidRPr="001F0009" w:rsidRDefault="001F0009" w:rsidP="007A37D2">
            <w:pPr>
              <w:spacing w:before="120"/>
              <w:rPr>
                <w:rFonts w:cs="Arial"/>
                <w:sz w:val="20"/>
                <w:szCs w:val="20"/>
                <w:lang w:val="en-GB" w:eastAsia="en-GB"/>
              </w:rPr>
            </w:pPr>
          </w:p>
        </w:tc>
        <w:tc>
          <w:tcPr>
            <w:tcW w:w="744" w:type="pct"/>
            <w:vMerge/>
          </w:tcPr>
          <w:p w14:paraId="4674210E" w14:textId="77777777" w:rsidR="001F0009" w:rsidRPr="001F0009" w:rsidRDefault="001F0009" w:rsidP="007A37D2">
            <w:pPr>
              <w:spacing w:before="120"/>
              <w:rPr>
                <w:rFonts w:cs="Arial"/>
                <w:sz w:val="20"/>
                <w:szCs w:val="20"/>
                <w:lang w:val="en-GB" w:eastAsia="en-GB"/>
              </w:rPr>
            </w:pPr>
          </w:p>
        </w:tc>
        <w:tc>
          <w:tcPr>
            <w:tcW w:w="853" w:type="pct"/>
            <w:vMerge/>
          </w:tcPr>
          <w:p w14:paraId="7024F937" w14:textId="77777777" w:rsidR="001F0009" w:rsidRPr="001F0009" w:rsidRDefault="001F0009" w:rsidP="007A37D2">
            <w:pPr>
              <w:spacing w:before="120"/>
              <w:rPr>
                <w:rFonts w:cs="Arial"/>
                <w:sz w:val="20"/>
                <w:szCs w:val="20"/>
              </w:rPr>
            </w:pPr>
          </w:p>
        </w:tc>
      </w:tr>
      <w:tr w:rsidR="001F0009" w:rsidRPr="001F0009" w14:paraId="78D89266" w14:textId="77777777" w:rsidTr="007A37D2">
        <w:trPr>
          <w:trHeight w:val="350"/>
        </w:trPr>
        <w:tc>
          <w:tcPr>
            <w:tcW w:w="909" w:type="pct"/>
            <w:vMerge w:val="restart"/>
            <w:shd w:val="clear" w:color="auto" w:fill="auto"/>
          </w:tcPr>
          <w:p w14:paraId="34E5318D" w14:textId="77777777" w:rsidR="001F0009" w:rsidRPr="001F0009" w:rsidRDefault="001F0009" w:rsidP="007A37D2">
            <w:pPr>
              <w:pStyle w:val="BodyText"/>
              <w:rPr>
                <w:rFonts w:cs="Arial"/>
                <w:b/>
                <w:sz w:val="20"/>
                <w:szCs w:val="20"/>
              </w:rPr>
            </w:pPr>
            <w:r w:rsidRPr="001F0009">
              <w:rPr>
                <w:rFonts w:cs="Arial"/>
                <w:b/>
                <w:sz w:val="20"/>
                <w:szCs w:val="20"/>
              </w:rPr>
              <w:t>B Accumulating</w:t>
            </w:r>
          </w:p>
        </w:tc>
        <w:tc>
          <w:tcPr>
            <w:tcW w:w="852" w:type="pct"/>
            <w:vMerge w:val="restart"/>
          </w:tcPr>
          <w:p w14:paraId="57AAAC1D" w14:textId="77777777" w:rsidR="001F0009" w:rsidRPr="001F0009" w:rsidRDefault="001F0009" w:rsidP="007A37D2">
            <w:pPr>
              <w:spacing w:before="120"/>
              <w:rPr>
                <w:rFonts w:cs="Arial"/>
                <w:sz w:val="20"/>
                <w:szCs w:val="20"/>
              </w:rPr>
            </w:pPr>
            <w:r w:rsidRPr="001F0009">
              <w:rPr>
                <w:rFonts w:cs="Arial"/>
                <w:sz w:val="20"/>
                <w:szCs w:val="20"/>
              </w:rPr>
              <w:t>0.30%</w:t>
            </w:r>
          </w:p>
        </w:tc>
        <w:tc>
          <w:tcPr>
            <w:tcW w:w="739" w:type="pct"/>
            <w:vMerge w:val="restart"/>
            <w:shd w:val="clear" w:color="auto" w:fill="auto"/>
          </w:tcPr>
          <w:p w14:paraId="4999AFB9"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7F72839" w14:textId="6E0567B3"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FCEC84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4AE6472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7F436FB6"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9219832"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34666FEB" w14:textId="77777777" w:rsidTr="007A37D2">
        <w:trPr>
          <w:trHeight w:val="470"/>
        </w:trPr>
        <w:tc>
          <w:tcPr>
            <w:tcW w:w="909" w:type="pct"/>
            <w:vMerge/>
            <w:shd w:val="clear" w:color="auto" w:fill="auto"/>
          </w:tcPr>
          <w:p w14:paraId="277543E6" w14:textId="77777777" w:rsidR="001F0009" w:rsidRPr="001F0009" w:rsidRDefault="001F0009" w:rsidP="007A37D2">
            <w:pPr>
              <w:pStyle w:val="BodyText"/>
              <w:rPr>
                <w:rFonts w:cs="Arial"/>
                <w:b/>
                <w:sz w:val="20"/>
                <w:szCs w:val="20"/>
              </w:rPr>
            </w:pPr>
          </w:p>
        </w:tc>
        <w:tc>
          <w:tcPr>
            <w:tcW w:w="852" w:type="pct"/>
            <w:vMerge/>
          </w:tcPr>
          <w:p w14:paraId="58BA974F" w14:textId="77777777" w:rsidR="001F0009" w:rsidRPr="001F0009" w:rsidRDefault="001F0009" w:rsidP="007A37D2">
            <w:pPr>
              <w:spacing w:before="120"/>
              <w:rPr>
                <w:rFonts w:cs="Arial"/>
                <w:sz w:val="20"/>
                <w:szCs w:val="20"/>
              </w:rPr>
            </w:pPr>
          </w:p>
        </w:tc>
        <w:tc>
          <w:tcPr>
            <w:tcW w:w="739" w:type="pct"/>
            <w:vMerge/>
            <w:shd w:val="clear" w:color="auto" w:fill="auto"/>
          </w:tcPr>
          <w:p w14:paraId="094B99DA" w14:textId="77777777" w:rsidR="001F0009" w:rsidRPr="001F0009" w:rsidRDefault="001F0009" w:rsidP="007A37D2">
            <w:pPr>
              <w:spacing w:before="120"/>
              <w:rPr>
                <w:rFonts w:cs="Arial"/>
                <w:sz w:val="20"/>
                <w:szCs w:val="20"/>
              </w:rPr>
            </w:pPr>
          </w:p>
        </w:tc>
        <w:tc>
          <w:tcPr>
            <w:tcW w:w="903" w:type="pct"/>
            <w:vMerge/>
          </w:tcPr>
          <w:p w14:paraId="345A061B" w14:textId="77777777" w:rsidR="001F0009" w:rsidRPr="001F0009" w:rsidRDefault="001F0009" w:rsidP="007A37D2">
            <w:pPr>
              <w:spacing w:before="120"/>
              <w:rPr>
                <w:rFonts w:cs="Arial"/>
                <w:sz w:val="20"/>
                <w:szCs w:val="20"/>
                <w:lang w:val="en-GB" w:eastAsia="en-GB"/>
              </w:rPr>
            </w:pPr>
          </w:p>
        </w:tc>
        <w:tc>
          <w:tcPr>
            <w:tcW w:w="744" w:type="pct"/>
            <w:vMerge/>
          </w:tcPr>
          <w:p w14:paraId="7CA8FF57" w14:textId="77777777" w:rsidR="001F0009" w:rsidRPr="001F0009" w:rsidRDefault="001F0009" w:rsidP="007A37D2">
            <w:pPr>
              <w:spacing w:before="120"/>
              <w:rPr>
                <w:rFonts w:cs="Arial"/>
                <w:sz w:val="20"/>
                <w:szCs w:val="20"/>
                <w:lang w:val="en-GB" w:eastAsia="en-GB"/>
              </w:rPr>
            </w:pPr>
          </w:p>
        </w:tc>
        <w:tc>
          <w:tcPr>
            <w:tcW w:w="853" w:type="pct"/>
            <w:vMerge/>
          </w:tcPr>
          <w:p w14:paraId="7A589C05" w14:textId="77777777" w:rsidR="001F0009" w:rsidRPr="001F0009" w:rsidRDefault="001F0009" w:rsidP="007A37D2">
            <w:pPr>
              <w:spacing w:before="120"/>
              <w:rPr>
                <w:rFonts w:cs="Arial"/>
                <w:sz w:val="20"/>
                <w:szCs w:val="20"/>
              </w:rPr>
            </w:pPr>
          </w:p>
        </w:tc>
      </w:tr>
      <w:tr w:rsidR="001F0009" w:rsidRPr="001F0009" w14:paraId="4B7354D8" w14:textId="77777777" w:rsidTr="007A37D2">
        <w:trPr>
          <w:trHeight w:val="470"/>
        </w:trPr>
        <w:tc>
          <w:tcPr>
            <w:tcW w:w="909" w:type="pct"/>
            <w:vMerge/>
            <w:shd w:val="clear" w:color="auto" w:fill="auto"/>
          </w:tcPr>
          <w:p w14:paraId="58E046D6" w14:textId="77777777" w:rsidR="001F0009" w:rsidRPr="001F0009" w:rsidRDefault="001F0009" w:rsidP="007A37D2">
            <w:pPr>
              <w:pStyle w:val="BodyText"/>
              <w:rPr>
                <w:rFonts w:cs="Arial"/>
                <w:b/>
                <w:sz w:val="20"/>
                <w:szCs w:val="20"/>
              </w:rPr>
            </w:pPr>
          </w:p>
        </w:tc>
        <w:tc>
          <w:tcPr>
            <w:tcW w:w="852" w:type="pct"/>
            <w:vMerge/>
          </w:tcPr>
          <w:p w14:paraId="2F0A6FFC" w14:textId="77777777" w:rsidR="001F0009" w:rsidRPr="001F0009" w:rsidRDefault="001F0009" w:rsidP="007A37D2">
            <w:pPr>
              <w:spacing w:before="120"/>
              <w:rPr>
                <w:rFonts w:cs="Arial"/>
                <w:sz w:val="20"/>
                <w:szCs w:val="20"/>
              </w:rPr>
            </w:pPr>
          </w:p>
        </w:tc>
        <w:tc>
          <w:tcPr>
            <w:tcW w:w="739" w:type="pct"/>
            <w:vMerge/>
            <w:shd w:val="clear" w:color="auto" w:fill="auto"/>
          </w:tcPr>
          <w:p w14:paraId="3E76F422" w14:textId="77777777" w:rsidR="001F0009" w:rsidRPr="001F0009" w:rsidRDefault="001F0009" w:rsidP="007A37D2">
            <w:pPr>
              <w:spacing w:before="120"/>
              <w:rPr>
                <w:rFonts w:cs="Arial"/>
                <w:sz w:val="20"/>
                <w:szCs w:val="20"/>
              </w:rPr>
            </w:pPr>
          </w:p>
        </w:tc>
        <w:tc>
          <w:tcPr>
            <w:tcW w:w="903" w:type="pct"/>
            <w:vMerge/>
          </w:tcPr>
          <w:p w14:paraId="7480912B" w14:textId="77777777" w:rsidR="001F0009" w:rsidRPr="001F0009" w:rsidRDefault="001F0009" w:rsidP="007A37D2">
            <w:pPr>
              <w:spacing w:before="120"/>
              <w:rPr>
                <w:rFonts w:cs="Arial"/>
                <w:sz w:val="20"/>
                <w:szCs w:val="20"/>
                <w:lang w:val="en-GB" w:eastAsia="en-GB"/>
              </w:rPr>
            </w:pPr>
          </w:p>
        </w:tc>
        <w:tc>
          <w:tcPr>
            <w:tcW w:w="744" w:type="pct"/>
            <w:vMerge/>
          </w:tcPr>
          <w:p w14:paraId="034E1024" w14:textId="77777777" w:rsidR="001F0009" w:rsidRPr="001F0009" w:rsidRDefault="001F0009" w:rsidP="007A37D2">
            <w:pPr>
              <w:spacing w:before="120"/>
              <w:rPr>
                <w:rFonts w:cs="Arial"/>
                <w:sz w:val="20"/>
                <w:szCs w:val="20"/>
                <w:lang w:val="en-GB" w:eastAsia="en-GB"/>
              </w:rPr>
            </w:pPr>
          </w:p>
        </w:tc>
        <w:tc>
          <w:tcPr>
            <w:tcW w:w="853" w:type="pct"/>
            <w:vMerge/>
          </w:tcPr>
          <w:p w14:paraId="64CDEFBF" w14:textId="77777777" w:rsidR="001F0009" w:rsidRPr="001F0009" w:rsidRDefault="001F0009" w:rsidP="007A37D2">
            <w:pPr>
              <w:spacing w:before="120"/>
              <w:rPr>
                <w:rFonts w:cs="Arial"/>
                <w:sz w:val="20"/>
                <w:szCs w:val="20"/>
              </w:rPr>
            </w:pPr>
          </w:p>
        </w:tc>
      </w:tr>
      <w:tr w:rsidR="001F0009" w:rsidRPr="001F0009" w14:paraId="29CF6B9A" w14:textId="77777777" w:rsidTr="007A37D2">
        <w:trPr>
          <w:trHeight w:val="350"/>
        </w:trPr>
        <w:tc>
          <w:tcPr>
            <w:tcW w:w="909" w:type="pct"/>
            <w:vMerge w:val="restart"/>
            <w:shd w:val="clear" w:color="auto" w:fill="auto"/>
          </w:tcPr>
          <w:p w14:paraId="228AC6E0" w14:textId="77777777" w:rsidR="001F0009" w:rsidRPr="001F0009" w:rsidRDefault="001F0009" w:rsidP="007A37D2">
            <w:pPr>
              <w:pStyle w:val="BodyText"/>
              <w:rPr>
                <w:rFonts w:cs="Arial"/>
                <w:b/>
                <w:sz w:val="20"/>
                <w:szCs w:val="20"/>
              </w:rPr>
            </w:pPr>
            <w:r w:rsidRPr="001F0009">
              <w:rPr>
                <w:rFonts w:cs="Arial"/>
                <w:b/>
                <w:sz w:val="20"/>
                <w:szCs w:val="20"/>
              </w:rPr>
              <w:t>B Distributing</w:t>
            </w:r>
          </w:p>
        </w:tc>
        <w:tc>
          <w:tcPr>
            <w:tcW w:w="852" w:type="pct"/>
            <w:vMerge w:val="restart"/>
          </w:tcPr>
          <w:p w14:paraId="40FC4223" w14:textId="77777777" w:rsidR="001F0009" w:rsidRPr="001F0009" w:rsidRDefault="001F0009" w:rsidP="007A37D2">
            <w:pPr>
              <w:spacing w:before="120"/>
              <w:rPr>
                <w:rFonts w:cs="Arial"/>
                <w:sz w:val="20"/>
                <w:szCs w:val="20"/>
              </w:rPr>
            </w:pPr>
            <w:r w:rsidRPr="001F0009">
              <w:rPr>
                <w:rFonts w:cs="Arial"/>
                <w:sz w:val="20"/>
                <w:szCs w:val="20"/>
              </w:rPr>
              <w:t>0.30%</w:t>
            </w:r>
          </w:p>
        </w:tc>
        <w:tc>
          <w:tcPr>
            <w:tcW w:w="739" w:type="pct"/>
            <w:vMerge w:val="restart"/>
            <w:shd w:val="clear" w:color="auto" w:fill="auto"/>
          </w:tcPr>
          <w:p w14:paraId="28820C7D"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025CDBC" w14:textId="1A7B8B5C"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552733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271B27F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57D871BD"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5903F0C"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469D5B1D" w14:textId="77777777" w:rsidTr="007A37D2">
        <w:trPr>
          <w:trHeight w:val="470"/>
        </w:trPr>
        <w:tc>
          <w:tcPr>
            <w:tcW w:w="909" w:type="pct"/>
            <w:vMerge/>
            <w:shd w:val="clear" w:color="auto" w:fill="auto"/>
          </w:tcPr>
          <w:p w14:paraId="155FCE49" w14:textId="77777777" w:rsidR="001F0009" w:rsidRPr="001F0009" w:rsidRDefault="001F0009" w:rsidP="007A37D2">
            <w:pPr>
              <w:pStyle w:val="BodyText"/>
              <w:rPr>
                <w:rFonts w:cs="Arial"/>
                <w:b/>
                <w:sz w:val="20"/>
                <w:szCs w:val="20"/>
              </w:rPr>
            </w:pPr>
          </w:p>
        </w:tc>
        <w:tc>
          <w:tcPr>
            <w:tcW w:w="852" w:type="pct"/>
            <w:vMerge/>
          </w:tcPr>
          <w:p w14:paraId="17798A1C" w14:textId="77777777" w:rsidR="001F0009" w:rsidRPr="001F0009" w:rsidRDefault="001F0009" w:rsidP="007A37D2">
            <w:pPr>
              <w:spacing w:before="120"/>
              <w:rPr>
                <w:rFonts w:cs="Arial"/>
                <w:sz w:val="20"/>
                <w:szCs w:val="20"/>
              </w:rPr>
            </w:pPr>
          </w:p>
        </w:tc>
        <w:tc>
          <w:tcPr>
            <w:tcW w:w="739" w:type="pct"/>
            <w:vMerge/>
            <w:shd w:val="clear" w:color="auto" w:fill="auto"/>
          </w:tcPr>
          <w:p w14:paraId="2CB40181" w14:textId="77777777" w:rsidR="001F0009" w:rsidRPr="001F0009" w:rsidRDefault="001F0009" w:rsidP="007A37D2">
            <w:pPr>
              <w:spacing w:before="120"/>
              <w:rPr>
                <w:rFonts w:cs="Arial"/>
                <w:sz w:val="20"/>
                <w:szCs w:val="20"/>
              </w:rPr>
            </w:pPr>
          </w:p>
        </w:tc>
        <w:tc>
          <w:tcPr>
            <w:tcW w:w="903" w:type="pct"/>
            <w:vMerge/>
          </w:tcPr>
          <w:p w14:paraId="10AA8796" w14:textId="77777777" w:rsidR="001F0009" w:rsidRPr="001F0009" w:rsidRDefault="001F0009" w:rsidP="007A37D2">
            <w:pPr>
              <w:spacing w:before="120"/>
              <w:rPr>
                <w:rFonts w:cs="Arial"/>
                <w:sz w:val="20"/>
                <w:szCs w:val="20"/>
                <w:lang w:val="en-GB" w:eastAsia="en-GB"/>
              </w:rPr>
            </w:pPr>
          </w:p>
        </w:tc>
        <w:tc>
          <w:tcPr>
            <w:tcW w:w="744" w:type="pct"/>
            <w:vMerge/>
          </w:tcPr>
          <w:p w14:paraId="7920312C" w14:textId="77777777" w:rsidR="001F0009" w:rsidRPr="001F0009" w:rsidRDefault="001F0009" w:rsidP="007A37D2">
            <w:pPr>
              <w:spacing w:before="120"/>
              <w:rPr>
                <w:rFonts w:cs="Arial"/>
                <w:sz w:val="20"/>
                <w:szCs w:val="20"/>
                <w:lang w:val="en-GB" w:eastAsia="en-GB"/>
              </w:rPr>
            </w:pPr>
          </w:p>
        </w:tc>
        <w:tc>
          <w:tcPr>
            <w:tcW w:w="853" w:type="pct"/>
            <w:vMerge/>
          </w:tcPr>
          <w:p w14:paraId="630B6137" w14:textId="77777777" w:rsidR="001F0009" w:rsidRPr="001F0009" w:rsidRDefault="001F0009" w:rsidP="007A37D2">
            <w:pPr>
              <w:spacing w:before="120"/>
              <w:rPr>
                <w:rFonts w:cs="Arial"/>
                <w:sz w:val="20"/>
                <w:szCs w:val="20"/>
              </w:rPr>
            </w:pPr>
          </w:p>
        </w:tc>
      </w:tr>
      <w:tr w:rsidR="001F0009" w:rsidRPr="001F0009" w14:paraId="22CEAB1A" w14:textId="77777777" w:rsidTr="007A37D2">
        <w:trPr>
          <w:trHeight w:val="470"/>
        </w:trPr>
        <w:tc>
          <w:tcPr>
            <w:tcW w:w="909" w:type="pct"/>
            <w:vMerge/>
            <w:shd w:val="clear" w:color="auto" w:fill="auto"/>
          </w:tcPr>
          <w:p w14:paraId="1DBD431A" w14:textId="77777777" w:rsidR="001F0009" w:rsidRPr="001F0009" w:rsidRDefault="001F0009" w:rsidP="007A37D2">
            <w:pPr>
              <w:pStyle w:val="BodyText"/>
              <w:rPr>
                <w:rFonts w:cs="Arial"/>
                <w:b/>
                <w:sz w:val="20"/>
                <w:szCs w:val="20"/>
              </w:rPr>
            </w:pPr>
          </w:p>
        </w:tc>
        <w:tc>
          <w:tcPr>
            <w:tcW w:w="852" w:type="pct"/>
            <w:vMerge/>
          </w:tcPr>
          <w:p w14:paraId="00C3EE94" w14:textId="77777777" w:rsidR="001F0009" w:rsidRPr="001F0009" w:rsidRDefault="001F0009" w:rsidP="007A37D2">
            <w:pPr>
              <w:spacing w:before="120"/>
              <w:rPr>
                <w:rFonts w:cs="Arial"/>
                <w:sz w:val="20"/>
                <w:szCs w:val="20"/>
              </w:rPr>
            </w:pPr>
          </w:p>
        </w:tc>
        <w:tc>
          <w:tcPr>
            <w:tcW w:w="739" w:type="pct"/>
            <w:vMerge/>
            <w:shd w:val="clear" w:color="auto" w:fill="auto"/>
          </w:tcPr>
          <w:p w14:paraId="77A444BB" w14:textId="77777777" w:rsidR="001F0009" w:rsidRPr="001F0009" w:rsidRDefault="001F0009" w:rsidP="007A37D2">
            <w:pPr>
              <w:spacing w:before="120"/>
              <w:rPr>
                <w:rFonts w:cs="Arial"/>
                <w:sz w:val="20"/>
                <w:szCs w:val="20"/>
              </w:rPr>
            </w:pPr>
          </w:p>
        </w:tc>
        <w:tc>
          <w:tcPr>
            <w:tcW w:w="903" w:type="pct"/>
            <w:vMerge/>
          </w:tcPr>
          <w:p w14:paraId="73EDB723" w14:textId="77777777" w:rsidR="001F0009" w:rsidRPr="001F0009" w:rsidRDefault="001F0009" w:rsidP="007A37D2">
            <w:pPr>
              <w:spacing w:before="120"/>
              <w:rPr>
                <w:rFonts w:cs="Arial"/>
                <w:sz w:val="20"/>
                <w:szCs w:val="20"/>
                <w:lang w:val="en-GB" w:eastAsia="en-GB"/>
              </w:rPr>
            </w:pPr>
          </w:p>
        </w:tc>
        <w:tc>
          <w:tcPr>
            <w:tcW w:w="744" w:type="pct"/>
            <w:vMerge/>
          </w:tcPr>
          <w:p w14:paraId="0197B32E" w14:textId="77777777" w:rsidR="001F0009" w:rsidRPr="001F0009" w:rsidRDefault="001F0009" w:rsidP="007A37D2">
            <w:pPr>
              <w:spacing w:before="120"/>
              <w:rPr>
                <w:rFonts w:cs="Arial"/>
                <w:sz w:val="20"/>
                <w:szCs w:val="20"/>
                <w:lang w:val="en-GB" w:eastAsia="en-GB"/>
              </w:rPr>
            </w:pPr>
          </w:p>
        </w:tc>
        <w:tc>
          <w:tcPr>
            <w:tcW w:w="853" w:type="pct"/>
            <w:vMerge/>
          </w:tcPr>
          <w:p w14:paraId="33C189C2" w14:textId="77777777" w:rsidR="001F0009" w:rsidRPr="001F0009" w:rsidRDefault="001F0009" w:rsidP="007A37D2">
            <w:pPr>
              <w:spacing w:before="120"/>
              <w:rPr>
                <w:rFonts w:cs="Arial"/>
                <w:sz w:val="20"/>
                <w:szCs w:val="20"/>
              </w:rPr>
            </w:pPr>
          </w:p>
        </w:tc>
      </w:tr>
      <w:tr w:rsidR="001F0009" w:rsidRPr="001F0009" w14:paraId="50CD6E7F" w14:textId="77777777" w:rsidTr="007A37D2">
        <w:trPr>
          <w:trHeight w:val="350"/>
        </w:trPr>
        <w:tc>
          <w:tcPr>
            <w:tcW w:w="909" w:type="pct"/>
            <w:vMerge w:val="restart"/>
            <w:shd w:val="clear" w:color="auto" w:fill="auto"/>
          </w:tcPr>
          <w:p w14:paraId="6D86B855" w14:textId="77777777" w:rsidR="001F0009" w:rsidRPr="001F0009" w:rsidRDefault="001F0009" w:rsidP="007A37D2">
            <w:pPr>
              <w:pStyle w:val="BodyText"/>
              <w:rPr>
                <w:rFonts w:cs="Arial"/>
                <w:b/>
                <w:sz w:val="20"/>
                <w:szCs w:val="20"/>
              </w:rPr>
            </w:pPr>
            <w:r w:rsidRPr="001F0009">
              <w:rPr>
                <w:rFonts w:cs="Arial"/>
                <w:b/>
                <w:sz w:val="20"/>
                <w:szCs w:val="20"/>
              </w:rPr>
              <w:t>C Accumulating</w:t>
            </w:r>
          </w:p>
        </w:tc>
        <w:tc>
          <w:tcPr>
            <w:tcW w:w="852" w:type="pct"/>
            <w:vMerge w:val="restart"/>
          </w:tcPr>
          <w:p w14:paraId="645A79B1" w14:textId="77777777" w:rsidR="001F0009" w:rsidRPr="001F0009" w:rsidRDefault="001F0009" w:rsidP="007A37D2">
            <w:pPr>
              <w:spacing w:before="120"/>
              <w:rPr>
                <w:rFonts w:cs="Arial"/>
                <w:sz w:val="20"/>
                <w:szCs w:val="20"/>
              </w:rPr>
            </w:pPr>
            <w:r w:rsidRPr="001F0009">
              <w:rPr>
                <w:rFonts w:cs="Arial"/>
                <w:sz w:val="20"/>
                <w:szCs w:val="20"/>
              </w:rPr>
              <w:t>0.2275%</w:t>
            </w:r>
          </w:p>
        </w:tc>
        <w:tc>
          <w:tcPr>
            <w:tcW w:w="739" w:type="pct"/>
            <w:vMerge w:val="restart"/>
            <w:shd w:val="clear" w:color="auto" w:fill="auto"/>
          </w:tcPr>
          <w:p w14:paraId="7DFB779A"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33285C43" w14:textId="171AA0A3"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2E683FFF"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706BE25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75D61E9B"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326110C7"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140839DC" w14:textId="77777777" w:rsidTr="007A37D2">
        <w:trPr>
          <w:trHeight w:val="470"/>
        </w:trPr>
        <w:tc>
          <w:tcPr>
            <w:tcW w:w="909" w:type="pct"/>
            <w:vMerge/>
            <w:shd w:val="clear" w:color="auto" w:fill="auto"/>
          </w:tcPr>
          <w:p w14:paraId="7414CD8F" w14:textId="77777777" w:rsidR="001F0009" w:rsidRPr="001F0009" w:rsidRDefault="001F0009" w:rsidP="007A37D2">
            <w:pPr>
              <w:pStyle w:val="BodyText"/>
              <w:rPr>
                <w:rFonts w:cs="Arial"/>
                <w:b/>
                <w:sz w:val="20"/>
                <w:szCs w:val="20"/>
              </w:rPr>
            </w:pPr>
          </w:p>
        </w:tc>
        <w:tc>
          <w:tcPr>
            <w:tcW w:w="852" w:type="pct"/>
            <w:vMerge/>
          </w:tcPr>
          <w:p w14:paraId="5D1ED578" w14:textId="77777777" w:rsidR="001F0009" w:rsidRPr="001F0009" w:rsidRDefault="001F0009" w:rsidP="007A37D2">
            <w:pPr>
              <w:spacing w:before="120"/>
              <w:rPr>
                <w:rFonts w:cs="Arial"/>
                <w:sz w:val="20"/>
                <w:szCs w:val="20"/>
              </w:rPr>
            </w:pPr>
          </w:p>
        </w:tc>
        <w:tc>
          <w:tcPr>
            <w:tcW w:w="739" w:type="pct"/>
            <w:vMerge/>
            <w:shd w:val="clear" w:color="auto" w:fill="auto"/>
          </w:tcPr>
          <w:p w14:paraId="02F03371" w14:textId="77777777" w:rsidR="001F0009" w:rsidRPr="001F0009" w:rsidRDefault="001F0009" w:rsidP="007A37D2">
            <w:pPr>
              <w:spacing w:before="120"/>
              <w:rPr>
                <w:rFonts w:cs="Arial"/>
                <w:sz w:val="20"/>
                <w:szCs w:val="20"/>
              </w:rPr>
            </w:pPr>
          </w:p>
        </w:tc>
        <w:tc>
          <w:tcPr>
            <w:tcW w:w="903" w:type="pct"/>
            <w:vMerge/>
          </w:tcPr>
          <w:p w14:paraId="53F2172B" w14:textId="77777777" w:rsidR="001F0009" w:rsidRPr="001F0009" w:rsidRDefault="001F0009" w:rsidP="007A37D2">
            <w:pPr>
              <w:spacing w:before="120"/>
              <w:rPr>
                <w:rFonts w:cs="Arial"/>
                <w:sz w:val="20"/>
                <w:szCs w:val="20"/>
                <w:lang w:val="en-GB" w:eastAsia="en-GB"/>
              </w:rPr>
            </w:pPr>
          </w:p>
        </w:tc>
        <w:tc>
          <w:tcPr>
            <w:tcW w:w="744" w:type="pct"/>
            <w:vMerge/>
          </w:tcPr>
          <w:p w14:paraId="096FB168" w14:textId="77777777" w:rsidR="001F0009" w:rsidRPr="001F0009" w:rsidRDefault="001F0009" w:rsidP="007A37D2">
            <w:pPr>
              <w:spacing w:before="120"/>
              <w:rPr>
                <w:rFonts w:cs="Arial"/>
                <w:sz w:val="20"/>
                <w:szCs w:val="20"/>
                <w:lang w:val="en-GB" w:eastAsia="en-GB"/>
              </w:rPr>
            </w:pPr>
          </w:p>
        </w:tc>
        <w:tc>
          <w:tcPr>
            <w:tcW w:w="853" w:type="pct"/>
            <w:vMerge/>
          </w:tcPr>
          <w:p w14:paraId="1CF592AA" w14:textId="77777777" w:rsidR="001F0009" w:rsidRPr="001F0009" w:rsidRDefault="001F0009" w:rsidP="007A37D2">
            <w:pPr>
              <w:spacing w:before="120"/>
              <w:rPr>
                <w:rFonts w:cs="Arial"/>
                <w:sz w:val="20"/>
                <w:szCs w:val="20"/>
              </w:rPr>
            </w:pPr>
          </w:p>
        </w:tc>
      </w:tr>
      <w:tr w:rsidR="001F0009" w:rsidRPr="001F0009" w14:paraId="6159B16A" w14:textId="77777777" w:rsidTr="007A37D2">
        <w:trPr>
          <w:trHeight w:val="470"/>
        </w:trPr>
        <w:tc>
          <w:tcPr>
            <w:tcW w:w="909" w:type="pct"/>
            <w:vMerge/>
            <w:shd w:val="clear" w:color="auto" w:fill="auto"/>
          </w:tcPr>
          <w:p w14:paraId="1AA065F2" w14:textId="77777777" w:rsidR="001F0009" w:rsidRPr="001F0009" w:rsidRDefault="001F0009" w:rsidP="007A37D2">
            <w:pPr>
              <w:pStyle w:val="BodyText"/>
              <w:rPr>
                <w:rFonts w:cs="Arial"/>
                <w:b/>
                <w:sz w:val="20"/>
                <w:szCs w:val="20"/>
              </w:rPr>
            </w:pPr>
          </w:p>
        </w:tc>
        <w:tc>
          <w:tcPr>
            <w:tcW w:w="852" w:type="pct"/>
            <w:vMerge/>
          </w:tcPr>
          <w:p w14:paraId="1673B129" w14:textId="77777777" w:rsidR="001F0009" w:rsidRPr="001F0009" w:rsidRDefault="001F0009" w:rsidP="007A37D2">
            <w:pPr>
              <w:spacing w:before="120"/>
              <w:rPr>
                <w:rFonts w:cs="Arial"/>
                <w:sz w:val="20"/>
                <w:szCs w:val="20"/>
              </w:rPr>
            </w:pPr>
          </w:p>
        </w:tc>
        <w:tc>
          <w:tcPr>
            <w:tcW w:w="739" w:type="pct"/>
            <w:vMerge/>
            <w:shd w:val="clear" w:color="auto" w:fill="auto"/>
          </w:tcPr>
          <w:p w14:paraId="6F6026DE" w14:textId="77777777" w:rsidR="001F0009" w:rsidRPr="001F0009" w:rsidRDefault="001F0009" w:rsidP="007A37D2">
            <w:pPr>
              <w:spacing w:before="120"/>
              <w:rPr>
                <w:rFonts w:cs="Arial"/>
                <w:sz w:val="20"/>
                <w:szCs w:val="20"/>
              </w:rPr>
            </w:pPr>
          </w:p>
        </w:tc>
        <w:tc>
          <w:tcPr>
            <w:tcW w:w="903" w:type="pct"/>
            <w:vMerge/>
          </w:tcPr>
          <w:p w14:paraId="56BFFC99" w14:textId="77777777" w:rsidR="001F0009" w:rsidRPr="001F0009" w:rsidRDefault="001F0009" w:rsidP="007A37D2">
            <w:pPr>
              <w:spacing w:before="120"/>
              <w:rPr>
                <w:rFonts w:cs="Arial"/>
                <w:sz w:val="20"/>
                <w:szCs w:val="20"/>
                <w:lang w:val="en-GB" w:eastAsia="en-GB"/>
              </w:rPr>
            </w:pPr>
          </w:p>
        </w:tc>
        <w:tc>
          <w:tcPr>
            <w:tcW w:w="744" w:type="pct"/>
            <w:vMerge/>
          </w:tcPr>
          <w:p w14:paraId="1E4A4D6E" w14:textId="77777777" w:rsidR="001F0009" w:rsidRPr="001F0009" w:rsidRDefault="001F0009" w:rsidP="007A37D2">
            <w:pPr>
              <w:spacing w:before="120"/>
              <w:rPr>
                <w:rFonts w:cs="Arial"/>
                <w:sz w:val="20"/>
                <w:szCs w:val="20"/>
                <w:lang w:val="en-GB" w:eastAsia="en-GB"/>
              </w:rPr>
            </w:pPr>
          </w:p>
        </w:tc>
        <w:tc>
          <w:tcPr>
            <w:tcW w:w="853" w:type="pct"/>
            <w:vMerge/>
          </w:tcPr>
          <w:p w14:paraId="23893241" w14:textId="77777777" w:rsidR="001F0009" w:rsidRPr="001F0009" w:rsidRDefault="001F0009" w:rsidP="007A37D2">
            <w:pPr>
              <w:spacing w:before="120"/>
              <w:rPr>
                <w:rFonts w:cs="Arial"/>
                <w:sz w:val="20"/>
                <w:szCs w:val="20"/>
              </w:rPr>
            </w:pPr>
          </w:p>
        </w:tc>
      </w:tr>
      <w:tr w:rsidR="001F0009" w:rsidRPr="001F0009" w14:paraId="5DC769F6" w14:textId="77777777" w:rsidTr="007A37D2">
        <w:trPr>
          <w:trHeight w:val="350"/>
        </w:trPr>
        <w:tc>
          <w:tcPr>
            <w:tcW w:w="909" w:type="pct"/>
            <w:vMerge w:val="restart"/>
            <w:shd w:val="clear" w:color="auto" w:fill="auto"/>
          </w:tcPr>
          <w:p w14:paraId="48F82C7D" w14:textId="77777777" w:rsidR="001F0009" w:rsidRPr="001F0009" w:rsidRDefault="001F0009" w:rsidP="007A37D2">
            <w:pPr>
              <w:pStyle w:val="BodyText"/>
              <w:rPr>
                <w:rFonts w:cs="Arial"/>
                <w:b/>
                <w:sz w:val="20"/>
                <w:szCs w:val="20"/>
              </w:rPr>
            </w:pPr>
            <w:r w:rsidRPr="001F0009">
              <w:rPr>
                <w:rFonts w:cs="Arial"/>
                <w:b/>
                <w:sz w:val="20"/>
                <w:szCs w:val="20"/>
              </w:rPr>
              <w:t>D Accumulating</w:t>
            </w:r>
          </w:p>
        </w:tc>
        <w:tc>
          <w:tcPr>
            <w:tcW w:w="852" w:type="pct"/>
            <w:vMerge w:val="restart"/>
          </w:tcPr>
          <w:p w14:paraId="73CF9059" w14:textId="77777777" w:rsidR="001F0009" w:rsidRPr="001F0009" w:rsidRDefault="001F0009" w:rsidP="007A37D2">
            <w:pPr>
              <w:spacing w:before="120"/>
              <w:rPr>
                <w:rFonts w:cs="Arial"/>
                <w:sz w:val="20"/>
                <w:szCs w:val="20"/>
              </w:rPr>
            </w:pPr>
            <w:r w:rsidRPr="001F0009">
              <w:rPr>
                <w:rFonts w:cs="Arial"/>
                <w:sz w:val="20"/>
                <w:szCs w:val="20"/>
              </w:rPr>
              <w:t>1%</w:t>
            </w:r>
          </w:p>
        </w:tc>
        <w:tc>
          <w:tcPr>
            <w:tcW w:w="739" w:type="pct"/>
            <w:vMerge w:val="restart"/>
            <w:shd w:val="clear" w:color="auto" w:fill="auto"/>
          </w:tcPr>
          <w:p w14:paraId="7CE19778"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757CE195" w14:textId="264079EA"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52E70F3B"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5403F4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0CC7348C"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1379E79"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1D98400F" w14:textId="77777777" w:rsidTr="007A37D2">
        <w:trPr>
          <w:trHeight w:val="470"/>
        </w:trPr>
        <w:tc>
          <w:tcPr>
            <w:tcW w:w="909" w:type="pct"/>
            <w:vMerge/>
            <w:shd w:val="clear" w:color="auto" w:fill="auto"/>
          </w:tcPr>
          <w:p w14:paraId="4638F2AF" w14:textId="77777777" w:rsidR="001F0009" w:rsidRPr="001F0009" w:rsidRDefault="001F0009" w:rsidP="007A37D2">
            <w:pPr>
              <w:pStyle w:val="BodyText"/>
              <w:rPr>
                <w:rFonts w:cs="Arial"/>
                <w:b/>
                <w:sz w:val="20"/>
                <w:szCs w:val="20"/>
              </w:rPr>
            </w:pPr>
          </w:p>
        </w:tc>
        <w:tc>
          <w:tcPr>
            <w:tcW w:w="852" w:type="pct"/>
            <w:vMerge/>
          </w:tcPr>
          <w:p w14:paraId="11C30822" w14:textId="77777777" w:rsidR="001F0009" w:rsidRPr="001F0009" w:rsidRDefault="001F0009" w:rsidP="007A37D2">
            <w:pPr>
              <w:spacing w:before="120"/>
              <w:rPr>
                <w:rFonts w:cs="Arial"/>
                <w:sz w:val="20"/>
                <w:szCs w:val="20"/>
              </w:rPr>
            </w:pPr>
          </w:p>
        </w:tc>
        <w:tc>
          <w:tcPr>
            <w:tcW w:w="739" w:type="pct"/>
            <w:vMerge/>
            <w:shd w:val="clear" w:color="auto" w:fill="auto"/>
          </w:tcPr>
          <w:p w14:paraId="021BAAB1" w14:textId="77777777" w:rsidR="001F0009" w:rsidRPr="001F0009" w:rsidRDefault="001F0009" w:rsidP="007A37D2">
            <w:pPr>
              <w:spacing w:before="120"/>
              <w:rPr>
                <w:rFonts w:cs="Arial"/>
                <w:sz w:val="20"/>
                <w:szCs w:val="20"/>
              </w:rPr>
            </w:pPr>
          </w:p>
        </w:tc>
        <w:tc>
          <w:tcPr>
            <w:tcW w:w="903" w:type="pct"/>
            <w:vMerge/>
          </w:tcPr>
          <w:p w14:paraId="7A6FED76" w14:textId="77777777" w:rsidR="001F0009" w:rsidRPr="001F0009" w:rsidRDefault="001F0009" w:rsidP="007A37D2">
            <w:pPr>
              <w:spacing w:before="120"/>
              <w:rPr>
                <w:rFonts w:cs="Arial"/>
                <w:sz w:val="20"/>
                <w:szCs w:val="20"/>
                <w:lang w:val="en-GB" w:eastAsia="en-GB"/>
              </w:rPr>
            </w:pPr>
          </w:p>
        </w:tc>
        <w:tc>
          <w:tcPr>
            <w:tcW w:w="744" w:type="pct"/>
            <w:vMerge/>
          </w:tcPr>
          <w:p w14:paraId="32F5CBAB" w14:textId="77777777" w:rsidR="001F0009" w:rsidRPr="001F0009" w:rsidRDefault="001F0009" w:rsidP="007A37D2">
            <w:pPr>
              <w:spacing w:before="120"/>
              <w:rPr>
                <w:rFonts w:cs="Arial"/>
                <w:sz w:val="20"/>
                <w:szCs w:val="20"/>
                <w:lang w:val="en-GB" w:eastAsia="en-GB"/>
              </w:rPr>
            </w:pPr>
          </w:p>
        </w:tc>
        <w:tc>
          <w:tcPr>
            <w:tcW w:w="853" w:type="pct"/>
            <w:vMerge/>
          </w:tcPr>
          <w:p w14:paraId="1A933D02" w14:textId="77777777" w:rsidR="001F0009" w:rsidRPr="001F0009" w:rsidRDefault="001F0009" w:rsidP="007A37D2">
            <w:pPr>
              <w:spacing w:before="120"/>
              <w:rPr>
                <w:rFonts w:cs="Arial"/>
                <w:sz w:val="20"/>
                <w:szCs w:val="20"/>
              </w:rPr>
            </w:pPr>
          </w:p>
        </w:tc>
      </w:tr>
      <w:tr w:rsidR="001F0009" w:rsidRPr="001F0009" w14:paraId="25114EF5" w14:textId="77777777" w:rsidTr="007A37D2">
        <w:trPr>
          <w:trHeight w:val="470"/>
        </w:trPr>
        <w:tc>
          <w:tcPr>
            <w:tcW w:w="909" w:type="pct"/>
            <w:vMerge/>
            <w:shd w:val="clear" w:color="auto" w:fill="auto"/>
          </w:tcPr>
          <w:p w14:paraId="74DE3A1D" w14:textId="77777777" w:rsidR="001F0009" w:rsidRPr="001F0009" w:rsidRDefault="001F0009" w:rsidP="007A37D2">
            <w:pPr>
              <w:pStyle w:val="BodyText"/>
              <w:rPr>
                <w:rFonts w:cs="Arial"/>
                <w:b/>
                <w:sz w:val="20"/>
                <w:szCs w:val="20"/>
              </w:rPr>
            </w:pPr>
          </w:p>
        </w:tc>
        <w:tc>
          <w:tcPr>
            <w:tcW w:w="852" w:type="pct"/>
            <w:vMerge/>
          </w:tcPr>
          <w:p w14:paraId="0C68735C" w14:textId="77777777" w:rsidR="001F0009" w:rsidRPr="001F0009" w:rsidRDefault="001F0009" w:rsidP="007A37D2">
            <w:pPr>
              <w:spacing w:before="120"/>
              <w:rPr>
                <w:rFonts w:cs="Arial"/>
                <w:sz w:val="20"/>
                <w:szCs w:val="20"/>
              </w:rPr>
            </w:pPr>
          </w:p>
        </w:tc>
        <w:tc>
          <w:tcPr>
            <w:tcW w:w="739" w:type="pct"/>
            <w:vMerge/>
            <w:shd w:val="clear" w:color="auto" w:fill="auto"/>
          </w:tcPr>
          <w:p w14:paraId="1E1E379D" w14:textId="77777777" w:rsidR="001F0009" w:rsidRPr="001F0009" w:rsidRDefault="001F0009" w:rsidP="007A37D2">
            <w:pPr>
              <w:spacing w:before="120"/>
              <w:rPr>
                <w:rFonts w:cs="Arial"/>
                <w:sz w:val="20"/>
                <w:szCs w:val="20"/>
              </w:rPr>
            </w:pPr>
          </w:p>
        </w:tc>
        <w:tc>
          <w:tcPr>
            <w:tcW w:w="903" w:type="pct"/>
            <w:vMerge/>
          </w:tcPr>
          <w:p w14:paraId="08483571" w14:textId="77777777" w:rsidR="001F0009" w:rsidRPr="001F0009" w:rsidRDefault="001F0009" w:rsidP="007A37D2">
            <w:pPr>
              <w:spacing w:before="120"/>
              <w:rPr>
                <w:rFonts w:cs="Arial"/>
                <w:sz w:val="20"/>
                <w:szCs w:val="20"/>
                <w:lang w:val="en-GB" w:eastAsia="en-GB"/>
              </w:rPr>
            </w:pPr>
          </w:p>
        </w:tc>
        <w:tc>
          <w:tcPr>
            <w:tcW w:w="744" w:type="pct"/>
            <w:vMerge/>
          </w:tcPr>
          <w:p w14:paraId="5536D464" w14:textId="77777777" w:rsidR="001F0009" w:rsidRPr="001F0009" w:rsidRDefault="001F0009" w:rsidP="007A37D2">
            <w:pPr>
              <w:spacing w:before="120"/>
              <w:rPr>
                <w:rFonts w:cs="Arial"/>
                <w:sz w:val="20"/>
                <w:szCs w:val="20"/>
                <w:lang w:val="en-GB" w:eastAsia="en-GB"/>
              </w:rPr>
            </w:pPr>
          </w:p>
        </w:tc>
        <w:tc>
          <w:tcPr>
            <w:tcW w:w="853" w:type="pct"/>
            <w:vMerge/>
          </w:tcPr>
          <w:p w14:paraId="337EDDD7" w14:textId="77777777" w:rsidR="001F0009" w:rsidRPr="001F0009" w:rsidRDefault="001F0009" w:rsidP="007A37D2">
            <w:pPr>
              <w:spacing w:before="120"/>
              <w:rPr>
                <w:rFonts w:cs="Arial"/>
                <w:sz w:val="20"/>
                <w:szCs w:val="20"/>
              </w:rPr>
            </w:pPr>
          </w:p>
        </w:tc>
      </w:tr>
      <w:tr w:rsidR="001F0009" w:rsidRPr="001F0009" w14:paraId="1A640AAB" w14:textId="77777777" w:rsidTr="007A37D2">
        <w:trPr>
          <w:trHeight w:val="350"/>
        </w:trPr>
        <w:tc>
          <w:tcPr>
            <w:tcW w:w="909" w:type="pct"/>
            <w:vMerge w:val="restart"/>
            <w:shd w:val="clear" w:color="auto" w:fill="auto"/>
          </w:tcPr>
          <w:p w14:paraId="240EDC48" w14:textId="77777777" w:rsidR="001F0009" w:rsidRPr="001F0009" w:rsidRDefault="001F0009" w:rsidP="007A37D2">
            <w:pPr>
              <w:pStyle w:val="BodyText"/>
              <w:rPr>
                <w:rFonts w:cs="Arial"/>
                <w:b/>
                <w:sz w:val="20"/>
                <w:szCs w:val="20"/>
              </w:rPr>
            </w:pPr>
            <w:r w:rsidRPr="001F0009">
              <w:rPr>
                <w:rFonts w:cs="Arial"/>
                <w:b/>
                <w:sz w:val="20"/>
                <w:szCs w:val="20"/>
              </w:rPr>
              <w:t>E Accumulating</w:t>
            </w:r>
          </w:p>
        </w:tc>
        <w:tc>
          <w:tcPr>
            <w:tcW w:w="852" w:type="pct"/>
            <w:vMerge w:val="restart"/>
          </w:tcPr>
          <w:p w14:paraId="69257060" w14:textId="77777777" w:rsidR="001F0009" w:rsidRPr="001F0009" w:rsidRDefault="001F0009" w:rsidP="007A37D2">
            <w:pPr>
              <w:spacing w:before="120"/>
              <w:rPr>
                <w:rFonts w:cs="Arial"/>
                <w:sz w:val="20"/>
                <w:szCs w:val="20"/>
              </w:rPr>
            </w:pPr>
            <w:r w:rsidRPr="001F0009">
              <w:rPr>
                <w:rFonts w:cs="Arial"/>
                <w:sz w:val="20"/>
                <w:szCs w:val="20"/>
              </w:rPr>
              <w:t>0.55%</w:t>
            </w:r>
          </w:p>
        </w:tc>
        <w:tc>
          <w:tcPr>
            <w:tcW w:w="739" w:type="pct"/>
            <w:vMerge w:val="restart"/>
            <w:shd w:val="clear" w:color="auto" w:fill="auto"/>
          </w:tcPr>
          <w:p w14:paraId="5C54F1E2"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41D0513B" w14:textId="7EFAF3E2"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FC90E03"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F2B712B"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10A13DA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14C666D7"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5F9EA418" w14:textId="77777777" w:rsidTr="007A37D2">
        <w:trPr>
          <w:trHeight w:val="470"/>
        </w:trPr>
        <w:tc>
          <w:tcPr>
            <w:tcW w:w="909" w:type="pct"/>
            <w:vMerge/>
            <w:shd w:val="clear" w:color="auto" w:fill="auto"/>
          </w:tcPr>
          <w:p w14:paraId="0AF9FD51" w14:textId="77777777" w:rsidR="001F0009" w:rsidRPr="001F0009" w:rsidRDefault="001F0009" w:rsidP="007A37D2">
            <w:pPr>
              <w:pStyle w:val="BodyText"/>
              <w:rPr>
                <w:rFonts w:cs="Arial"/>
                <w:b/>
                <w:sz w:val="20"/>
                <w:szCs w:val="20"/>
              </w:rPr>
            </w:pPr>
          </w:p>
        </w:tc>
        <w:tc>
          <w:tcPr>
            <w:tcW w:w="852" w:type="pct"/>
            <w:vMerge/>
          </w:tcPr>
          <w:p w14:paraId="3377D2EF" w14:textId="77777777" w:rsidR="001F0009" w:rsidRPr="001F0009" w:rsidRDefault="001F0009" w:rsidP="007A37D2">
            <w:pPr>
              <w:spacing w:before="120"/>
              <w:rPr>
                <w:rFonts w:cs="Arial"/>
                <w:sz w:val="20"/>
                <w:szCs w:val="20"/>
              </w:rPr>
            </w:pPr>
          </w:p>
        </w:tc>
        <w:tc>
          <w:tcPr>
            <w:tcW w:w="739" w:type="pct"/>
            <w:vMerge/>
            <w:shd w:val="clear" w:color="auto" w:fill="auto"/>
          </w:tcPr>
          <w:p w14:paraId="16E3F1BE" w14:textId="77777777" w:rsidR="001F0009" w:rsidRPr="001F0009" w:rsidRDefault="001F0009" w:rsidP="007A37D2">
            <w:pPr>
              <w:spacing w:before="120"/>
              <w:rPr>
                <w:rFonts w:cs="Arial"/>
                <w:sz w:val="20"/>
                <w:szCs w:val="20"/>
              </w:rPr>
            </w:pPr>
          </w:p>
        </w:tc>
        <w:tc>
          <w:tcPr>
            <w:tcW w:w="903" w:type="pct"/>
            <w:vMerge/>
          </w:tcPr>
          <w:p w14:paraId="41BDD479" w14:textId="77777777" w:rsidR="001F0009" w:rsidRPr="001F0009" w:rsidRDefault="001F0009" w:rsidP="007A37D2">
            <w:pPr>
              <w:spacing w:before="120"/>
              <w:rPr>
                <w:rFonts w:cs="Arial"/>
                <w:sz w:val="20"/>
                <w:szCs w:val="20"/>
                <w:lang w:val="en-GB" w:eastAsia="en-GB"/>
              </w:rPr>
            </w:pPr>
          </w:p>
        </w:tc>
        <w:tc>
          <w:tcPr>
            <w:tcW w:w="744" w:type="pct"/>
            <w:vMerge/>
          </w:tcPr>
          <w:p w14:paraId="2A8D069E" w14:textId="77777777" w:rsidR="001F0009" w:rsidRPr="001F0009" w:rsidRDefault="001F0009" w:rsidP="007A37D2">
            <w:pPr>
              <w:spacing w:before="120"/>
              <w:rPr>
                <w:rFonts w:cs="Arial"/>
                <w:sz w:val="20"/>
                <w:szCs w:val="20"/>
                <w:lang w:val="en-GB" w:eastAsia="en-GB"/>
              </w:rPr>
            </w:pPr>
          </w:p>
        </w:tc>
        <w:tc>
          <w:tcPr>
            <w:tcW w:w="853" w:type="pct"/>
            <w:vMerge/>
          </w:tcPr>
          <w:p w14:paraId="7F439B02" w14:textId="77777777" w:rsidR="001F0009" w:rsidRPr="001F0009" w:rsidRDefault="001F0009" w:rsidP="007A37D2">
            <w:pPr>
              <w:spacing w:before="120"/>
              <w:rPr>
                <w:rFonts w:cs="Arial"/>
                <w:sz w:val="20"/>
                <w:szCs w:val="20"/>
              </w:rPr>
            </w:pPr>
          </w:p>
        </w:tc>
      </w:tr>
      <w:tr w:rsidR="001F0009" w:rsidRPr="001F0009" w14:paraId="320A5AC0" w14:textId="77777777" w:rsidTr="007A37D2">
        <w:trPr>
          <w:trHeight w:val="470"/>
        </w:trPr>
        <w:tc>
          <w:tcPr>
            <w:tcW w:w="909" w:type="pct"/>
            <w:vMerge/>
            <w:shd w:val="clear" w:color="auto" w:fill="auto"/>
          </w:tcPr>
          <w:p w14:paraId="640A1D09" w14:textId="77777777" w:rsidR="001F0009" w:rsidRPr="001F0009" w:rsidRDefault="001F0009" w:rsidP="007A37D2">
            <w:pPr>
              <w:pStyle w:val="BodyText"/>
              <w:rPr>
                <w:rFonts w:cs="Arial"/>
                <w:b/>
                <w:sz w:val="20"/>
                <w:szCs w:val="20"/>
              </w:rPr>
            </w:pPr>
          </w:p>
        </w:tc>
        <w:tc>
          <w:tcPr>
            <w:tcW w:w="852" w:type="pct"/>
            <w:vMerge/>
          </w:tcPr>
          <w:p w14:paraId="7308C6D2" w14:textId="77777777" w:rsidR="001F0009" w:rsidRPr="001F0009" w:rsidRDefault="001F0009" w:rsidP="007A37D2">
            <w:pPr>
              <w:spacing w:before="120"/>
              <w:rPr>
                <w:rFonts w:cs="Arial"/>
                <w:sz w:val="20"/>
                <w:szCs w:val="20"/>
              </w:rPr>
            </w:pPr>
          </w:p>
        </w:tc>
        <w:tc>
          <w:tcPr>
            <w:tcW w:w="739" w:type="pct"/>
            <w:vMerge/>
            <w:shd w:val="clear" w:color="auto" w:fill="auto"/>
          </w:tcPr>
          <w:p w14:paraId="32C05D5A" w14:textId="77777777" w:rsidR="001F0009" w:rsidRPr="001F0009" w:rsidRDefault="001F0009" w:rsidP="007A37D2">
            <w:pPr>
              <w:spacing w:before="120"/>
              <w:rPr>
                <w:rFonts w:cs="Arial"/>
                <w:sz w:val="20"/>
                <w:szCs w:val="20"/>
              </w:rPr>
            </w:pPr>
          </w:p>
        </w:tc>
        <w:tc>
          <w:tcPr>
            <w:tcW w:w="903" w:type="pct"/>
            <w:vMerge/>
          </w:tcPr>
          <w:p w14:paraId="18CA114D" w14:textId="77777777" w:rsidR="001F0009" w:rsidRPr="001F0009" w:rsidRDefault="001F0009" w:rsidP="007A37D2">
            <w:pPr>
              <w:spacing w:before="120"/>
              <w:rPr>
                <w:rFonts w:cs="Arial"/>
                <w:sz w:val="20"/>
                <w:szCs w:val="20"/>
                <w:lang w:val="en-GB" w:eastAsia="en-GB"/>
              </w:rPr>
            </w:pPr>
          </w:p>
        </w:tc>
        <w:tc>
          <w:tcPr>
            <w:tcW w:w="744" w:type="pct"/>
            <w:vMerge/>
          </w:tcPr>
          <w:p w14:paraId="1B067504" w14:textId="77777777" w:rsidR="001F0009" w:rsidRPr="001F0009" w:rsidRDefault="001F0009" w:rsidP="007A37D2">
            <w:pPr>
              <w:spacing w:before="120"/>
              <w:rPr>
                <w:rFonts w:cs="Arial"/>
                <w:sz w:val="20"/>
                <w:szCs w:val="20"/>
                <w:lang w:val="en-GB" w:eastAsia="en-GB"/>
              </w:rPr>
            </w:pPr>
          </w:p>
        </w:tc>
        <w:tc>
          <w:tcPr>
            <w:tcW w:w="853" w:type="pct"/>
            <w:vMerge/>
          </w:tcPr>
          <w:p w14:paraId="61C3DD36" w14:textId="77777777" w:rsidR="001F0009" w:rsidRPr="001F0009" w:rsidRDefault="001F0009" w:rsidP="007A37D2">
            <w:pPr>
              <w:spacing w:before="120"/>
              <w:rPr>
                <w:rFonts w:cs="Arial"/>
                <w:sz w:val="20"/>
                <w:szCs w:val="20"/>
              </w:rPr>
            </w:pPr>
          </w:p>
        </w:tc>
      </w:tr>
      <w:tr w:rsidR="001F0009" w:rsidRPr="001F0009" w14:paraId="76A698DA" w14:textId="77777777" w:rsidTr="007A37D2">
        <w:trPr>
          <w:trHeight w:val="350"/>
        </w:trPr>
        <w:tc>
          <w:tcPr>
            <w:tcW w:w="909" w:type="pct"/>
            <w:vMerge w:val="restart"/>
            <w:shd w:val="clear" w:color="auto" w:fill="auto"/>
          </w:tcPr>
          <w:p w14:paraId="5248546F" w14:textId="77777777" w:rsidR="001F0009" w:rsidRPr="001F0009" w:rsidRDefault="001F0009" w:rsidP="00343B4C">
            <w:pPr>
              <w:pStyle w:val="BodyText"/>
              <w:keepNext/>
              <w:keepLines/>
              <w:rPr>
                <w:rFonts w:cs="Arial"/>
                <w:b/>
                <w:sz w:val="20"/>
                <w:szCs w:val="20"/>
              </w:rPr>
            </w:pPr>
            <w:r w:rsidRPr="001F0009">
              <w:rPr>
                <w:rFonts w:cs="Arial"/>
                <w:b/>
                <w:sz w:val="20"/>
                <w:szCs w:val="20"/>
              </w:rPr>
              <w:lastRenderedPageBreak/>
              <w:t>F Accumulating</w:t>
            </w:r>
          </w:p>
        </w:tc>
        <w:tc>
          <w:tcPr>
            <w:tcW w:w="852" w:type="pct"/>
            <w:vMerge w:val="restart"/>
          </w:tcPr>
          <w:p w14:paraId="3BDC1A9D" w14:textId="77777777" w:rsidR="001F0009" w:rsidRPr="001F0009" w:rsidRDefault="001F0009" w:rsidP="00343B4C">
            <w:pPr>
              <w:keepNext/>
              <w:keepLines/>
              <w:spacing w:before="120"/>
              <w:rPr>
                <w:rFonts w:cs="Arial"/>
                <w:sz w:val="20"/>
                <w:szCs w:val="20"/>
              </w:rPr>
            </w:pPr>
            <w:r w:rsidRPr="001F0009">
              <w:rPr>
                <w:rFonts w:cs="Arial"/>
                <w:sz w:val="20"/>
                <w:szCs w:val="20"/>
              </w:rPr>
              <w:t>0.75%</w:t>
            </w:r>
          </w:p>
        </w:tc>
        <w:tc>
          <w:tcPr>
            <w:tcW w:w="739" w:type="pct"/>
            <w:vMerge w:val="restart"/>
            <w:shd w:val="clear" w:color="auto" w:fill="auto"/>
          </w:tcPr>
          <w:p w14:paraId="05F5CF48" w14:textId="77777777" w:rsidR="001F0009" w:rsidRPr="001F0009" w:rsidRDefault="001F0009" w:rsidP="00343B4C">
            <w:pPr>
              <w:keepNext/>
              <w:keepLines/>
              <w:spacing w:before="120"/>
              <w:rPr>
                <w:rFonts w:cs="Arial"/>
                <w:sz w:val="20"/>
                <w:szCs w:val="20"/>
              </w:rPr>
            </w:pPr>
            <w:r w:rsidRPr="001F0009">
              <w:rPr>
                <w:rFonts w:cs="Arial"/>
                <w:sz w:val="20"/>
                <w:szCs w:val="20"/>
              </w:rPr>
              <w:t xml:space="preserve">0% </w:t>
            </w:r>
          </w:p>
        </w:tc>
        <w:tc>
          <w:tcPr>
            <w:tcW w:w="903" w:type="pct"/>
            <w:vMerge w:val="restart"/>
          </w:tcPr>
          <w:p w14:paraId="421DB341" w14:textId="34F3398D"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0872A400"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310A503E"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0.0175%</w:t>
            </w:r>
          </w:p>
          <w:p w14:paraId="73B535DC"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09E022E0" w14:textId="77777777" w:rsidR="001F0009" w:rsidRPr="001F0009" w:rsidRDefault="001F0009" w:rsidP="00343B4C">
            <w:pPr>
              <w:keepNext/>
              <w:keepLines/>
              <w:spacing w:before="120"/>
              <w:rPr>
                <w:rFonts w:cs="Arial"/>
                <w:sz w:val="20"/>
                <w:szCs w:val="20"/>
              </w:rPr>
            </w:pPr>
            <w:r w:rsidRPr="001F0009">
              <w:rPr>
                <w:rFonts w:cs="Arial"/>
                <w:sz w:val="20"/>
                <w:szCs w:val="20"/>
              </w:rPr>
              <w:t>0%</w:t>
            </w:r>
          </w:p>
        </w:tc>
      </w:tr>
      <w:tr w:rsidR="001F0009" w:rsidRPr="001F0009" w14:paraId="56B4A267" w14:textId="77777777" w:rsidTr="007A37D2">
        <w:trPr>
          <w:trHeight w:val="470"/>
        </w:trPr>
        <w:tc>
          <w:tcPr>
            <w:tcW w:w="909" w:type="pct"/>
            <w:vMerge/>
            <w:shd w:val="clear" w:color="auto" w:fill="auto"/>
          </w:tcPr>
          <w:p w14:paraId="7042ED36" w14:textId="77777777" w:rsidR="001F0009" w:rsidRPr="001F0009" w:rsidRDefault="001F0009" w:rsidP="00343B4C">
            <w:pPr>
              <w:pStyle w:val="BodyText"/>
              <w:keepNext/>
              <w:keepLines/>
              <w:rPr>
                <w:rFonts w:cs="Arial"/>
                <w:b/>
                <w:sz w:val="20"/>
                <w:szCs w:val="20"/>
              </w:rPr>
            </w:pPr>
          </w:p>
        </w:tc>
        <w:tc>
          <w:tcPr>
            <w:tcW w:w="852" w:type="pct"/>
            <w:vMerge/>
          </w:tcPr>
          <w:p w14:paraId="529320EF" w14:textId="77777777" w:rsidR="001F0009" w:rsidRPr="001F0009" w:rsidRDefault="001F0009" w:rsidP="00343B4C">
            <w:pPr>
              <w:keepNext/>
              <w:keepLines/>
              <w:spacing w:before="120"/>
              <w:rPr>
                <w:rFonts w:cs="Arial"/>
                <w:sz w:val="20"/>
                <w:szCs w:val="20"/>
              </w:rPr>
            </w:pPr>
          </w:p>
        </w:tc>
        <w:tc>
          <w:tcPr>
            <w:tcW w:w="739" w:type="pct"/>
            <w:vMerge/>
            <w:shd w:val="clear" w:color="auto" w:fill="auto"/>
          </w:tcPr>
          <w:p w14:paraId="71635573" w14:textId="77777777" w:rsidR="001F0009" w:rsidRPr="001F0009" w:rsidRDefault="001F0009" w:rsidP="00343B4C">
            <w:pPr>
              <w:keepNext/>
              <w:keepLines/>
              <w:spacing w:before="120"/>
              <w:rPr>
                <w:rFonts w:cs="Arial"/>
                <w:sz w:val="20"/>
                <w:szCs w:val="20"/>
              </w:rPr>
            </w:pPr>
          </w:p>
        </w:tc>
        <w:tc>
          <w:tcPr>
            <w:tcW w:w="903" w:type="pct"/>
            <w:vMerge/>
          </w:tcPr>
          <w:p w14:paraId="0AD21ACF" w14:textId="77777777" w:rsidR="001F0009" w:rsidRPr="001F0009" w:rsidRDefault="001F0009" w:rsidP="00343B4C">
            <w:pPr>
              <w:keepNext/>
              <w:keepLines/>
              <w:spacing w:before="120"/>
              <w:rPr>
                <w:rFonts w:cs="Arial"/>
                <w:sz w:val="20"/>
                <w:szCs w:val="20"/>
                <w:lang w:val="en-GB" w:eastAsia="en-GB"/>
              </w:rPr>
            </w:pPr>
          </w:p>
        </w:tc>
        <w:tc>
          <w:tcPr>
            <w:tcW w:w="744" w:type="pct"/>
            <w:vMerge/>
          </w:tcPr>
          <w:p w14:paraId="395B3EC2" w14:textId="77777777" w:rsidR="001F0009" w:rsidRPr="001F0009" w:rsidRDefault="001F0009" w:rsidP="00343B4C">
            <w:pPr>
              <w:keepNext/>
              <w:keepLines/>
              <w:spacing w:before="120"/>
              <w:rPr>
                <w:rFonts w:cs="Arial"/>
                <w:sz w:val="20"/>
                <w:szCs w:val="20"/>
                <w:lang w:val="en-GB" w:eastAsia="en-GB"/>
              </w:rPr>
            </w:pPr>
          </w:p>
        </w:tc>
        <w:tc>
          <w:tcPr>
            <w:tcW w:w="853" w:type="pct"/>
            <w:vMerge/>
          </w:tcPr>
          <w:p w14:paraId="7C835DDB" w14:textId="77777777" w:rsidR="001F0009" w:rsidRPr="001F0009" w:rsidRDefault="001F0009" w:rsidP="00343B4C">
            <w:pPr>
              <w:keepNext/>
              <w:keepLines/>
              <w:spacing w:before="120"/>
              <w:rPr>
                <w:rFonts w:cs="Arial"/>
                <w:sz w:val="20"/>
                <w:szCs w:val="20"/>
              </w:rPr>
            </w:pPr>
          </w:p>
        </w:tc>
      </w:tr>
      <w:tr w:rsidR="001F0009" w:rsidRPr="001F0009" w14:paraId="35A302EB" w14:textId="77777777" w:rsidTr="007A37D2">
        <w:trPr>
          <w:trHeight w:val="470"/>
        </w:trPr>
        <w:tc>
          <w:tcPr>
            <w:tcW w:w="909" w:type="pct"/>
            <w:vMerge/>
            <w:shd w:val="clear" w:color="auto" w:fill="auto"/>
          </w:tcPr>
          <w:p w14:paraId="6AC72F65" w14:textId="77777777" w:rsidR="001F0009" w:rsidRPr="001F0009" w:rsidRDefault="001F0009" w:rsidP="00343B4C">
            <w:pPr>
              <w:pStyle w:val="BodyText"/>
              <w:keepNext/>
              <w:keepLines/>
              <w:rPr>
                <w:rFonts w:cs="Arial"/>
                <w:b/>
                <w:sz w:val="20"/>
                <w:szCs w:val="20"/>
              </w:rPr>
            </w:pPr>
          </w:p>
        </w:tc>
        <w:tc>
          <w:tcPr>
            <w:tcW w:w="852" w:type="pct"/>
            <w:vMerge/>
          </w:tcPr>
          <w:p w14:paraId="767217B2" w14:textId="77777777" w:rsidR="001F0009" w:rsidRPr="001F0009" w:rsidRDefault="001F0009" w:rsidP="00343B4C">
            <w:pPr>
              <w:keepNext/>
              <w:keepLines/>
              <w:spacing w:before="120"/>
              <w:rPr>
                <w:rFonts w:cs="Arial"/>
                <w:sz w:val="20"/>
                <w:szCs w:val="20"/>
              </w:rPr>
            </w:pPr>
          </w:p>
        </w:tc>
        <w:tc>
          <w:tcPr>
            <w:tcW w:w="739" w:type="pct"/>
            <w:vMerge/>
            <w:shd w:val="clear" w:color="auto" w:fill="auto"/>
          </w:tcPr>
          <w:p w14:paraId="1203F7FC" w14:textId="77777777" w:rsidR="001F0009" w:rsidRPr="001F0009" w:rsidRDefault="001F0009" w:rsidP="00343B4C">
            <w:pPr>
              <w:keepNext/>
              <w:keepLines/>
              <w:spacing w:before="120"/>
              <w:rPr>
                <w:rFonts w:cs="Arial"/>
                <w:sz w:val="20"/>
                <w:szCs w:val="20"/>
              </w:rPr>
            </w:pPr>
          </w:p>
        </w:tc>
        <w:tc>
          <w:tcPr>
            <w:tcW w:w="903" w:type="pct"/>
            <w:vMerge/>
          </w:tcPr>
          <w:p w14:paraId="3D4D3CD0" w14:textId="77777777" w:rsidR="001F0009" w:rsidRPr="001F0009" w:rsidRDefault="001F0009" w:rsidP="00343B4C">
            <w:pPr>
              <w:keepNext/>
              <w:keepLines/>
              <w:spacing w:before="120"/>
              <w:rPr>
                <w:rFonts w:cs="Arial"/>
                <w:sz w:val="20"/>
                <w:szCs w:val="20"/>
                <w:lang w:val="en-GB" w:eastAsia="en-GB"/>
              </w:rPr>
            </w:pPr>
          </w:p>
        </w:tc>
        <w:tc>
          <w:tcPr>
            <w:tcW w:w="744" w:type="pct"/>
            <w:vMerge/>
          </w:tcPr>
          <w:p w14:paraId="5722CF3A" w14:textId="77777777" w:rsidR="001F0009" w:rsidRPr="001F0009" w:rsidRDefault="001F0009" w:rsidP="00343B4C">
            <w:pPr>
              <w:keepNext/>
              <w:keepLines/>
              <w:spacing w:before="120"/>
              <w:rPr>
                <w:rFonts w:cs="Arial"/>
                <w:sz w:val="20"/>
                <w:szCs w:val="20"/>
                <w:lang w:val="en-GB" w:eastAsia="en-GB"/>
              </w:rPr>
            </w:pPr>
          </w:p>
        </w:tc>
        <w:tc>
          <w:tcPr>
            <w:tcW w:w="853" w:type="pct"/>
            <w:vMerge/>
          </w:tcPr>
          <w:p w14:paraId="6D74D1D6" w14:textId="77777777" w:rsidR="001F0009" w:rsidRPr="001F0009" w:rsidRDefault="001F0009" w:rsidP="00343B4C">
            <w:pPr>
              <w:keepNext/>
              <w:keepLines/>
              <w:spacing w:before="120"/>
              <w:rPr>
                <w:rFonts w:cs="Arial"/>
                <w:sz w:val="20"/>
                <w:szCs w:val="20"/>
              </w:rPr>
            </w:pPr>
          </w:p>
        </w:tc>
      </w:tr>
      <w:tr w:rsidR="001F0009" w:rsidRPr="001F0009" w14:paraId="7B08A9D1" w14:textId="77777777" w:rsidTr="007A37D2">
        <w:trPr>
          <w:trHeight w:val="350"/>
        </w:trPr>
        <w:tc>
          <w:tcPr>
            <w:tcW w:w="909" w:type="pct"/>
            <w:vMerge w:val="restart"/>
            <w:shd w:val="clear" w:color="auto" w:fill="auto"/>
          </w:tcPr>
          <w:p w14:paraId="49B3B4BB" w14:textId="77777777" w:rsidR="001F0009" w:rsidRPr="001F0009" w:rsidRDefault="001F0009" w:rsidP="007A37D2">
            <w:pPr>
              <w:pStyle w:val="BodyText"/>
              <w:rPr>
                <w:rFonts w:cs="Arial"/>
                <w:b/>
                <w:sz w:val="20"/>
                <w:szCs w:val="20"/>
              </w:rPr>
            </w:pPr>
            <w:r w:rsidRPr="001F0009">
              <w:rPr>
                <w:rFonts w:cs="Arial"/>
                <w:b/>
                <w:sz w:val="20"/>
                <w:szCs w:val="20"/>
              </w:rPr>
              <w:t>G Accumulating</w:t>
            </w:r>
          </w:p>
        </w:tc>
        <w:tc>
          <w:tcPr>
            <w:tcW w:w="852" w:type="pct"/>
            <w:vMerge w:val="restart"/>
          </w:tcPr>
          <w:p w14:paraId="0E294F17" w14:textId="77777777" w:rsidR="001F0009" w:rsidRPr="001F0009" w:rsidRDefault="001F0009" w:rsidP="007A37D2">
            <w:pPr>
              <w:spacing w:before="120"/>
              <w:rPr>
                <w:rFonts w:cs="Arial"/>
                <w:sz w:val="20"/>
                <w:szCs w:val="20"/>
              </w:rPr>
            </w:pPr>
            <w:r w:rsidRPr="001F0009">
              <w:rPr>
                <w:rFonts w:cs="Arial"/>
                <w:sz w:val="20"/>
                <w:szCs w:val="20"/>
              </w:rPr>
              <w:t>1.10%</w:t>
            </w:r>
          </w:p>
        </w:tc>
        <w:tc>
          <w:tcPr>
            <w:tcW w:w="739" w:type="pct"/>
            <w:vMerge w:val="restart"/>
            <w:shd w:val="clear" w:color="auto" w:fill="auto"/>
          </w:tcPr>
          <w:p w14:paraId="61CBE112"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658666D3" w14:textId="2A1585C0"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70238D15"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1EE8561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523A9255"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C0C9DA6"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0AAE4A70" w14:textId="77777777" w:rsidTr="007A37D2">
        <w:trPr>
          <w:trHeight w:val="470"/>
        </w:trPr>
        <w:tc>
          <w:tcPr>
            <w:tcW w:w="909" w:type="pct"/>
            <w:vMerge/>
            <w:shd w:val="clear" w:color="auto" w:fill="auto"/>
          </w:tcPr>
          <w:p w14:paraId="16679FD4" w14:textId="77777777" w:rsidR="001F0009" w:rsidRPr="001F0009" w:rsidRDefault="001F0009" w:rsidP="007A37D2">
            <w:pPr>
              <w:pStyle w:val="BodyText"/>
              <w:rPr>
                <w:rFonts w:cs="Arial"/>
                <w:b/>
                <w:sz w:val="20"/>
                <w:szCs w:val="20"/>
              </w:rPr>
            </w:pPr>
          </w:p>
        </w:tc>
        <w:tc>
          <w:tcPr>
            <w:tcW w:w="852" w:type="pct"/>
            <w:vMerge/>
          </w:tcPr>
          <w:p w14:paraId="206B46E2" w14:textId="77777777" w:rsidR="001F0009" w:rsidRPr="001F0009" w:rsidRDefault="001F0009" w:rsidP="007A37D2">
            <w:pPr>
              <w:spacing w:before="120"/>
              <w:rPr>
                <w:rFonts w:cs="Arial"/>
                <w:sz w:val="20"/>
                <w:szCs w:val="20"/>
              </w:rPr>
            </w:pPr>
          </w:p>
        </w:tc>
        <w:tc>
          <w:tcPr>
            <w:tcW w:w="739" w:type="pct"/>
            <w:vMerge/>
            <w:shd w:val="clear" w:color="auto" w:fill="auto"/>
          </w:tcPr>
          <w:p w14:paraId="4E8B0ECA" w14:textId="77777777" w:rsidR="001F0009" w:rsidRPr="001F0009" w:rsidRDefault="001F0009" w:rsidP="007A37D2">
            <w:pPr>
              <w:spacing w:before="120"/>
              <w:rPr>
                <w:rFonts w:cs="Arial"/>
                <w:sz w:val="20"/>
                <w:szCs w:val="20"/>
              </w:rPr>
            </w:pPr>
          </w:p>
        </w:tc>
        <w:tc>
          <w:tcPr>
            <w:tcW w:w="903" w:type="pct"/>
            <w:vMerge/>
          </w:tcPr>
          <w:p w14:paraId="47C3282F" w14:textId="77777777" w:rsidR="001F0009" w:rsidRPr="001F0009" w:rsidRDefault="001F0009" w:rsidP="007A37D2">
            <w:pPr>
              <w:spacing w:before="120"/>
              <w:rPr>
                <w:rFonts w:cs="Arial"/>
                <w:sz w:val="20"/>
                <w:szCs w:val="20"/>
                <w:lang w:val="en-GB" w:eastAsia="en-GB"/>
              </w:rPr>
            </w:pPr>
          </w:p>
        </w:tc>
        <w:tc>
          <w:tcPr>
            <w:tcW w:w="744" w:type="pct"/>
            <w:vMerge/>
          </w:tcPr>
          <w:p w14:paraId="24E973E2" w14:textId="77777777" w:rsidR="001F0009" w:rsidRPr="001F0009" w:rsidRDefault="001F0009" w:rsidP="007A37D2">
            <w:pPr>
              <w:spacing w:before="120"/>
              <w:rPr>
                <w:rFonts w:cs="Arial"/>
                <w:sz w:val="20"/>
                <w:szCs w:val="20"/>
                <w:lang w:val="en-GB" w:eastAsia="en-GB"/>
              </w:rPr>
            </w:pPr>
          </w:p>
        </w:tc>
        <w:tc>
          <w:tcPr>
            <w:tcW w:w="853" w:type="pct"/>
            <w:vMerge/>
          </w:tcPr>
          <w:p w14:paraId="2B0F72A7" w14:textId="77777777" w:rsidR="001F0009" w:rsidRPr="001F0009" w:rsidRDefault="001F0009" w:rsidP="007A37D2">
            <w:pPr>
              <w:spacing w:before="120"/>
              <w:rPr>
                <w:rFonts w:cs="Arial"/>
                <w:sz w:val="20"/>
                <w:szCs w:val="20"/>
              </w:rPr>
            </w:pPr>
          </w:p>
        </w:tc>
      </w:tr>
      <w:tr w:rsidR="001F0009" w:rsidRPr="001F0009" w14:paraId="4B2ABB25" w14:textId="77777777" w:rsidTr="007A37D2">
        <w:trPr>
          <w:trHeight w:val="470"/>
        </w:trPr>
        <w:tc>
          <w:tcPr>
            <w:tcW w:w="909" w:type="pct"/>
            <w:vMerge/>
            <w:shd w:val="clear" w:color="auto" w:fill="auto"/>
          </w:tcPr>
          <w:p w14:paraId="5B6A4F07" w14:textId="77777777" w:rsidR="001F0009" w:rsidRPr="001F0009" w:rsidRDefault="001F0009" w:rsidP="007A37D2">
            <w:pPr>
              <w:pStyle w:val="BodyText"/>
              <w:rPr>
                <w:rFonts w:cs="Arial"/>
                <w:b/>
                <w:sz w:val="20"/>
                <w:szCs w:val="20"/>
              </w:rPr>
            </w:pPr>
          </w:p>
        </w:tc>
        <w:tc>
          <w:tcPr>
            <w:tcW w:w="852" w:type="pct"/>
            <w:vMerge/>
          </w:tcPr>
          <w:p w14:paraId="18669D0E" w14:textId="77777777" w:rsidR="001F0009" w:rsidRPr="001F0009" w:rsidRDefault="001F0009" w:rsidP="007A37D2">
            <w:pPr>
              <w:spacing w:before="120"/>
              <w:rPr>
                <w:rFonts w:cs="Arial"/>
                <w:sz w:val="20"/>
                <w:szCs w:val="20"/>
              </w:rPr>
            </w:pPr>
          </w:p>
        </w:tc>
        <w:tc>
          <w:tcPr>
            <w:tcW w:w="739" w:type="pct"/>
            <w:vMerge/>
            <w:shd w:val="clear" w:color="auto" w:fill="auto"/>
          </w:tcPr>
          <w:p w14:paraId="33A3EFF0" w14:textId="77777777" w:rsidR="001F0009" w:rsidRPr="001F0009" w:rsidRDefault="001F0009" w:rsidP="007A37D2">
            <w:pPr>
              <w:spacing w:before="120"/>
              <w:rPr>
                <w:rFonts w:cs="Arial"/>
                <w:sz w:val="20"/>
                <w:szCs w:val="20"/>
              </w:rPr>
            </w:pPr>
          </w:p>
        </w:tc>
        <w:tc>
          <w:tcPr>
            <w:tcW w:w="903" w:type="pct"/>
            <w:vMerge/>
          </w:tcPr>
          <w:p w14:paraId="33389976" w14:textId="77777777" w:rsidR="001F0009" w:rsidRPr="001F0009" w:rsidRDefault="001F0009" w:rsidP="007A37D2">
            <w:pPr>
              <w:spacing w:before="120"/>
              <w:rPr>
                <w:rFonts w:cs="Arial"/>
                <w:sz w:val="20"/>
                <w:szCs w:val="20"/>
                <w:lang w:val="en-GB" w:eastAsia="en-GB"/>
              </w:rPr>
            </w:pPr>
          </w:p>
        </w:tc>
        <w:tc>
          <w:tcPr>
            <w:tcW w:w="744" w:type="pct"/>
            <w:vMerge/>
          </w:tcPr>
          <w:p w14:paraId="1D642474" w14:textId="77777777" w:rsidR="001F0009" w:rsidRPr="001F0009" w:rsidRDefault="001F0009" w:rsidP="007A37D2">
            <w:pPr>
              <w:spacing w:before="120"/>
              <w:rPr>
                <w:rFonts w:cs="Arial"/>
                <w:sz w:val="20"/>
                <w:szCs w:val="20"/>
                <w:lang w:val="en-GB" w:eastAsia="en-GB"/>
              </w:rPr>
            </w:pPr>
          </w:p>
        </w:tc>
        <w:tc>
          <w:tcPr>
            <w:tcW w:w="853" w:type="pct"/>
            <w:vMerge/>
          </w:tcPr>
          <w:p w14:paraId="25D72ECA" w14:textId="77777777" w:rsidR="001F0009" w:rsidRPr="001F0009" w:rsidRDefault="001F0009" w:rsidP="007A37D2">
            <w:pPr>
              <w:spacing w:before="120"/>
              <w:rPr>
                <w:rFonts w:cs="Arial"/>
                <w:sz w:val="20"/>
                <w:szCs w:val="20"/>
              </w:rPr>
            </w:pPr>
          </w:p>
        </w:tc>
      </w:tr>
      <w:tr w:rsidR="001F0009" w:rsidRPr="001F0009" w14:paraId="570B5424" w14:textId="77777777" w:rsidTr="007A37D2">
        <w:trPr>
          <w:trHeight w:val="350"/>
        </w:trPr>
        <w:tc>
          <w:tcPr>
            <w:tcW w:w="909" w:type="pct"/>
            <w:vMerge w:val="restart"/>
            <w:shd w:val="clear" w:color="auto" w:fill="auto"/>
          </w:tcPr>
          <w:p w14:paraId="415A6A62" w14:textId="77777777" w:rsidR="001F0009" w:rsidRPr="001F0009" w:rsidRDefault="001F0009" w:rsidP="007A37D2">
            <w:pPr>
              <w:pStyle w:val="BodyText"/>
              <w:rPr>
                <w:rFonts w:cs="Arial"/>
                <w:b/>
                <w:sz w:val="20"/>
                <w:szCs w:val="20"/>
              </w:rPr>
            </w:pPr>
            <w:r w:rsidRPr="001F0009">
              <w:rPr>
                <w:rFonts w:cs="Arial"/>
                <w:b/>
                <w:sz w:val="20"/>
                <w:szCs w:val="20"/>
              </w:rPr>
              <w:t xml:space="preserve">H Accumulating </w:t>
            </w:r>
          </w:p>
        </w:tc>
        <w:tc>
          <w:tcPr>
            <w:tcW w:w="852" w:type="pct"/>
            <w:vMerge w:val="restart"/>
          </w:tcPr>
          <w:p w14:paraId="44B019AD" w14:textId="77777777" w:rsidR="001F0009" w:rsidRPr="001F0009" w:rsidRDefault="001F0009" w:rsidP="007A37D2">
            <w:pPr>
              <w:spacing w:before="120"/>
              <w:rPr>
                <w:rFonts w:cs="Arial"/>
                <w:sz w:val="20"/>
                <w:szCs w:val="20"/>
              </w:rPr>
            </w:pPr>
            <w:r w:rsidRPr="001F0009">
              <w:rPr>
                <w:rFonts w:cs="Arial"/>
                <w:sz w:val="20"/>
                <w:szCs w:val="20"/>
              </w:rPr>
              <w:t>1.20%</w:t>
            </w:r>
          </w:p>
        </w:tc>
        <w:tc>
          <w:tcPr>
            <w:tcW w:w="739" w:type="pct"/>
            <w:vMerge w:val="restart"/>
            <w:shd w:val="clear" w:color="auto" w:fill="auto"/>
          </w:tcPr>
          <w:p w14:paraId="32D5E727"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53118CD2" w14:textId="4AEADC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00B163B9">
              <w:rPr>
                <w:rFonts w:cs="Arial"/>
                <w:sz w:val="20"/>
                <w:szCs w:val="20"/>
                <w:lang w:val="en-GB" w:eastAsia="en-GB"/>
              </w:rPr>
              <w:t>5</w:t>
            </w:r>
            <w:r w:rsidRPr="001F0009">
              <w:rPr>
                <w:rFonts w:cs="Arial"/>
                <w:sz w:val="20"/>
                <w:szCs w:val="20"/>
                <w:lang w:val="en-GB" w:eastAsia="en-GB"/>
              </w:rPr>
              <w:t>%</w:t>
            </w:r>
          </w:p>
          <w:p w14:paraId="63544355"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32A7F51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707130D7"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416B93A1"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042132D6" w14:textId="77777777" w:rsidTr="007A37D2">
        <w:trPr>
          <w:trHeight w:val="470"/>
        </w:trPr>
        <w:tc>
          <w:tcPr>
            <w:tcW w:w="909" w:type="pct"/>
            <w:vMerge/>
            <w:shd w:val="clear" w:color="auto" w:fill="auto"/>
          </w:tcPr>
          <w:p w14:paraId="68A7BBF2" w14:textId="77777777" w:rsidR="001F0009" w:rsidRPr="001F0009" w:rsidRDefault="001F0009" w:rsidP="007A37D2">
            <w:pPr>
              <w:pStyle w:val="BodyText"/>
              <w:rPr>
                <w:rFonts w:cs="Arial"/>
                <w:b/>
                <w:sz w:val="20"/>
                <w:szCs w:val="20"/>
              </w:rPr>
            </w:pPr>
          </w:p>
        </w:tc>
        <w:tc>
          <w:tcPr>
            <w:tcW w:w="852" w:type="pct"/>
            <w:vMerge/>
          </w:tcPr>
          <w:p w14:paraId="05E22F13" w14:textId="77777777" w:rsidR="001F0009" w:rsidRPr="001F0009" w:rsidRDefault="001F0009" w:rsidP="007A37D2">
            <w:pPr>
              <w:spacing w:before="120"/>
              <w:rPr>
                <w:rFonts w:cs="Arial"/>
                <w:sz w:val="20"/>
                <w:szCs w:val="20"/>
              </w:rPr>
            </w:pPr>
          </w:p>
        </w:tc>
        <w:tc>
          <w:tcPr>
            <w:tcW w:w="739" w:type="pct"/>
            <w:vMerge/>
            <w:shd w:val="clear" w:color="auto" w:fill="auto"/>
          </w:tcPr>
          <w:p w14:paraId="51349E8E" w14:textId="77777777" w:rsidR="001F0009" w:rsidRPr="001F0009" w:rsidRDefault="001F0009" w:rsidP="007A37D2">
            <w:pPr>
              <w:spacing w:before="120"/>
              <w:rPr>
                <w:rFonts w:cs="Arial"/>
                <w:sz w:val="20"/>
                <w:szCs w:val="20"/>
              </w:rPr>
            </w:pPr>
          </w:p>
        </w:tc>
        <w:tc>
          <w:tcPr>
            <w:tcW w:w="903" w:type="pct"/>
            <w:vMerge/>
          </w:tcPr>
          <w:p w14:paraId="6AB37F55" w14:textId="77777777" w:rsidR="001F0009" w:rsidRPr="001F0009" w:rsidRDefault="001F0009" w:rsidP="007A37D2">
            <w:pPr>
              <w:spacing w:before="120"/>
              <w:rPr>
                <w:rFonts w:cs="Arial"/>
                <w:sz w:val="20"/>
                <w:szCs w:val="20"/>
                <w:lang w:val="en-GB" w:eastAsia="en-GB"/>
              </w:rPr>
            </w:pPr>
          </w:p>
        </w:tc>
        <w:tc>
          <w:tcPr>
            <w:tcW w:w="744" w:type="pct"/>
            <w:vMerge/>
          </w:tcPr>
          <w:p w14:paraId="0328C03E" w14:textId="77777777" w:rsidR="001F0009" w:rsidRPr="001F0009" w:rsidRDefault="001F0009" w:rsidP="007A37D2">
            <w:pPr>
              <w:spacing w:before="120"/>
              <w:rPr>
                <w:rFonts w:cs="Arial"/>
                <w:sz w:val="20"/>
                <w:szCs w:val="20"/>
                <w:lang w:val="en-GB" w:eastAsia="en-GB"/>
              </w:rPr>
            </w:pPr>
          </w:p>
        </w:tc>
        <w:tc>
          <w:tcPr>
            <w:tcW w:w="853" w:type="pct"/>
            <w:vMerge/>
          </w:tcPr>
          <w:p w14:paraId="4D63AE44" w14:textId="77777777" w:rsidR="001F0009" w:rsidRPr="001F0009" w:rsidRDefault="001F0009" w:rsidP="007A37D2">
            <w:pPr>
              <w:spacing w:before="120"/>
              <w:rPr>
                <w:rFonts w:cs="Arial"/>
                <w:sz w:val="20"/>
                <w:szCs w:val="20"/>
              </w:rPr>
            </w:pPr>
          </w:p>
        </w:tc>
      </w:tr>
      <w:tr w:rsidR="001F0009" w:rsidRPr="001F0009" w14:paraId="5C0C7A22" w14:textId="77777777" w:rsidTr="007A37D2">
        <w:trPr>
          <w:trHeight w:val="470"/>
        </w:trPr>
        <w:tc>
          <w:tcPr>
            <w:tcW w:w="909" w:type="pct"/>
            <w:vMerge/>
            <w:shd w:val="clear" w:color="auto" w:fill="auto"/>
          </w:tcPr>
          <w:p w14:paraId="08A7F4D7" w14:textId="77777777" w:rsidR="001F0009" w:rsidRPr="001F0009" w:rsidRDefault="001F0009" w:rsidP="007A37D2">
            <w:pPr>
              <w:pStyle w:val="BodyText"/>
              <w:rPr>
                <w:rFonts w:cs="Arial"/>
                <w:b/>
                <w:sz w:val="20"/>
                <w:szCs w:val="20"/>
              </w:rPr>
            </w:pPr>
          </w:p>
        </w:tc>
        <w:tc>
          <w:tcPr>
            <w:tcW w:w="852" w:type="pct"/>
            <w:vMerge/>
          </w:tcPr>
          <w:p w14:paraId="2E689F51" w14:textId="77777777" w:rsidR="001F0009" w:rsidRPr="001F0009" w:rsidRDefault="001F0009" w:rsidP="007A37D2">
            <w:pPr>
              <w:spacing w:before="120"/>
              <w:rPr>
                <w:rFonts w:cs="Arial"/>
                <w:sz w:val="20"/>
                <w:szCs w:val="20"/>
              </w:rPr>
            </w:pPr>
          </w:p>
        </w:tc>
        <w:tc>
          <w:tcPr>
            <w:tcW w:w="739" w:type="pct"/>
            <w:vMerge/>
            <w:shd w:val="clear" w:color="auto" w:fill="auto"/>
          </w:tcPr>
          <w:p w14:paraId="7EB4BDA4" w14:textId="77777777" w:rsidR="001F0009" w:rsidRPr="001F0009" w:rsidRDefault="001F0009" w:rsidP="007A37D2">
            <w:pPr>
              <w:spacing w:before="120"/>
              <w:rPr>
                <w:rFonts w:cs="Arial"/>
                <w:sz w:val="20"/>
                <w:szCs w:val="20"/>
              </w:rPr>
            </w:pPr>
          </w:p>
        </w:tc>
        <w:tc>
          <w:tcPr>
            <w:tcW w:w="903" w:type="pct"/>
            <w:vMerge/>
          </w:tcPr>
          <w:p w14:paraId="76DC26E6" w14:textId="77777777" w:rsidR="001F0009" w:rsidRPr="001F0009" w:rsidRDefault="001F0009" w:rsidP="007A37D2">
            <w:pPr>
              <w:spacing w:before="120"/>
              <w:rPr>
                <w:rFonts w:cs="Arial"/>
                <w:sz w:val="20"/>
                <w:szCs w:val="20"/>
                <w:lang w:val="en-GB" w:eastAsia="en-GB"/>
              </w:rPr>
            </w:pPr>
          </w:p>
        </w:tc>
        <w:tc>
          <w:tcPr>
            <w:tcW w:w="744" w:type="pct"/>
            <w:vMerge/>
          </w:tcPr>
          <w:p w14:paraId="76CD3C2A" w14:textId="77777777" w:rsidR="001F0009" w:rsidRPr="001F0009" w:rsidRDefault="001F0009" w:rsidP="007A37D2">
            <w:pPr>
              <w:spacing w:before="120"/>
              <w:rPr>
                <w:rFonts w:cs="Arial"/>
                <w:sz w:val="20"/>
                <w:szCs w:val="20"/>
                <w:lang w:val="en-GB" w:eastAsia="en-GB"/>
              </w:rPr>
            </w:pPr>
          </w:p>
        </w:tc>
        <w:tc>
          <w:tcPr>
            <w:tcW w:w="853" w:type="pct"/>
            <w:vMerge/>
          </w:tcPr>
          <w:p w14:paraId="3A8A05C7" w14:textId="77777777" w:rsidR="001F0009" w:rsidRPr="001F0009" w:rsidRDefault="001F0009" w:rsidP="007A37D2">
            <w:pPr>
              <w:spacing w:before="120"/>
              <w:rPr>
                <w:rFonts w:cs="Arial"/>
                <w:sz w:val="20"/>
                <w:szCs w:val="20"/>
              </w:rPr>
            </w:pPr>
          </w:p>
        </w:tc>
      </w:tr>
      <w:tr w:rsidR="001F0009" w:rsidRPr="001F0009" w14:paraId="3C21AB43" w14:textId="77777777" w:rsidTr="007A37D2">
        <w:trPr>
          <w:trHeight w:val="350"/>
        </w:trPr>
        <w:tc>
          <w:tcPr>
            <w:tcW w:w="909" w:type="pct"/>
            <w:vMerge w:val="restart"/>
            <w:shd w:val="clear" w:color="auto" w:fill="auto"/>
          </w:tcPr>
          <w:p w14:paraId="65B65832" w14:textId="77777777" w:rsidR="001F0009" w:rsidRPr="001F0009" w:rsidRDefault="001F0009" w:rsidP="007A37D2">
            <w:pPr>
              <w:pStyle w:val="BodyText"/>
              <w:rPr>
                <w:rFonts w:cs="Arial"/>
                <w:b/>
                <w:sz w:val="20"/>
                <w:szCs w:val="20"/>
              </w:rPr>
            </w:pPr>
            <w:r w:rsidRPr="001F0009">
              <w:rPr>
                <w:rFonts w:cs="Arial"/>
                <w:b/>
                <w:sz w:val="20"/>
                <w:szCs w:val="20"/>
              </w:rPr>
              <w:t xml:space="preserve">I Accumulating </w:t>
            </w:r>
          </w:p>
        </w:tc>
        <w:tc>
          <w:tcPr>
            <w:tcW w:w="852" w:type="pct"/>
            <w:vMerge w:val="restart"/>
          </w:tcPr>
          <w:p w14:paraId="1F625AF2" w14:textId="5C5FF674" w:rsidR="001F0009" w:rsidRPr="001F0009" w:rsidRDefault="001F0009" w:rsidP="007A37D2">
            <w:pPr>
              <w:spacing w:before="120"/>
              <w:rPr>
                <w:rFonts w:cs="Arial"/>
                <w:sz w:val="20"/>
                <w:szCs w:val="20"/>
              </w:rPr>
            </w:pPr>
            <w:r w:rsidRPr="001F0009">
              <w:rPr>
                <w:rFonts w:cs="Arial"/>
                <w:sz w:val="20"/>
                <w:szCs w:val="20"/>
              </w:rPr>
              <w:t>1.50%</w:t>
            </w:r>
          </w:p>
        </w:tc>
        <w:tc>
          <w:tcPr>
            <w:tcW w:w="739" w:type="pct"/>
            <w:vMerge w:val="restart"/>
            <w:shd w:val="clear" w:color="auto" w:fill="auto"/>
          </w:tcPr>
          <w:p w14:paraId="1B47B528"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8FD7EB3" w14:textId="5EA88BB5"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1FF2513A"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2E22DA6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0A20EA46"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BC83EE5"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69EA782F" w14:textId="77777777" w:rsidTr="007A37D2">
        <w:trPr>
          <w:trHeight w:val="470"/>
        </w:trPr>
        <w:tc>
          <w:tcPr>
            <w:tcW w:w="909" w:type="pct"/>
            <w:vMerge/>
            <w:shd w:val="clear" w:color="auto" w:fill="auto"/>
          </w:tcPr>
          <w:p w14:paraId="72B3FB89" w14:textId="77777777" w:rsidR="001F0009" w:rsidRPr="001F0009" w:rsidRDefault="001F0009" w:rsidP="007A37D2">
            <w:pPr>
              <w:pStyle w:val="BodyText"/>
              <w:rPr>
                <w:rFonts w:cs="Arial"/>
                <w:b/>
                <w:sz w:val="20"/>
                <w:szCs w:val="20"/>
              </w:rPr>
            </w:pPr>
          </w:p>
        </w:tc>
        <w:tc>
          <w:tcPr>
            <w:tcW w:w="852" w:type="pct"/>
            <w:vMerge/>
          </w:tcPr>
          <w:p w14:paraId="7DC59A92" w14:textId="77777777" w:rsidR="001F0009" w:rsidRPr="001F0009" w:rsidRDefault="001F0009" w:rsidP="007A37D2">
            <w:pPr>
              <w:spacing w:before="120"/>
              <w:rPr>
                <w:rFonts w:cs="Arial"/>
                <w:sz w:val="20"/>
                <w:szCs w:val="20"/>
              </w:rPr>
            </w:pPr>
          </w:p>
        </w:tc>
        <w:tc>
          <w:tcPr>
            <w:tcW w:w="739" w:type="pct"/>
            <w:vMerge/>
            <w:shd w:val="clear" w:color="auto" w:fill="auto"/>
          </w:tcPr>
          <w:p w14:paraId="20C7D125" w14:textId="77777777" w:rsidR="001F0009" w:rsidRPr="001F0009" w:rsidRDefault="001F0009" w:rsidP="007A37D2">
            <w:pPr>
              <w:spacing w:before="120"/>
              <w:rPr>
                <w:rFonts w:cs="Arial"/>
                <w:sz w:val="20"/>
                <w:szCs w:val="20"/>
              </w:rPr>
            </w:pPr>
          </w:p>
        </w:tc>
        <w:tc>
          <w:tcPr>
            <w:tcW w:w="903" w:type="pct"/>
            <w:vMerge/>
          </w:tcPr>
          <w:p w14:paraId="2CAF46E5" w14:textId="77777777" w:rsidR="001F0009" w:rsidRPr="001F0009" w:rsidRDefault="001F0009" w:rsidP="007A37D2">
            <w:pPr>
              <w:spacing w:before="120"/>
              <w:rPr>
                <w:rFonts w:cs="Arial"/>
                <w:sz w:val="20"/>
                <w:szCs w:val="20"/>
                <w:lang w:val="en-GB" w:eastAsia="en-GB"/>
              </w:rPr>
            </w:pPr>
          </w:p>
        </w:tc>
        <w:tc>
          <w:tcPr>
            <w:tcW w:w="744" w:type="pct"/>
            <w:vMerge/>
          </w:tcPr>
          <w:p w14:paraId="5B3F797C" w14:textId="77777777" w:rsidR="001F0009" w:rsidRPr="001F0009" w:rsidRDefault="001F0009" w:rsidP="007A37D2">
            <w:pPr>
              <w:spacing w:before="120"/>
              <w:rPr>
                <w:rFonts w:cs="Arial"/>
                <w:sz w:val="20"/>
                <w:szCs w:val="20"/>
                <w:lang w:val="en-GB" w:eastAsia="en-GB"/>
              </w:rPr>
            </w:pPr>
          </w:p>
        </w:tc>
        <w:tc>
          <w:tcPr>
            <w:tcW w:w="853" w:type="pct"/>
            <w:vMerge/>
          </w:tcPr>
          <w:p w14:paraId="2D247007" w14:textId="77777777" w:rsidR="001F0009" w:rsidRPr="001F0009" w:rsidRDefault="001F0009" w:rsidP="007A37D2">
            <w:pPr>
              <w:spacing w:before="120"/>
              <w:rPr>
                <w:rFonts w:cs="Arial"/>
                <w:sz w:val="20"/>
                <w:szCs w:val="20"/>
              </w:rPr>
            </w:pPr>
          </w:p>
        </w:tc>
      </w:tr>
      <w:tr w:rsidR="001F0009" w:rsidRPr="001F0009" w14:paraId="27E98970" w14:textId="77777777" w:rsidTr="007A37D2">
        <w:trPr>
          <w:trHeight w:val="470"/>
        </w:trPr>
        <w:tc>
          <w:tcPr>
            <w:tcW w:w="909" w:type="pct"/>
            <w:vMerge/>
            <w:shd w:val="clear" w:color="auto" w:fill="auto"/>
          </w:tcPr>
          <w:p w14:paraId="63119364" w14:textId="77777777" w:rsidR="001F0009" w:rsidRPr="001F0009" w:rsidRDefault="001F0009" w:rsidP="007A37D2">
            <w:pPr>
              <w:pStyle w:val="BodyText"/>
              <w:rPr>
                <w:rFonts w:cs="Arial"/>
                <w:b/>
                <w:sz w:val="20"/>
                <w:szCs w:val="20"/>
              </w:rPr>
            </w:pPr>
          </w:p>
        </w:tc>
        <w:tc>
          <w:tcPr>
            <w:tcW w:w="852" w:type="pct"/>
            <w:vMerge/>
          </w:tcPr>
          <w:p w14:paraId="345047E2" w14:textId="77777777" w:rsidR="001F0009" w:rsidRPr="001F0009" w:rsidRDefault="001F0009" w:rsidP="007A37D2">
            <w:pPr>
              <w:spacing w:before="120"/>
              <w:rPr>
                <w:rFonts w:cs="Arial"/>
                <w:sz w:val="20"/>
                <w:szCs w:val="20"/>
              </w:rPr>
            </w:pPr>
          </w:p>
        </w:tc>
        <w:tc>
          <w:tcPr>
            <w:tcW w:w="739" w:type="pct"/>
            <w:vMerge/>
            <w:shd w:val="clear" w:color="auto" w:fill="auto"/>
          </w:tcPr>
          <w:p w14:paraId="06E279CE" w14:textId="77777777" w:rsidR="001F0009" w:rsidRPr="001F0009" w:rsidRDefault="001F0009" w:rsidP="007A37D2">
            <w:pPr>
              <w:spacing w:before="120"/>
              <w:rPr>
                <w:rFonts w:cs="Arial"/>
                <w:sz w:val="20"/>
                <w:szCs w:val="20"/>
              </w:rPr>
            </w:pPr>
          </w:p>
        </w:tc>
        <w:tc>
          <w:tcPr>
            <w:tcW w:w="903" w:type="pct"/>
            <w:vMerge/>
          </w:tcPr>
          <w:p w14:paraId="39677900" w14:textId="77777777" w:rsidR="001F0009" w:rsidRPr="001F0009" w:rsidRDefault="001F0009" w:rsidP="007A37D2">
            <w:pPr>
              <w:spacing w:before="120"/>
              <w:rPr>
                <w:rFonts w:cs="Arial"/>
                <w:sz w:val="20"/>
                <w:szCs w:val="20"/>
                <w:lang w:val="en-GB" w:eastAsia="en-GB"/>
              </w:rPr>
            </w:pPr>
          </w:p>
        </w:tc>
        <w:tc>
          <w:tcPr>
            <w:tcW w:w="744" w:type="pct"/>
            <w:vMerge/>
          </w:tcPr>
          <w:p w14:paraId="5199D26F" w14:textId="77777777" w:rsidR="001F0009" w:rsidRPr="001F0009" w:rsidRDefault="001F0009" w:rsidP="007A37D2">
            <w:pPr>
              <w:spacing w:before="120"/>
              <w:rPr>
                <w:rFonts w:cs="Arial"/>
                <w:sz w:val="20"/>
                <w:szCs w:val="20"/>
                <w:lang w:val="en-GB" w:eastAsia="en-GB"/>
              </w:rPr>
            </w:pPr>
          </w:p>
        </w:tc>
        <w:tc>
          <w:tcPr>
            <w:tcW w:w="853" w:type="pct"/>
            <w:vMerge/>
          </w:tcPr>
          <w:p w14:paraId="152AD993" w14:textId="77777777" w:rsidR="001F0009" w:rsidRPr="001F0009" w:rsidRDefault="001F0009" w:rsidP="007A37D2">
            <w:pPr>
              <w:spacing w:before="120"/>
              <w:rPr>
                <w:rFonts w:cs="Arial"/>
                <w:sz w:val="20"/>
                <w:szCs w:val="20"/>
              </w:rPr>
            </w:pPr>
          </w:p>
        </w:tc>
      </w:tr>
      <w:tr w:rsidR="001F0009" w:rsidRPr="001F0009" w14:paraId="6B71E6B1" w14:textId="77777777" w:rsidTr="007A37D2">
        <w:trPr>
          <w:trHeight w:val="350"/>
        </w:trPr>
        <w:tc>
          <w:tcPr>
            <w:tcW w:w="909" w:type="pct"/>
            <w:vMerge w:val="restart"/>
            <w:shd w:val="clear" w:color="auto" w:fill="auto"/>
          </w:tcPr>
          <w:p w14:paraId="454A4788" w14:textId="77777777" w:rsidR="001F0009" w:rsidRPr="001F0009" w:rsidRDefault="001F0009" w:rsidP="007A37D2">
            <w:pPr>
              <w:pStyle w:val="BodyText"/>
              <w:rPr>
                <w:rFonts w:cs="Arial"/>
                <w:b/>
                <w:sz w:val="20"/>
                <w:szCs w:val="20"/>
              </w:rPr>
            </w:pPr>
            <w:r w:rsidRPr="001F0009">
              <w:rPr>
                <w:rFonts w:cs="Arial"/>
                <w:b/>
                <w:sz w:val="20"/>
                <w:szCs w:val="20"/>
              </w:rPr>
              <w:t xml:space="preserve">J Distributing </w:t>
            </w:r>
          </w:p>
        </w:tc>
        <w:tc>
          <w:tcPr>
            <w:tcW w:w="852" w:type="pct"/>
            <w:vMerge w:val="restart"/>
          </w:tcPr>
          <w:p w14:paraId="4DA70EF0" w14:textId="77777777" w:rsidR="001F0009" w:rsidRPr="001F0009" w:rsidRDefault="001F0009" w:rsidP="007A37D2">
            <w:pPr>
              <w:spacing w:before="120"/>
              <w:rPr>
                <w:rFonts w:cs="Arial"/>
                <w:sz w:val="20"/>
                <w:szCs w:val="20"/>
              </w:rPr>
            </w:pPr>
            <w:r w:rsidRPr="001F0009">
              <w:rPr>
                <w:rFonts w:cs="Arial"/>
                <w:sz w:val="20"/>
                <w:szCs w:val="20"/>
              </w:rPr>
              <w:t>0.55%</w:t>
            </w:r>
          </w:p>
        </w:tc>
        <w:tc>
          <w:tcPr>
            <w:tcW w:w="739" w:type="pct"/>
            <w:vMerge w:val="restart"/>
            <w:shd w:val="clear" w:color="auto" w:fill="auto"/>
          </w:tcPr>
          <w:p w14:paraId="1CF4E18F"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797DF2A7" w14:textId="61EE7EB6"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FD2EA59"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97557F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75BB528C"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E5AC630"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32538A1D" w14:textId="77777777" w:rsidTr="007A37D2">
        <w:trPr>
          <w:trHeight w:val="470"/>
        </w:trPr>
        <w:tc>
          <w:tcPr>
            <w:tcW w:w="909" w:type="pct"/>
            <w:vMerge/>
            <w:shd w:val="clear" w:color="auto" w:fill="auto"/>
          </w:tcPr>
          <w:p w14:paraId="0BAC0A8B" w14:textId="77777777" w:rsidR="001F0009" w:rsidRPr="001F0009" w:rsidRDefault="001F0009" w:rsidP="007A37D2">
            <w:pPr>
              <w:pStyle w:val="BodyText"/>
              <w:rPr>
                <w:rFonts w:cs="Arial"/>
                <w:b/>
                <w:sz w:val="20"/>
                <w:szCs w:val="20"/>
              </w:rPr>
            </w:pPr>
          </w:p>
        </w:tc>
        <w:tc>
          <w:tcPr>
            <w:tcW w:w="852" w:type="pct"/>
            <w:vMerge/>
          </w:tcPr>
          <w:p w14:paraId="621D1BE2" w14:textId="77777777" w:rsidR="001F0009" w:rsidRPr="001F0009" w:rsidRDefault="001F0009" w:rsidP="007A37D2">
            <w:pPr>
              <w:spacing w:before="120"/>
              <w:rPr>
                <w:rFonts w:cs="Arial"/>
                <w:sz w:val="20"/>
                <w:szCs w:val="20"/>
              </w:rPr>
            </w:pPr>
          </w:p>
        </w:tc>
        <w:tc>
          <w:tcPr>
            <w:tcW w:w="739" w:type="pct"/>
            <w:vMerge/>
            <w:shd w:val="clear" w:color="auto" w:fill="auto"/>
          </w:tcPr>
          <w:p w14:paraId="11C39F72" w14:textId="77777777" w:rsidR="001F0009" w:rsidRPr="001F0009" w:rsidRDefault="001F0009" w:rsidP="007A37D2">
            <w:pPr>
              <w:spacing w:before="120"/>
              <w:rPr>
                <w:rFonts w:cs="Arial"/>
                <w:sz w:val="20"/>
                <w:szCs w:val="20"/>
              </w:rPr>
            </w:pPr>
          </w:p>
        </w:tc>
        <w:tc>
          <w:tcPr>
            <w:tcW w:w="903" w:type="pct"/>
            <w:vMerge/>
          </w:tcPr>
          <w:p w14:paraId="18C892F0" w14:textId="77777777" w:rsidR="001F0009" w:rsidRPr="001F0009" w:rsidRDefault="001F0009" w:rsidP="007A37D2">
            <w:pPr>
              <w:spacing w:before="120"/>
              <w:rPr>
                <w:rFonts w:cs="Arial"/>
                <w:sz w:val="20"/>
                <w:szCs w:val="20"/>
                <w:lang w:val="en-GB" w:eastAsia="en-GB"/>
              </w:rPr>
            </w:pPr>
          </w:p>
        </w:tc>
        <w:tc>
          <w:tcPr>
            <w:tcW w:w="744" w:type="pct"/>
            <w:vMerge/>
          </w:tcPr>
          <w:p w14:paraId="61B9AF57" w14:textId="77777777" w:rsidR="001F0009" w:rsidRPr="001F0009" w:rsidRDefault="001F0009" w:rsidP="007A37D2">
            <w:pPr>
              <w:spacing w:before="120"/>
              <w:rPr>
                <w:rFonts w:cs="Arial"/>
                <w:sz w:val="20"/>
                <w:szCs w:val="20"/>
                <w:lang w:val="en-GB" w:eastAsia="en-GB"/>
              </w:rPr>
            </w:pPr>
          </w:p>
        </w:tc>
        <w:tc>
          <w:tcPr>
            <w:tcW w:w="853" w:type="pct"/>
            <w:vMerge/>
          </w:tcPr>
          <w:p w14:paraId="2B88989D" w14:textId="77777777" w:rsidR="001F0009" w:rsidRPr="001F0009" w:rsidRDefault="001F0009" w:rsidP="007A37D2">
            <w:pPr>
              <w:spacing w:before="120"/>
              <w:rPr>
                <w:rFonts w:cs="Arial"/>
                <w:sz w:val="20"/>
                <w:szCs w:val="20"/>
              </w:rPr>
            </w:pPr>
          </w:p>
        </w:tc>
      </w:tr>
      <w:tr w:rsidR="001F0009" w:rsidRPr="001F0009" w14:paraId="53E8C5EE" w14:textId="77777777" w:rsidTr="007A37D2">
        <w:trPr>
          <w:trHeight w:val="470"/>
        </w:trPr>
        <w:tc>
          <w:tcPr>
            <w:tcW w:w="909" w:type="pct"/>
            <w:vMerge/>
            <w:shd w:val="clear" w:color="auto" w:fill="auto"/>
          </w:tcPr>
          <w:p w14:paraId="49E65486" w14:textId="77777777" w:rsidR="001F0009" w:rsidRPr="001F0009" w:rsidRDefault="001F0009" w:rsidP="007A37D2">
            <w:pPr>
              <w:pStyle w:val="BodyText"/>
              <w:rPr>
                <w:rFonts w:cs="Arial"/>
                <w:b/>
                <w:sz w:val="20"/>
                <w:szCs w:val="20"/>
              </w:rPr>
            </w:pPr>
          </w:p>
        </w:tc>
        <w:tc>
          <w:tcPr>
            <w:tcW w:w="852" w:type="pct"/>
            <w:vMerge/>
          </w:tcPr>
          <w:p w14:paraId="2445784A" w14:textId="77777777" w:rsidR="001F0009" w:rsidRPr="001F0009" w:rsidRDefault="001F0009" w:rsidP="007A37D2">
            <w:pPr>
              <w:spacing w:before="120"/>
              <w:rPr>
                <w:rFonts w:cs="Arial"/>
                <w:sz w:val="20"/>
                <w:szCs w:val="20"/>
              </w:rPr>
            </w:pPr>
          </w:p>
        </w:tc>
        <w:tc>
          <w:tcPr>
            <w:tcW w:w="739" w:type="pct"/>
            <w:vMerge/>
            <w:shd w:val="clear" w:color="auto" w:fill="auto"/>
          </w:tcPr>
          <w:p w14:paraId="18248008" w14:textId="77777777" w:rsidR="001F0009" w:rsidRPr="001F0009" w:rsidRDefault="001F0009" w:rsidP="007A37D2">
            <w:pPr>
              <w:spacing w:before="120"/>
              <w:rPr>
                <w:rFonts w:cs="Arial"/>
                <w:sz w:val="20"/>
                <w:szCs w:val="20"/>
              </w:rPr>
            </w:pPr>
          </w:p>
        </w:tc>
        <w:tc>
          <w:tcPr>
            <w:tcW w:w="903" w:type="pct"/>
            <w:vMerge/>
          </w:tcPr>
          <w:p w14:paraId="4B5081E1" w14:textId="77777777" w:rsidR="001F0009" w:rsidRPr="001F0009" w:rsidRDefault="001F0009" w:rsidP="007A37D2">
            <w:pPr>
              <w:spacing w:before="120"/>
              <w:rPr>
                <w:rFonts w:cs="Arial"/>
                <w:sz w:val="20"/>
                <w:szCs w:val="20"/>
                <w:lang w:val="en-GB" w:eastAsia="en-GB"/>
              </w:rPr>
            </w:pPr>
          </w:p>
        </w:tc>
        <w:tc>
          <w:tcPr>
            <w:tcW w:w="744" w:type="pct"/>
            <w:vMerge/>
          </w:tcPr>
          <w:p w14:paraId="6A937FCF" w14:textId="77777777" w:rsidR="001F0009" w:rsidRPr="001F0009" w:rsidRDefault="001F0009" w:rsidP="007A37D2">
            <w:pPr>
              <w:spacing w:before="120"/>
              <w:rPr>
                <w:rFonts w:cs="Arial"/>
                <w:sz w:val="20"/>
                <w:szCs w:val="20"/>
                <w:lang w:val="en-GB" w:eastAsia="en-GB"/>
              </w:rPr>
            </w:pPr>
          </w:p>
        </w:tc>
        <w:tc>
          <w:tcPr>
            <w:tcW w:w="853" w:type="pct"/>
            <w:vMerge/>
          </w:tcPr>
          <w:p w14:paraId="379B17B1" w14:textId="77777777" w:rsidR="001F0009" w:rsidRPr="001F0009" w:rsidRDefault="001F0009" w:rsidP="007A37D2">
            <w:pPr>
              <w:spacing w:before="120"/>
              <w:rPr>
                <w:rFonts w:cs="Arial"/>
                <w:sz w:val="20"/>
                <w:szCs w:val="20"/>
              </w:rPr>
            </w:pPr>
          </w:p>
        </w:tc>
      </w:tr>
      <w:tr w:rsidR="001F0009" w:rsidRPr="001F0009" w14:paraId="71EDF106" w14:textId="77777777" w:rsidTr="007A37D2">
        <w:trPr>
          <w:trHeight w:val="350"/>
        </w:trPr>
        <w:tc>
          <w:tcPr>
            <w:tcW w:w="909" w:type="pct"/>
            <w:vMerge w:val="restart"/>
            <w:shd w:val="clear" w:color="auto" w:fill="auto"/>
          </w:tcPr>
          <w:p w14:paraId="23FE1321" w14:textId="77777777" w:rsidR="001F0009" w:rsidRPr="001F0009" w:rsidRDefault="001F0009" w:rsidP="007A37D2">
            <w:pPr>
              <w:pStyle w:val="BodyText"/>
              <w:rPr>
                <w:rFonts w:cs="Arial"/>
                <w:b/>
                <w:sz w:val="20"/>
                <w:szCs w:val="20"/>
              </w:rPr>
            </w:pPr>
            <w:r w:rsidRPr="001F0009">
              <w:rPr>
                <w:rFonts w:cs="Arial"/>
                <w:b/>
                <w:sz w:val="20"/>
                <w:szCs w:val="20"/>
              </w:rPr>
              <w:t>K Distributing</w:t>
            </w:r>
          </w:p>
          <w:p w14:paraId="6530A065" w14:textId="77777777" w:rsidR="001F0009" w:rsidRPr="001F0009" w:rsidRDefault="001F0009" w:rsidP="007A37D2">
            <w:pPr>
              <w:pStyle w:val="BodyText"/>
              <w:rPr>
                <w:rFonts w:cs="Arial"/>
                <w:b/>
                <w:sz w:val="20"/>
                <w:szCs w:val="20"/>
              </w:rPr>
            </w:pPr>
          </w:p>
          <w:p w14:paraId="15862081" w14:textId="77777777" w:rsidR="001F0009" w:rsidRPr="001F0009" w:rsidRDefault="001F0009" w:rsidP="007A37D2">
            <w:pPr>
              <w:pStyle w:val="BodyText"/>
              <w:rPr>
                <w:rFonts w:cs="Arial"/>
                <w:b/>
                <w:sz w:val="20"/>
                <w:szCs w:val="20"/>
              </w:rPr>
            </w:pPr>
          </w:p>
          <w:p w14:paraId="5599B839" w14:textId="77777777" w:rsidR="001F0009" w:rsidRPr="001F0009" w:rsidRDefault="001F0009" w:rsidP="007A37D2">
            <w:pPr>
              <w:pStyle w:val="BodyText"/>
              <w:rPr>
                <w:rFonts w:cs="Arial"/>
                <w:b/>
                <w:sz w:val="20"/>
                <w:szCs w:val="20"/>
              </w:rPr>
            </w:pPr>
          </w:p>
          <w:p w14:paraId="053D47DD" w14:textId="77777777" w:rsidR="001F0009" w:rsidRPr="001F0009" w:rsidRDefault="001F0009" w:rsidP="007A37D2">
            <w:pPr>
              <w:pStyle w:val="BodyText"/>
              <w:rPr>
                <w:rFonts w:cs="Arial"/>
                <w:b/>
                <w:sz w:val="20"/>
                <w:szCs w:val="20"/>
              </w:rPr>
            </w:pPr>
          </w:p>
          <w:p w14:paraId="1AFAA501" w14:textId="77777777" w:rsidR="001F0009" w:rsidRPr="001F0009" w:rsidRDefault="001F0009" w:rsidP="007A37D2">
            <w:pPr>
              <w:pStyle w:val="BodyText"/>
              <w:rPr>
                <w:rFonts w:cs="Arial"/>
                <w:b/>
                <w:sz w:val="20"/>
                <w:szCs w:val="20"/>
              </w:rPr>
            </w:pPr>
          </w:p>
        </w:tc>
        <w:tc>
          <w:tcPr>
            <w:tcW w:w="852" w:type="pct"/>
            <w:vMerge w:val="restart"/>
          </w:tcPr>
          <w:p w14:paraId="1C98E84A" w14:textId="77777777" w:rsidR="001F0009" w:rsidRPr="001F0009" w:rsidRDefault="001F0009" w:rsidP="007A37D2">
            <w:pPr>
              <w:spacing w:before="120"/>
              <w:rPr>
                <w:rFonts w:cs="Arial"/>
                <w:sz w:val="20"/>
                <w:szCs w:val="20"/>
              </w:rPr>
            </w:pPr>
            <w:r w:rsidRPr="001F0009">
              <w:rPr>
                <w:rFonts w:cs="Arial"/>
                <w:sz w:val="20"/>
                <w:szCs w:val="20"/>
              </w:rPr>
              <w:t>0.75%</w:t>
            </w:r>
          </w:p>
        </w:tc>
        <w:tc>
          <w:tcPr>
            <w:tcW w:w="739" w:type="pct"/>
            <w:vMerge w:val="restart"/>
            <w:shd w:val="clear" w:color="auto" w:fill="auto"/>
          </w:tcPr>
          <w:p w14:paraId="311418F4"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6B0E19B6" w14:textId="686BFC3E"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16FD497D"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DF90952"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25E73827"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3261EDD6"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0ECB7E9C" w14:textId="77777777" w:rsidTr="007A37D2">
        <w:trPr>
          <w:trHeight w:val="470"/>
        </w:trPr>
        <w:tc>
          <w:tcPr>
            <w:tcW w:w="909" w:type="pct"/>
            <w:vMerge/>
            <w:shd w:val="clear" w:color="auto" w:fill="auto"/>
          </w:tcPr>
          <w:p w14:paraId="50445B8E" w14:textId="77777777" w:rsidR="001F0009" w:rsidRPr="001F0009" w:rsidRDefault="001F0009" w:rsidP="007A37D2">
            <w:pPr>
              <w:pStyle w:val="BodyText"/>
              <w:rPr>
                <w:rFonts w:cs="Arial"/>
                <w:b/>
                <w:sz w:val="20"/>
                <w:szCs w:val="20"/>
              </w:rPr>
            </w:pPr>
          </w:p>
        </w:tc>
        <w:tc>
          <w:tcPr>
            <w:tcW w:w="852" w:type="pct"/>
            <w:vMerge/>
          </w:tcPr>
          <w:p w14:paraId="69793179" w14:textId="77777777" w:rsidR="001F0009" w:rsidRPr="001F0009" w:rsidRDefault="001F0009" w:rsidP="007A37D2">
            <w:pPr>
              <w:spacing w:before="120"/>
              <w:rPr>
                <w:rFonts w:cs="Arial"/>
                <w:sz w:val="20"/>
                <w:szCs w:val="20"/>
              </w:rPr>
            </w:pPr>
          </w:p>
        </w:tc>
        <w:tc>
          <w:tcPr>
            <w:tcW w:w="739" w:type="pct"/>
            <w:vMerge/>
            <w:shd w:val="clear" w:color="auto" w:fill="auto"/>
          </w:tcPr>
          <w:p w14:paraId="696BD575" w14:textId="77777777" w:rsidR="001F0009" w:rsidRPr="001F0009" w:rsidRDefault="001F0009" w:rsidP="007A37D2">
            <w:pPr>
              <w:spacing w:before="120"/>
              <w:rPr>
                <w:rFonts w:cs="Arial"/>
                <w:sz w:val="20"/>
                <w:szCs w:val="20"/>
              </w:rPr>
            </w:pPr>
          </w:p>
        </w:tc>
        <w:tc>
          <w:tcPr>
            <w:tcW w:w="903" w:type="pct"/>
            <w:vMerge/>
          </w:tcPr>
          <w:p w14:paraId="68E8D5EC" w14:textId="77777777" w:rsidR="001F0009" w:rsidRPr="001F0009" w:rsidRDefault="001F0009" w:rsidP="007A37D2">
            <w:pPr>
              <w:spacing w:before="120"/>
              <w:rPr>
                <w:rFonts w:cs="Arial"/>
                <w:sz w:val="20"/>
                <w:szCs w:val="20"/>
                <w:lang w:val="en-GB" w:eastAsia="en-GB"/>
              </w:rPr>
            </w:pPr>
          </w:p>
        </w:tc>
        <w:tc>
          <w:tcPr>
            <w:tcW w:w="744" w:type="pct"/>
            <w:vMerge/>
          </w:tcPr>
          <w:p w14:paraId="4763B891" w14:textId="77777777" w:rsidR="001F0009" w:rsidRPr="001F0009" w:rsidRDefault="001F0009" w:rsidP="007A37D2">
            <w:pPr>
              <w:spacing w:before="120"/>
              <w:rPr>
                <w:rFonts w:cs="Arial"/>
                <w:sz w:val="20"/>
                <w:szCs w:val="20"/>
                <w:lang w:val="en-GB" w:eastAsia="en-GB"/>
              </w:rPr>
            </w:pPr>
          </w:p>
        </w:tc>
        <w:tc>
          <w:tcPr>
            <w:tcW w:w="853" w:type="pct"/>
            <w:vMerge/>
          </w:tcPr>
          <w:p w14:paraId="57AC79DA" w14:textId="77777777" w:rsidR="001F0009" w:rsidRPr="001F0009" w:rsidRDefault="001F0009" w:rsidP="007A37D2">
            <w:pPr>
              <w:spacing w:before="120"/>
              <w:rPr>
                <w:rFonts w:cs="Arial"/>
                <w:sz w:val="20"/>
                <w:szCs w:val="20"/>
              </w:rPr>
            </w:pPr>
          </w:p>
        </w:tc>
      </w:tr>
      <w:tr w:rsidR="001F0009" w:rsidRPr="001F0009" w14:paraId="33862B9B" w14:textId="77777777" w:rsidTr="007A37D2">
        <w:trPr>
          <w:trHeight w:val="470"/>
        </w:trPr>
        <w:tc>
          <w:tcPr>
            <w:tcW w:w="909" w:type="pct"/>
            <w:vMerge/>
            <w:shd w:val="clear" w:color="auto" w:fill="auto"/>
          </w:tcPr>
          <w:p w14:paraId="2FC4D50E" w14:textId="77777777" w:rsidR="001F0009" w:rsidRPr="001F0009" w:rsidRDefault="001F0009" w:rsidP="007A37D2">
            <w:pPr>
              <w:pStyle w:val="BodyText"/>
              <w:rPr>
                <w:rFonts w:cs="Arial"/>
                <w:b/>
                <w:sz w:val="20"/>
                <w:szCs w:val="20"/>
              </w:rPr>
            </w:pPr>
          </w:p>
        </w:tc>
        <w:tc>
          <w:tcPr>
            <w:tcW w:w="852" w:type="pct"/>
            <w:vMerge/>
          </w:tcPr>
          <w:p w14:paraId="2D2E3E46" w14:textId="77777777" w:rsidR="001F0009" w:rsidRPr="001F0009" w:rsidRDefault="001F0009" w:rsidP="007A37D2">
            <w:pPr>
              <w:spacing w:before="120"/>
              <w:rPr>
                <w:rFonts w:cs="Arial"/>
                <w:sz w:val="20"/>
                <w:szCs w:val="20"/>
              </w:rPr>
            </w:pPr>
          </w:p>
        </w:tc>
        <w:tc>
          <w:tcPr>
            <w:tcW w:w="739" w:type="pct"/>
            <w:vMerge/>
            <w:shd w:val="clear" w:color="auto" w:fill="auto"/>
          </w:tcPr>
          <w:p w14:paraId="6217C225" w14:textId="77777777" w:rsidR="001F0009" w:rsidRPr="001F0009" w:rsidRDefault="001F0009" w:rsidP="007A37D2">
            <w:pPr>
              <w:spacing w:before="120"/>
              <w:rPr>
                <w:rFonts w:cs="Arial"/>
                <w:sz w:val="20"/>
                <w:szCs w:val="20"/>
              </w:rPr>
            </w:pPr>
          </w:p>
        </w:tc>
        <w:tc>
          <w:tcPr>
            <w:tcW w:w="903" w:type="pct"/>
            <w:vMerge/>
          </w:tcPr>
          <w:p w14:paraId="447FE08E" w14:textId="77777777" w:rsidR="001F0009" w:rsidRPr="001F0009" w:rsidRDefault="001F0009" w:rsidP="007A37D2">
            <w:pPr>
              <w:spacing w:before="120"/>
              <w:rPr>
                <w:rFonts w:cs="Arial"/>
                <w:sz w:val="20"/>
                <w:szCs w:val="20"/>
                <w:lang w:val="en-GB" w:eastAsia="en-GB"/>
              </w:rPr>
            </w:pPr>
          </w:p>
        </w:tc>
        <w:tc>
          <w:tcPr>
            <w:tcW w:w="744" w:type="pct"/>
            <w:vMerge/>
          </w:tcPr>
          <w:p w14:paraId="78D67CA0" w14:textId="77777777" w:rsidR="001F0009" w:rsidRPr="001F0009" w:rsidRDefault="001F0009" w:rsidP="007A37D2">
            <w:pPr>
              <w:spacing w:before="120"/>
              <w:rPr>
                <w:rFonts w:cs="Arial"/>
                <w:sz w:val="20"/>
                <w:szCs w:val="20"/>
                <w:lang w:val="en-GB" w:eastAsia="en-GB"/>
              </w:rPr>
            </w:pPr>
          </w:p>
        </w:tc>
        <w:tc>
          <w:tcPr>
            <w:tcW w:w="853" w:type="pct"/>
            <w:vMerge/>
          </w:tcPr>
          <w:p w14:paraId="57780C8C" w14:textId="77777777" w:rsidR="001F0009" w:rsidRPr="001F0009" w:rsidRDefault="001F0009" w:rsidP="007A37D2">
            <w:pPr>
              <w:spacing w:before="120"/>
              <w:rPr>
                <w:rFonts w:cs="Arial"/>
                <w:sz w:val="20"/>
                <w:szCs w:val="20"/>
              </w:rPr>
            </w:pPr>
          </w:p>
        </w:tc>
      </w:tr>
      <w:tr w:rsidR="001F0009" w:rsidRPr="001F0009" w14:paraId="64665D82" w14:textId="77777777" w:rsidTr="007A37D2">
        <w:trPr>
          <w:trHeight w:val="350"/>
        </w:trPr>
        <w:tc>
          <w:tcPr>
            <w:tcW w:w="909" w:type="pct"/>
            <w:vMerge w:val="restart"/>
            <w:shd w:val="clear" w:color="auto" w:fill="auto"/>
          </w:tcPr>
          <w:p w14:paraId="3D439D7E" w14:textId="77777777" w:rsidR="001F0009" w:rsidRPr="001F0009" w:rsidRDefault="001F0009" w:rsidP="007A37D2">
            <w:pPr>
              <w:pStyle w:val="BodyText"/>
              <w:rPr>
                <w:rFonts w:cs="Arial"/>
                <w:b/>
                <w:sz w:val="20"/>
                <w:szCs w:val="20"/>
              </w:rPr>
            </w:pPr>
            <w:r w:rsidRPr="001F0009">
              <w:rPr>
                <w:rFonts w:cs="Arial"/>
                <w:b/>
                <w:sz w:val="20"/>
                <w:szCs w:val="20"/>
              </w:rPr>
              <w:t>L Distributing</w:t>
            </w:r>
          </w:p>
        </w:tc>
        <w:tc>
          <w:tcPr>
            <w:tcW w:w="852" w:type="pct"/>
            <w:vMerge w:val="restart"/>
          </w:tcPr>
          <w:p w14:paraId="65FDCFDA" w14:textId="77777777" w:rsidR="001F0009" w:rsidRPr="001F0009" w:rsidRDefault="001F0009" w:rsidP="007A37D2">
            <w:pPr>
              <w:spacing w:before="120"/>
              <w:rPr>
                <w:rFonts w:cs="Arial"/>
                <w:sz w:val="20"/>
                <w:szCs w:val="20"/>
              </w:rPr>
            </w:pPr>
            <w:r w:rsidRPr="001F0009">
              <w:rPr>
                <w:rFonts w:cs="Arial"/>
                <w:sz w:val="20"/>
                <w:szCs w:val="20"/>
              </w:rPr>
              <w:t>1.10%</w:t>
            </w:r>
          </w:p>
        </w:tc>
        <w:tc>
          <w:tcPr>
            <w:tcW w:w="739" w:type="pct"/>
            <w:vMerge w:val="restart"/>
            <w:shd w:val="clear" w:color="auto" w:fill="auto"/>
          </w:tcPr>
          <w:p w14:paraId="551BB94F"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3A0E0BF" w14:textId="79CD9DDA"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DDAB91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7AFB2F3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114F7A66"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311742B1"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33E813E6" w14:textId="77777777" w:rsidTr="007A37D2">
        <w:trPr>
          <w:trHeight w:val="470"/>
        </w:trPr>
        <w:tc>
          <w:tcPr>
            <w:tcW w:w="909" w:type="pct"/>
            <w:vMerge/>
            <w:shd w:val="clear" w:color="auto" w:fill="auto"/>
          </w:tcPr>
          <w:p w14:paraId="461E42EE" w14:textId="77777777" w:rsidR="001F0009" w:rsidRPr="001F0009" w:rsidRDefault="001F0009" w:rsidP="007A37D2">
            <w:pPr>
              <w:pStyle w:val="BodyText"/>
              <w:rPr>
                <w:rFonts w:cs="Arial"/>
                <w:b/>
                <w:sz w:val="20"/>
                <w:szCs w:val="20"/>
              </w:rPr>
            </w:pPr>
          </w:p>
        </w:tc>
        <w:tc>
          <w:tcPr>
            <w:tcW w:w="852" w:type="pct"/>
            <w:vMerge/>
          </w:tcPr>
          <w:p w14:paraId="11FA8439" w14:textId="77777777" w:rsidR="001F0009" w:rsidRPr="001F0009" w:rsidRDefault="001F0009" w:rsidP="007A37D2">
            <w:pPr>
              <w:spacing w:before="120"/>
              <w:rPr>
                <w:rFonts w:cs="Arial"/>
                <w:sz w:val="20"/>
                <w:szCs w:val="20"/>
              </w:rPr>
            </w:pPr>
          </w:p>
        </w:tc>
        <w:tc>
          <w:tcPr>
            <w:tcW w:w="739" w:type="pct"/>
            <w:vMerge/>
            <w:shd w:val="clear" w:color="auto" w:fill="auto"/>
          </w:tcPr>
          <w:p w14:paraId="52AF376D" w14:textId="77777777" w:rsidR="001F0009" w:rsidRPr="001F0009" w:rsidRDefault="001F0009" w:rsidP="007A37D2">
            <w:pPr>
              <w:spacing w:before="120"/>
              <w:rPr>
                <w:rFonts w:cs="Arial"/>
                <w:sz w:val="20"/>
                <w:szCs w:val="20"/>
              </w:rPr>
            </w:pPr>
          </w:p>
        </w:tc>
        <w:tc>
          <w:tcPr>
            <w:tcW w:w="903" w:type="pct"/>
            <w:vMerge/>
          </w:tcPr>
          <w:p w14:paraId="26EE3DB2" w14:textId="77777777" w:rsidR="001F0009" w:rsidRPr="001F0009" w:rsidRDefault="001F0009" w:rsidP="007A37D2">
            <w:pPr>
              <w:spacing w:before="120"/>
              <w:rPr>
                <w:rFonts w:cs="Arial"/>
                <w:sz w:val="20"/>
                <w:szCs w:val="20"/>
                <w:lang w:val="en-GB" w:eastAsia="en-GB"/>
              </w:rPr>
            </w:pPr>
          </w:p>
        </w:tc>
        <w:tc>
          <w:tcPr>
            <w:tcW w:w="744" w:type="pct"/>
            <w:vMerge/>
          </w:tcPr>
          <w:p w14:paraId="1CC19B20" w14:textId="77777777" w:rsidR="001F0009" w:rsidRPr="001F0009" w:rsidRDefault="001F0009" w:rsidP="007A37D2">
            <w:pPr>
              <w:spacing w:before="120"/>
              <w:rPr>
                <w:rFonts w:cs="Arial"/>
                <w:sz w:val="20"/>
                <w:szCs w:val="20"/>
                <w:lang w:val="en-GB" w:eastAsia="en-GB"/>
              </w:rPr>
            </w:pPr>
          </w:p>
        </w:tc>
        <w:tc>
          <w:tcPr>
            <w:tcW w:w="853" w:type="pct"/>
            <w:vMerge/>
          </w:tcPr>
          <w:p w14:paraId="4A68DCB6" w14:textId="77777777" w:rsidR="001F0009" w:rsidRPr="001F0009" w:rsidRDefault="001F0009" w:rsidP="007A37D2">
            <w:pPr>
              <w:spacing w:before="120"/>
              <w:rPr>
                <w:rFonts w:cs="Arial"/>
                <w:sz w:val="20"/>
                <w:szCs w:val="20"/>
              </w:rPr>
            </w:pPr>
          </w:p>
        </w:tc>
      </w:tr>
      <w:tr w:rsidR="001F0009" w:rsidRPr="001F0009" w14:paraId="03A75D5B" w14:textId="77777777" w:rsidTr="007A37D2">
        <w:trPr>
          <w:trHeight w:val="470"/>
        </w:trPr>
        <w:tc>
          <w:tcPr>
            <w:tcW w:w="909" w:type="pct"/>
            <w:vMerge/>
            <w:shd w:val="clear" w:color="auto" w:fill="auto"/>
          </w:tcPr>
          <w:p w14:paraId="695039F7" w14:textId="77777777" w:rsidR="001F0009" w:rsidRPr="001F0009" w:rsidRDefault="001F0009" w:rsidP="007A37D2">
            <w:pPr>
              <w:pStyle w:val="BodyText"/>
              <w:rPr>
                <w:rFonts w:cs="Arial"/>
                <w:b/>
                <w:sz w:val="20"/>
                <w:szCs w:val="20"/>
              </w:rPr>
            </w:pPr>
          </w:p>
        </w:tc>
        <w:tc>
          <w:tcPr>
            <w:tcW w:w="852" w:type="pct"/>
            <w:vMerge/>
          </w:tcPr>
          <w:p w14:paraId="45CCA9A6" w14:textId="77777777" w:rsidR="001F0009" w:rsidRPr="001F0009" w:rsidRDefault="001F0009" w:rsidP="007A37D2">
            <w:pPr>
              <w:spacing w:before="120"/>
              <w:rPr>
                <w:rFonts w:cs="Arial"/>
                <w:sz w:val="20"/>
                <w:szCs w:val="20"/>
              </w:rPr>
            </w:pPr>
          </w:p>
        </w:tc>
        <w:tc>
          <w:tcPr>
            <w:tcW w:w="739" w:type="pct"/>
            <w:vMerge/>
            <w:shd w:val="clear" w:color="auto" w:fill="auto"/>
          </w:tcPr>
          <w:p w14:paraId="579514E1" w14:textId="77777777" w:rsidR="001F0009" w:rsidRPr="001F0009" w:rsidRDefault="001F0009" w:rsidP="007A37D2">
            <w:pPr>
              <w:spacing w:before="120"/>
              <w:rPr>
                <w:rFonts w:cs="Arial"/>
                <w:sz w:val="20"/>
                <w:szCs w:val="20"/>
              </w:rPr>
            </w:pPr>
          </w:p>
        </w:tc>
        <w:tc>
          <w:tcPr>
            <w:tcW w:w="903" w:type="pct"/>
            <w:vMerge/>
          </w:tcPr>
          <w:p w14:paraId="0D4ED1D6" w14:textId="77777777" w:rsidR="001F0009" w:rsidRPr="001F0009" w:rsidRDefault="001F0009" w:rsidP="007A37D2">
            <w:pPr>
              <w:spacing w:before="120"/>
              <w:rPr>
                <w:rFonts w:cs="Arial"/>
                <w:sz w:val="20"/>
                <w:szCs w:val="20"/>
                <w:lang w:val="en-GB" w:eastAsia="en-GB"/>
              </w:rPr>
            </w:pPr>
          </w:p>
        </w:tc>
        <w:tc>
          <w:tcPr>
            <w:tcW w:w="744" w:type="pct"/>
            <w:vMerge/>
          </w:tcPr>
          <w:p w14:paraId="23D4A6E8" w14:textId="77777777" w:rsidR="001F0009" w:rsidRPr="001F0009" w:rsidRDefault="001F0009" w:rsidP="007A37D2">
            <w:pPr>
              <w:spacing w:before="120"/>
              <w:rPr>
                <w:rFonts w:cs="Arial"/>
                <w:sz w:val="20"/>
                <w:szCs w:val="20"/>
                <w:lang w:val="en-GB" w:eastAsia="en-GB"/>
              </w:rPr>
            </w:pPr>
          </w:p>
        </w:tc>
        <w:tc>
          <w:tcPr>
            <w:tcW w:w="853" w:type="pct"/>
            <w:vMerge/>
          </w:tcPr>
          <w:p w14:paraId="3013D38C" w14:textId="77777777" w:rsidR="001F0009" w:rsidRPr="001F0009" w:rsidRDefault="001F0009" w:rsidP="007A37D2">
            <w:pPr>
              <w:spacing w:before="120"/>
              <w:rPr>
                <w:rFonts w:cs="Arial"/>
                <w:sz w:val="20"/>
                <w:szCs w:val="20"/>
              </w:rPr>
            </w:pPr>
          </w:p>
        </w:tc>
      </w:tr>
      <w:tr w:rsidR="001F0009" w:rsidRPr="001F0009" w14:paraId="1F8E868A" w14:textId="77777777" w:rsidTr="007A37D2">
        <w:trPr>
          <w:trHeight w:val="350"/>
        </w:trPr>
        <w:tc>
          <w:tcPr>
            <w:tcW w:w="909" w:type="pct"/>
            <w:vMerge w:val="restart"/>
            <w:shd w:val="clear" w:color="auto" w:fill="auto"/>
          </w:tcPr>
          <w:p w14:paraId="46B52813" w14:textId="77777777" w:rsidR="001F0009" w:rsidRPr="001F0009" w:rsidRDefault="001F0009" w:rsidP="007A37D2">
            <w:pPr>
              <w:pStyle w:val="BodyText"/>
              <w:rPr>
                <w:rFonts w:cs="Arial"/>
                <w:b/>
                <w:sz w:val="20"/>
                <w:szCs w:val="20"/>
              </w:rPr>
            </w:pPr>
            <w:r w:rsidRPr="001F0009">
              <w:rPr>
                <w:rFonts w:cs="Arial"/>
                <w:b/>
                <w:sz w:val="20"/>
                <w:szCs w:val="20"/>
              </w:rPr>
              <w:t>M Distributing</w:t>
            </w:r>
          </w:p>
        </w:tc>
        <w:tc>
          <w:tcPr>
            <w:tcW w:w="852" w:type="pct"/>
            <w:vMerge w:val="restart"/>
          </w:tcPr>
          <w:p w14:paraId="2ECF4DB3" w14:textId="77777777" w:rsidR="001F0009" w:rsidRPr="001F0009" w:rsidRDefault="001F0009" w:rsidP="007A37D2">
            <w:pPr>
              <w:spacing w:before="120"/>
              <w:rPr>
                <w:rFonts w:cs="Arial"/>
                <w:sz w:val="20"/>
                <w:szCs w:val="20"/>
              </w:rPr>
            </w:pPr>
            <w:r w:rsidRPr="001F0009">
              <w:rPr>
                <w:rFonts w:cs="Arial"/>
                <w:sz w:val="20"/>
                <w:szCs w:val="20"/>
              </w:rPr>
              <w:t>1.20%</w:t>
            </w:r>
          </w:p>
        </w:tc>
        <w:tc>
          <w:tcPr>
            <w:tcW w:w="739" w:type="pct"/>
            <w:vMerge w:val="restart"/>
            <w:shd w:val="clear" w:color="auto" w:fill="auto"/>
          </w:tcPr>
          <w:p w14:paraId="61E49BF9"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1A409865" w14:textId="55295652"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3B23149D"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4BDA8E2C"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1A8CFE3C"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E020BE1"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230B31DA" w14:textId="77777777" w:rsidTr="007A37D2">
        <w:trPr>
          <w:trHeight w:val="470"/>
        </w:trPr>
        <w:tc>
          <w:tcPr>
            <w:tcW w:w="909" w:type="pct"/>
            <w:vMerge/>
            <w:shd w:val="clear" w:color="auto" w:fill="auto"/>
          </w:tcPr>
          <w:p w14:paraId="39CC20C5" w14:textId="77777777" w:rsidR="001F0009" w:rsidRPr="001F0009" w:rsidRDefault="001F0009" w:rsidP="007A37D2">
            <w:pPr>
              <w:pStyle w:val="BodyText"/>
              <w:rPr>
                <w:rFonts w:cs="Arial"/>
                <w:b/>
                <w:sz w:val="20"/>
                <w:szCs w:val="20"/>
              </w:rPr>
            </w:pPr>
          </w:p>
        </w:tc>
        <w:tc>
          <w:tcPr>
            <w:tcW w:w="852" w:type="pct"/>
            <w:vMerge/>
          </w:tcPr>
          <w:p w14:paraId="6711E7BA" w14:textId="77777777" w:rsidR="001F0009" w:rsidRPr="001F0009" w:rsidRDefault="001F0009" w:rsidP="007A37D2">
            <w:pPr>
              <w:spacing w:before="120"/>
              <w:rPr>
                <w:rFonts w:cs="Arial"/>
                <w:sz w:val="20"/>
                <w:szCs w:val="20"/>
              </w:rPr>
            </w:pPr>
          </w:p>
        </w:tc>
        <w:tc>
          <w:tcPr>
            <w:tcW w:w="739" w:type="pct"/>
            <w:vMerge/>
            <w:shd w:val="clear" w:color="auto" w:fill="auto"/>
          </w:tcPr>
          <w:p w14:paraId="34F3B352" w14:textId="77777777" w:rsidR="001F0009" w:rsidRPr="001F0009" w:rsidRDefault="001F0009" w:rsidP="007A37D2">
            <w:pPr>
              <w:spacing w:before="120"/>
              <w:rPr>
                <w:rFonts w:cs="Arial"/>
                <w:sz w:val="20"/>
                <w:szCs w:val="20"/>
              </w:rPr>
            </w:pPr>
          </w:p>
        </w:tc>
        <w:tc>
          <w:tcPr>
            <w:tcW w:w="903" w:type="pct"/>
            <w:vMerge/>
          </w:tcPr>
          <w:p w14:paraId="04332816" w14:textId="77777777" w:rsidR="001F0009" w:rsidRPr="001F0009" w:rsidRDefault="001F0009" w:rsidP="007A37D2">
            <w:pPr>
              <w:spacing w:before="120"/>
              <w:rPr>
                <w:rFonts w:cs="Arial"/>
                <w:sz w:val="20"/>
                <w:szCs w:val="20"/>
                <w:lang w:val="en-GB" w:eastAsia="en-GB"/>
              </w:rPr>
            </w:pPr>
          </w:p>
        </w:tc>
        <w:tc>
          <w:tcPr>
            <w:tcW w:w="744" w:type="pct"/>
            <w:vMerge/>
          </w:tcPr>
          <w:p w14:paraId="3995788F" w14:textId="77777777" w:rsidR="001F0009" w:rsidRPr="001F0009" w:rsidRDefault="001F0009" w:rsidP="007A37D2">
            <w:pPr>
              <w:spacing w:before="120"/>
              <w:rPr>
                <w:rFonts w:cs="Arial"/>
                <w:sz w:val="20"/>
                <w:szCs w:val="20"/>
                <w:lang w:val="en-GB" w:eastAsia="en-GB"/>
              </w:rPr>
            </w:pPr>
          </w:p>
        </w:tc>
        <w:tc>
          <w:tcPr>
            <w:tcW w:w="853" w:type="pct"/>
            <w:vMerge/>
          </w:tcPr>
          <w:p w14:paraId="363ED201" w14:textId="77777777" w:rsidR="001F0009" w:rsidRPr="001F0009" w:rsidRDefault="001F0009" w:rsidP="007A37D2">
            <w:pPr>
              <w:spacing w:before="120"/>
              <w:rPr>
                <w:rFonts w:cs="Arial"/>
                <w:sz w:val="20"/>
                <w:szCs w:val="20"/>
              </w:rPr>
            </w:pPr>
          </w:p>
        </w:tc>
      </w:tr>
      <w:tr w:rsidR="001F0009" w:rsidRPr="001F0009" w14:paraId="58DCC7A9" w14:textId="77777777" w:rsidTr="007A37D2">
        <w:trPr>
          <w:trHeight w:val="470"/>
        </w:trPr>
        <w:tc>
          <w:tcPr>
            <w:tcW w:w="909" w:type="pct"/>
            <w:vMerge/>
            <w:shd w:val="clear" w:color="auto" w:fill="auto"/>
          </w:tcPr>
          <w:p w14:paraId="7F844897" w14:textId="77777777" w:rsidR="001F0009" w:rsidRPr="001F0009" w:rsidRDefault="001F0009" w:rsidP="007A37D2">
            <w:pPr>
              <w:pStyle w:val="BodyText"/>
              <w:rPr>
                <w:rFonts w:cs="Arial"/>
                <w:b/>
                <w:sz w:val="20"/>
                <w:szCs w:val="20"/>
              </w:rPr>
            </w:pPr>
          </w:p>
        </w:tc>
        <w:tc>
          <w:tcPr>
            <w:tcW w:w="852" w:type="pct"/>
            <w:vMerge/>
          </w:tcPr>
          <w:p w14:paraId="10E1C53D" w14:textId="77777777" w:rsidR="001F0009" w:rsidRPr="001F0009" w:rsidRDefault="001F0009" w:rsidP="007A37D2">
            <w:pPr>
              <w:spacing w:before="120"/>
              <w:rPr>
                <w:rFonts w:cs="Arial"/>
                <w:sz w:val="20"/>
                <w:szCs w:val="20"/>
              </w:rPr>
            </w:pPr>
          </w:p>
        </w:tc>
        <w:tc>
          <w:tcPr>
            <w:tcW w:w="739" w:type="pct"/>
            <w:vMerge/>
            <w:shd w:val="clear" w:color="auto" w:fill="auto"/>
          </w:tcPr>
          <w:p w14:paraId="40587CB8" w14:textId="77777777" w:rsidR="001F0009" w:rsidRPr="001F0009" w:rsidRDefault="001F0009" w:rsidP="007A37D2">
            <w:pPr>
              <w:spacing w:before="120"/>
              <w:rPr>
                <w:rFonts w:cs="Arial"/>
                <w:sz w:val="20"/>
                <w:szCs w:val="20"/>
              </w:rPr>
            </w:pPr>
          </w:p>
        </w:tc>
        <w:tc>
          <w:tcPr>
            <w:tcW w:w="903" w:type="pct"/>
            <w:vMerge/>
          </w:tcPr>
          <w:p w14:paraId="1DB5643B" w14:textId="77777777" w:rsidR="001F0009" w:rsidRPr="001F0009" w:rsidRDefault="001F0009" w:rsidP="007A37D2">
            <w:pPr>
              <w:spacing w:before="120"/>
              <w:rPr>
                <w:rFonts w:cs="Arial"/>
                <w:sz w:val="20"/>
                <w:szCs w:val="20"/>
                <w:lang w:val="en-GB" w:eastAsia="en-GB"/>
              </w:rPr>
            </w:pPr>
          </w:p>
        </w:tc>
        <w:tc>
          <w:tcPr>
            <w:tcW w:w="744" w:type="pct"/>
            <w:vMerge/>
          </w:tcPr>
          <w:p w14:paraId="52D2E68D" w14:textId="77777777" w:rsidR="001F0009" w:rsidRPr="001F0009" w:rsidRDefault="001F0009" w:rsidP="007A37D2">
            <w:pPr>
              <w:spacing w:before="120"/>
              <w:rPr>
                <w:rFonts w:cs="Arial"/>
                <w:sz w:val="20"/>
                <w:szCs w:val="20"/>
                <w:lang w:val="en-GB" w:eastAsia="en-GB"/>
              </w:rPr>
            </w:pPr>
          </w:p>
        </w:tc>
        <w:tc>
          <w:tcPr>
            <w:tcW w:w="853" w:type="pct"/>
            <w:vMerge/>
          </w:tcPr>
          <w:p w14:paraId="7FE3951F" w14:textId="77777777" w:rsidR="001F0009" w:rsidRPr="001F0009" w:rsidRDefault="001F0009" w:rsidP="007A37D2">
            <w:pPr>
              <w:spacing w:before="120"/>
              <w:rPr>
                <w:rFonts w:cs="Arial"/>
                <w:sz w:val="20"/>
                <w:szCs w:val="20"/>
              </w:rPr>
            </w:pPr>
          </w:p>
        </w:tc>
      </w:tr>
      <w:tr w:rsidR="001F0009" w:rsidRPr="001F0009" w14:paraId="39C565F8" w14:textId="77777777" w:rsidTr="007A37D2">
        <w:trPr>
          <w:trHeight w:val="350"/>
        </w:trPr>
        <w:tc>
          <w:tcPr>
            <w:tcW w:w="909" w:type="pct"/>
            <w:vMerge w:val="restart"/>
            <w:shd w:val="clear" w:color="auto" w:fill="auto"/>
          </w:tcPr>
          <w:p w14:paraId="28E492E9" w14:textId="77777777" w:rsidR="001F0009" w:rsidRPr="001F0009" w:rsidRDefault="001F0009" w:rsidP="00343B4C">
            <w:pPr>
              <w:pStyle w:val="BodyText"/>
              <w:keepNext/>
              <w:keepLines/>
              <w:rPr>
                <w:rFonts w:cs="Arial"/>
                <w:b/>
                <w:sz w:val="20"/>
                <w:szCs w:val="20"/>
              </w:rPr>
            </w:pPr>
            <w:r w:rsidRPr="001F0009">
              <w:rPr>
                <w:rFonts w:cs="Arial"/>
                <w:b/>
                <w:sz w:val="20"/>
                <w:szCs w:val="20"/>
              </w:rPr>
              <w:lastRenderedPageBreak/>
              <w:t>N Distributing</w:t>
            </w:r>
          </w:p>
        </w:tc>
        <w:tc>
          <w:tcPr>
            <w:tcW w:w="852" w:type="pct"/>
            <w:vMerge w:val="restart"/>
          </w:tcPr>
          <w:p w14:paraId="63E4B96D" w14:textId="77777777" w:rsidR="001F0009" w:rsidRPr="001F0009" w:rsidRDefault="001F0009" w:rsidP="00343B4C">
            <w:pPr>
              <w:keepNext/>
              <w:keepLines/>
              <w:spacing w:before="120"/>
              <w:rPr>
                <w:rFonts w:cs="Arial"/>
                <w:sz w:val="20"/>
                <w:szCs w:val="20"/>
              </w:rPr>
            </w:pPr>
            <w:r w:rsidRPr="001F0009">
              <w:rPr>
                <w:rFonts w:cs="Arial"/>
                <w:sz w:val="20"/>
                <w:szCs w:val="20"/>
              </w:rPr>
              <w:t>1.50%</w:t>
            </w:r>
          </w:p>
        </w:tc>
        <w:tc>
          <w:tcPr>
            <w:tcW w:w="739" w:type="pct"/>
            <w:vMerge w:val="restart"/>
            <w:shd w:val="clear" w:color="auto" w:fill="auto"/>
          </w:tcPr>
          <w:p w14:paraId="58AA810F" w14:textId="77777777" w:rsidR="001F0009" w:rsidRPr="001F0009" w:rsidRDefault="001F0009" w:rsidP="00343B4C">
            <w:pPr>
              <w:keepNext/>
              <w:keepLines/>
              <w:spacing w:before="120"/>
              <w:rPr>
                <w:rFonts w:cs="Arial"/>
                <w:sz w:val="20"/>
                <w:szCs w:val="20"/>
              </w:rPr>
            </w:pPr>
            <w:r w:rsidRPr="001F0009">
              <w:rPr>
                <w:rFonts w:cs="Arial"/>
                <w:sz w:val="20"/>
                <w:szCs w:val="20"/>
              </w:rPr>
              <w:t xml:space="preserve">0% </w:t>
            </w:r>
          </w:p>
        </w:tc>
        <w:tc>
          <w:tcPr>
            <w:tcW w:w="903" w:type="pct"/>
            <w:vMerge w:val="restart"/>
          </w:tcPr>
          <w:p w14:paraId="2025FCF6" w14:textId="3A73CEC6"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C661B0B"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24285F3F"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0.0175%</w:t>
            </w:r>
          </w:p>
          <w:p w14:paraId="3BDABD3E"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19AC6B1" w14:textId="77777777" w:rsidR="001F0009" w:rsidRPr="001F0009" w:rsidRDefault="001F0009" w:rsidP="00343B4C">
            <w:pPr>
              <w:keepNext/>
              <w:keepLines/>
              <w:spacing w:before="120"/>
              <w:rPr>
                <w:rFonts w:cs="Arial"/>
                <w:sz w:val="20"/>
                <w:szCs w:val="20"/>
              </w:rPr>
            </w:pPr>
            <w:r w:rsidRPr="001F0009">
              <w:rPr>
                <w:rFonts w:cs="Arial"/>
                <w:sz w:val="20"/>
                <w:szCs w:val="20"/>
              </w:rPr>
              <w:t>0%</w:t>
            </w:r>
          </w:p>
        </w:tc>
      </w:tr>
      <w:tr w:rsidR="001F0009" w:rsidRPr="001F0009" w14:paraId="0DB57FFC" w14:textId="77777777" w:rsidTr="007A37D2">
        <w:trPr>
          <w:trHeight w:val="470"/>
        </w:trPr>
        <w:tc>
          <w:tcPr>
            <w:tcW w:w="909" w:type="pct"/>
            <w:vMerge/>
            <w:shd w:val="clear" w:color="auto" w:fill="auto"/>
          </w:tcPr>
          <w:p w14:paraId="64E5A39F" w14:textId="77777777" w:rsidR="001F0009" w:rsidRPr="001F0009" w:rsidRDefault="001F0009" w:rsidP="00343B4C">
            <w:pPr>
              <w:pStyle w:val="BodyText"/>
              <w:keepNext/>
              <w:keepLines/>
              <w:rPr>
                <w:rFonts w:cs="Arial"/>
                <w:b/>
                <w:sz w:val="20"/>
                <w:szCs w:val="20"/>
              </w:rPr>
            </w:pPr>
          </w:p>
        </w:tc>
        <w:tc>
          <w:tcPr>
            <w:tcW w:w="852" w:type="pct"/>
            <w:vMerge/>
          </w:tcPr>
          <w:p w14:paraId="58C3045F" w14:textId="77777777" w:rsidR="001F0009" w:rsidRPr="001F0009" w:rsidRDefault="001F0009" w:rsidP="00343B4C">
            <w:pPr>
              <w:keepNext/>
              <w:keepLines/>
              <w:spacing w:before="120"/>
              <w:rPr>
                <w:rFonts w:cs="Arial"/>
                <w:sz w:val="20"/>
                <w:szCs w:val="20"/>
              </w:rPr>
            </w:pPr>
          </w:p>
        </w:tc>
        <w:tc>
          <w:tcPr>
            <w:tcW w:w="739" w:type="pct"/>
            <w:vMerge/>
            <w:shd w:val="clear" w:color="auto" w:fill="auto"/>
          </w:tcPr>
          <w:p w14:paraId="4C8B82C8" w14:textId="77777777" w:rsidR="001F0009" w:rsidRPr="001F0009" w:rsidRDefault="001F0009" w:rsidP="00343B4C">
            <w:pPr>
              <w:keepNext/>
              <w:keepLines/>
              <w:spacing w:before="120"/>
              <w:rPr>
                <w:rFonts w:cs="Arial"/>
                <w:sz w:val="20"/>
                <w:szCs w:val="20"/>
              </w:rPr>
            </w:pPr>
          </w:p>
        </w:tc>
        <w:tc>
          <w:tcPr>
            <w:tcW w:w="903" w:type="pct"/>
            <w:vMerge/>
          </w:tcPr>
          <w:p w14:paraId="1F251D6E" w14:textId="77777777" w:rsidR="001F0009" w:rsidRPr="001F0009" w:rsidRDefault="001F0009" w:rsidP="00343B4C">
            <w:pPr>
              <w:keepNext/>
              <w:keepLines/>
              <w:spacing w:before="120"/>
              <w:rPr>
                <w:rFonts w:cs="Arial"/>
                <w:sz w:val="20"/>
                <w:szCs w:val="20"/>
                <w:lang w:val="en-GB" w:eastAsia="en-GB"/>
              </w:rPr>
            </w:pPr>
          </w:p>
        </w:tc>
        <w:tc>
          <w:tcPr>
            <w:tcW w:w="744" w:type="pct"/>
            <w:vMerge/>
          </w:tcPr>
          <w:p w14:paraId="6DE6D894" w14:textId="77777777" w:rsidR="001F0009" w:rsidRPr="001F0009" w:rsidRDefault="001F0009" w:rsidP="00343B4C">
            <w:pPr>
              <w:keepNext/>
              <w:keepLines/>
              <w:spacing w:before="120"/>
              <w:rPr>
                <w:rFonts w:cs="Arial"/>
                <w:sz w:val="20"/>
                <w:szCs w:val="20"/>
                <w:lang w:val="en-GB" w:eastAsia="en-GB"/>
              </w:rPr>
            </w:pPr>
          </w:p>
        </w:tc>
        <w:tc>
          <w:tcPr>
            <w:tcW w:w="853" w:type="pct"/>
            <w:vMerge/>
          </w:tcPr>
          <w:p w14:paraId="4C0F9AE1" w14:textId="77777777" w:rsidR="001F0009" w:rsidRPr="001F0009" w:rsidRDefault="001F0009" w:rsidP="00343B4C">
            <w:pPr>
              <w:keepNext/>
              <w:keepLines/>
              <w:spacing w:before="120"/>
              <w:rPr>
                <w:rFonts w:cs="Arial"/>
                <w:sz w:val="20"/>
                <w:szCs w:val="20"/>
              </w:rPr>
            </w:pPr>
          </w:p>
        </w:tc>
      </w:tr>
      <w:tr w:rsidR="001F0009" w:rsidRPr="001F0009" w14:paraId="687E383C" w14:textId="77777777" w:rsidTr="007A37D2">
        <w:trPr>
          <w:trHeight w:val="470"/>
        </w:trPr>
        <w:tc>
          <w:tcPr>
            <w:tcW w:w="909" w:type="pct"/>
            <w:vMerge/>
            <w:shd w:val="clear" w:color="auto" w:fill="auto"/>
          </w:tcPr>
          <w:p w14:paraId="06FB9CA6" w14:textId="77777777" w:rsidR="001F0009" w:rsidRPr="001F0009" w:rsidRDefault="001F0009" w:rsidP="00343B4C">
            <w:pPr>
              <w:pStyle w:val="BodyText"/>
              <w:keepNext/>
              <w:keepLines/>
              <w:rPr>
                <w:rFonts w:cs="Arial"/>
                <w:b/>
                <w:sz w:val="20"/>
                <w:szCs w:val="20"/>
              </w:rPr>
            </w:pPr>
          </w:p>
        </w:tc>
        <w:tc>
          <w:tcPr>
            <w:tcW w:w="852" w:type="pct"/>
            <w:vMerge/>
          </w:tcPr>
          <w:p w14:paraId="7DB54552" w14:textId="77777777" w:rsidR="001F0009" w:rsidRPr="001F0009" w:rsidRDefault="001F0009" w:rsidP="00343B4C">
            <w:pPr>
              <w:keepNext/>
              <w:keepLines/>
              <w:spacing w:before="120"/>
              <w:rPr>
                <w:rFonts w:cs="Arial"/>
                <w:sz w:val="20"/>
                <w:szCs w:val="20"/>
              </w:rPr>
            </w:pPr>
          </w:p>
        </w:tc>
        <w:tc>
          <w:tcPr>
            <w:tcW w:w="739" w:type="pct"/>
            <w:vMerge/>
            <w:shd w:val="clear" w:color="auto" w:fill="auto"/>
          </w:tcPr>
          <w:p w14:paraId="2E3163C2" w14:textId="77777777" w:rsidR="001F0009" w:rsidRPr="001F0009" w:rsidRDefault="001F0009" w:rsidP="00343B4C">
            <w:pPr>
              <w:keepNext/>
              <w:keepLines/>
              <w:spacing w:before="120"/>
              <w:rPr>
                <w:rFonts w:cs="Arial"/>
                <w:sz w:val="20"/>
                <w:szCs w:val="20"/>
              </w:rPr>
            </w:pPr>
          </w:p>
        </w:tc>
        <w:tc>
          <w:tcPr>
            <w:tcW w:w="903" w:type="pct"/>
            <w:vMerge/>
          </w:tcPr>
          <w:p w14:paraId="37CCE4D1" w14:textId="77777777" w:rsidR="001F0009" w:rsidRPr="001F0009" w:rsidRDefault="001F0009" w:rsidP="00343B4C">
            <w:pPr>
              <w:keepNext/>
              <w:keepLines/>
              <w:spacing w:before="120"/>
              <w:rPr>
                <w:rFonts w:cs="Arial"/>
                <w:sz w:val="20"/>
                <w:szCs w:val="20"/>
                <w:lang w:val="en-GB" w:eastAsia="en-GB"/>
              </w:rPr>
            </w:pPr>
          </w:p>
        </w:tc>
        <w:tc>
          <w:tcPr>
            <w:tcW w:w="744" w:type="pct"/>
            <w:vMerge/>
          </w:tcPr>
          <w:p w14:paraId="4A72E983" w14:textId="77777777" w:rsidR="001F0009" w:rsidRPr="001F0009" w:rsidRDefault="001F0009" w:rsidP="00343B4C">
            <w:pPr>
              <w:keepNext/>
              <w:keepLines/>
              <w:spacing w:before="120"/>
              <w:rPr>
                <w:rFonts w:cs="Arial"/>
                <w:sz w:val="20"/>
                <w:szCs w:val="20"/>
                <w:lang w:val="en-GB" w:eastAsia="en-GB"/>
              </w:rPr>
            </w:pPr>
          </w:p>
        </w:tc>
        <w:tc>
          <w:tcPr>
            <w:tcW w:w="853" w:type="pct"/>
            <w:vMerge/>
          </w:tcPr>
          <w:p w14:paraId="35751A49" w14:textId="77777777" w:rsidR="001F0009" w:rsidRPr="001F0009" w:rsidRDefault="001F0009" w:rsidP="00343B4C">
            <w:pPr>
              <w:keepNext/>
              <w:keepLines/>
              <w:spacing w:before="120"/>
              <w:rPr>
                <w:rFonts w:cs="Arial"/>
                <w:sz w:val="20"/>
                <w:szCs w:val="20"/>
              </w:rPr>
            </w:pPr>
          </w:p>
        </w:tc>
      </w:tr>
      <w:tr w:rsidR="001F0009" w:rsidRPr="001F0009" w14:paraId="4C537F73" w14:textId="77777777" w:rsidTr="007A37D2">
        <w:trPr>
          <w:trHeight w:val="350"/>
        </w:trPr>
        <w:tc>
          <w:tcPr>
            <w:tcW w:w="909" w:type="pct"/>
            <w:vMerge w:val="restart"/>
            <w:shd w:val="clear" w:color="auto" w:fill="auto"/>
          </w:tcPr>
          <w:p w14:paraId="4D404E35" w14:textId="77777777" w:rsidR="001F0009" w:rsidRPr="001F0009" w:rsidRDefault="001F0009" w:rsidP="007A37D2">
            <w:pPr>
              <w:pStyle w:val="BodyText"/>
              <w:rPr>
                <w:rFonts w:cs="Arial"/>
                <w:b/>
                <w:sz w:val="20"/>
                <w:szCs w:val="20"/>
              </w:rPr>
            </w:pPr>
            <w:r w:rsidRPr="001F0009">
              <w:rPr>
                <w:rFonts w:cs="Arial"/>
                <w:b/>
                <w:sz w:val="20"/>
                <w:szCs w:val="20"/>
              </w:rPr>
              <w:t>O Accumulating</w:t>
            </w:r>
          </w:p>
        </w:tc>
        <w:tc>
          <w:tcPr>
            <w:tcW w:w="852" w:type="pct"/>
            <w:vMerge w:val="restart"/>
          </w:tcPr>
          <w:p w14:paraId="37051D1F" w14:textId="77777777" w:rsidR="001F0009" w:rsidRPr="001F0009" w:rsidRDefault="001F0009" w:rsidP="007A37D2">
            <w:pPr>
              <w:spacing w:before="120"/>
              <w:rPr>
                <w:rFonts w:cs="Arial"/>
                <w:sz w:val="20"/>
                <w:szCs w:val="20"/>
              </w:rPr>
            </w:pPr>
            <w:r w:rsidRPr="001F0009">
              <w:rPr>
                <w:rFonts w:cs="Arial"/>
                <w:sz w:val="20"/>
                <w:szCs w:val="20"/>
              </w:rPr>
              <w:t>0.675%</w:t>
            </w:r>
          </w:p>
        </w:tc>
        <w:tc>
          <w:tcPr>
            <w:tcW w:w="739" w:type="pct"/>
            <w:vMerge w:val="restart"/>
            <w:shd w:val="clear" w:color="auto" w:fill="auto"/>
          </w:tcPr>
          <w:p w14:paraId="5A3B0E3E"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69E5484" w14:textId="5D71DC5A"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231D0653"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2B8864BD"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2A8D5E2F"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0C62FB68"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260CAB7B" w14:textId="77777777" w:rsidTr="007A37D2">
        <w:trPr>
          <w:trHeight w:val="470"/>
        </w:trPr>
        <w:tc>
          <w:tcPr>
            <w:tcW w:w="909" w:type="pct"/>
            <w:vMerge/>
            <w:shd w:val="clear" w:color="auto" w:fill="auto"/>
          </w:tcPr>
          <w:p w14:paraId="3A4D413C" w14:textId="77777777" w:rsidR="001F0009" w:rsidRPr="001F0009" w:rsidRDefault="001F0009" w:rsidP="007A37D2">
            <w:pPr>
              <w:pStyle w:val="BodyText"/>
              <w:rPr>
                <w:rFonts w:cs="Arial"/>
                <w:b/>
                <w:sz w:val="20"/>
                <w:szCs w:val="20"/>
              </w:rPr>
            </w:pPr>
          </w:p>
        </w:tc>
        <w:tc>
          <w:tcPr>
            <w:tcW w:w="852" w:type="pct"/>
            <w:vMerge/>
          </w:tcPr>
          <w:p w14:paraId="40CC6833" w14:textId="77777777" w:rsidR="001F0009" w:rsidRPr="001F0009" w:rsidRDefault="001F0009" w:rsidP="007A37D2">
            <w:pPr>
              <w:spacing w:before="120"/>
              <w:rPr>
                <w:rFonts w:cs="Arial"/>
                <w:sz w:val="20"/>
                <w:szCs w:val="20"/>
              </w:rPr>
            </w:pPr>
          </w:p>
        </w:tc>
        <w:tc>
          <w:tcPr>
            <w:tcW w:w="739" w:type="pct"/>
            <w:vMerge/>
            <w:shd w:val="clear" w:color="auto" w:fill="auto"/>
          </w:tcPr>
          <w:p w14:paraId="7CC6385A" w14:textId="77777777" w:rsidR="001F0009" w:rsidRPr="001F0009" w:rsidRDefault="001F0009" w:rsidP="007A37D2">
            <w:pPr>
              <w:spacing w:before="120"/>
              <w:rPr>
                <w:rFonts w:cs="Arial"/>
                <w:sz w:val="20"/>
                <w:szCs w:val="20"/>
              </w:rPr>
            </w:pPr>
          </w:p>
        </w:tc>
        <w:tc>
          <w:tcPr>
            <w:tcW w:w="903" w:type="pct"/>
            <w:vMerge/>
          </w:tcPr>
          <w:p w14:paraId="5B6CCE01" w14:textId="77777777" w:rsidR="001F0009" w:rsidRPr="001F0009" w:rsidRDefault="001F0009" w:rsidP="007A37D2">
            <w:pPr>
              <w:spacing w:before="120"/>
              <w:rPr>
                <w:rFonts w:cs="Arial"/>
                <w:sz w:val="20"/>
                <w:szCs w:val="20"/>
                <w:lang w:val="en-GB" w:eastAsia="en-GB"/>
              </w:rPr>
            </w:pPr>
          </w:p>
        </w:tc>
        <w:tc>
          <w:tcPr>
            <w:tcW w:w="744" w:type="pct"/>
            <w:vMerge/>
          </w:tcPr>
          <w:p w14:paraId="7827D932" w14:textId="77777777" w:rsidR="001F0009" w:rsidRPr="001F0009" w:rsidRDefault="001F0009" w:rsidP="007A37D2">
            <w:pPr>
              <w:spacing w:before="120"/>
              <w:rPr>
                <w:rFonts w:cs="Arial"/>
                <w:sz w:val="20"/>
                <w:szCs w:val="20"/>
                <w:lang w:val="en-GB" w:eastAsia="en-GB"/>
              </w:rPr>
            </w:pPr>
          </w:p>
        </w:tc>
        <w:tc>
          <w:tcPr>
            <w:tcW w:w="853" w:type="pct"/>
            <w:vMerge/>
          </w:tcPr>
          <w:p w14:paraId="2BC45564" w14:textId="77777777" w:rsidR="001F0009" w:rsidRPr="001F0009" w:rsidRDefault="001F0009" w:rsidP="007A37D2">
            <w:pPr>
              <w:spacing w:before="120"/>
              <w:rPr>
                <w:rFonts w:cs="Arial"/>
                <w:sz w:val="20"/>
                <w:szCs w:val="20"/>
              </w:rPr>
            </w:pPr>
          </w:p>
        </w:tc>
      </w:tr>
      <w:tr w:rsidR="001F0009" w:rsidRPr="001F0009" w14:paraId="0EBA82D3" w14:textId="77777777" w:rsidTr="007A37D2">
        <w:trPr>
          <w:trHeight w:val="470"/>
        </w:trPr>
        <w:tc>
          <w:tcPr>
            <w:tcW w:w="909" w:type="pct"/>
            <w:vMerge/>
            <w:shd w:val="clear" w:color="auto" w:fill="auto"/>
          </w:tcPr>
          <w:p w14:paraId="4F1B5278" w14:textId="77777777" w:rsidR="001F0009" w:rsidRPr="001F0009" w:rsidRDefault="001F0009" w:rsidP="007A37D2">
            <w:pPr>
              <w:pStyle w:val="BodyText"/>
              <w:rPr>
                <w:rFonts w:cs="Arial"/>
                <w:b/>
                <w:sz w:val="20"/>
                <w:szCs w:val="20"/>
              </w:rPr>
            </w:pPr>
          </w:p>
        </w:tc>
        <w:tc>
          <w:tcPr>
            <w:tcW w:w="852" w:type="pct"/>
            <w:vMerge/>
          </w:tcPr>
          <w:p w14:paraId="663795B1" w14:textId="77777777" w:rsidR="001F0009" w:rsidRPr="001F0009" w:rsidRDefault="001F0009" w:rsidP="007A37D2">
            <w:pPr>
              <w:spacing w:before="120"/>
              <w:rPr>
                <w:rFonts w:cs="Arial"/>
                <w:sz w:val="20"/>
                <w:szCs w:val="20"/>
              </w:rPr>
            </w:pPr>
          </w:p>
        </w:tc>
        <w:tc>
          <w:tcPr>
            <w:tcW w:w="739" w:type="pct"/>
            <w:vMerge/>
            <w:shd w:val="clear" w:color="auto" w:fill="auto"/>
          </w:tcPr>
          <w:p w14:paraId="7D7687CE" w14:textId="77777777" w:rsidR="001F0009" w:rsidRPr="001F0009" w:rsidRDefault="001F0009" w:rsidP="007A37D2">
            <w:pPr>
              <w:spacing w:before="120"/>
              <w:rPr>
                <w:rFonts w:cs="Arial"/>
                <w:sz w:val="20"/>
                <w:szCs w:val="20"/>
              </w:rPr>
            </w:pPr>
          </w:p>
        </w:tc>
        <w:tc>
          <w:tcPr>
            <w:tcW w:w="903" w:type="pct"/>
            <w:vMerge/>
          </w:tcPr>
          <w:p w14:paraId="4744E83D" w14:textId="77777777" w:rsidR="001F0009" w:rsidRPr="001F0009" w:rsidRDefault="001F0009" w:rsidP="007A37D2">
            <w:pPr>
              <w:spacing w:before="120"/>
              <w:rPr>
                <w:rFonts w:cs="Arial"/>
                <w:sz w:val="20"/>
                <w:szCs w:val="20"/>
                <w:lang w:val="en-GB" w:eastAsia="en-GB"/>
              </w:rPr>
            </w:pPr>
          </w:p>
        </w:tc>
        <w:tc>
          <w:tcPr>
            <w:tcW w:w="744" w:type="pct"/>
            <w:vMerge/>
          </w:tcPr>
          <w:p w14:paraId="398E567C" w14:textId="77777777" w:rsidR="001F0009" w:rsidRPr="001F0009" w:rsidRDefault="001F0009" w:rsidP="007A37D2">
            <w:pPr>
              <w:spacing w:before="120"/>
              <w:rPr>
                <w:rFonts w:cs="Arial"/>
                <w:sz w:val="20"/>
                <w:szCs w:val="20"/>
                <w:lang w:val="en-GB" w:eastAsia="en-GB"/>
              </w:rPr>
            </w:pPr>
          </w:p>
        </w:tc>
        <w:tc>
          <w:tcPr>
            <w:tcW w:w="853" w:type="pct"/>
            <w:vMerge/>
          </w:tcPr>
          <w:p w14:paraId="2498A339" w14:textId="77777777" w:rsidR="001F0009" w:rsidRPr="001F0009" w:rsidRDefault="001F0009" w:rsidP="007A37D2">
            <w:pPr>
              <w:spacing w:before="120"/>
              <w:rPr>
                <w:rFonts w:cs="Arial"/>
                <w:sz w:val="20"/>
                <w:szCs w:val="20"/>
              </w:rPr>
            </w:pPr>
          </w:p>
        </w:tc>
      </w:tr>
      <w:tr w:rsidR="001F0009" w:rsidRPr="001F0009" w14:paraId="7CE98A63" w14:textId="77777777" w:rsidTr="007A37D2">
        <w:trPr>
          <w:trHeight w:val="350"/>
        </w:trPr>
        <w:tc>
          <w:tcPr>
            <w:tcW w:w="909" w:type="pct"/>
            <w:vMerge w:val="restart"/>
            <w:shd w:val="clear" w:color="auto" w:fill="auto"/>
          </w:tcPr>
          <w:p w14:paraId="24398636" w14:textId="77777777" w:rsidR="001F0009" w:rsidRPr="001F0009" w:rsidRDefault="001F0009" w:rsidP="007A37D2">
            <w:pPr>
              <w:pStyle w:val="BodyText"/>
              <w:rPr>
                <w:rFonts w:cs="Arial"/>
                <w:b/>
                <w:sz w:val="20"/>
                <w:szCs w:val="20"/>
              </w:rPr>
            </w:pPr>
            <w:r w:rsidRPr="001F0009">
              <w:rPr>
                <w:rFonts w:cs="Arial"/>
                <w:b/>
                <w:sz w:val="20"/>
                <w:szCs w:val="20"/>
              </w:rPr>
              <w:t>P Distributing</w:t>
            </w:r>
          </w:p>
        </w:tc>
        <w:tc>
          <w:tcPr>
            <w:tcW w:w="852" w:type="pct"/>
            <w:vMerge w:val="restart"/>
          </w:tcPr>
          <w:p w14:paraId="4DDE89E0" w14:textId="77777777" w:rsidR="001F0009" w:rsidRPr="001F0009" w:rsidRDefault="001F0009" w:rsidP="007A37D2">
            <w:pPr>
              <w:spacing w:before="120"/>
              <w:rPr>
                <w:rFonts w:cs="Arial"/>
                <w:sz w:val="20"/>
                <w:szCs w:val="20"/>
              </w:rPr>
            </w:pPr>
            <w:r w:rsidRPr="001F0009">
              <w:rPr>
                <w:rFonts w:cs="Arial"/>
                <w:sz w:val="20"/>
                <w:szCs w:val="20"/>
              </w:rPr>
              <w:t>0.675%</w:t>
            </w:r>
          </w:p>
        </w:tc>
        <w:tc>
          <w:tcPr>
            <w:tcW w:w="739" w:type="pct"/>
            <w:vMerge w:val="restart"/>
            <w:shd w:val="clear" w:color="auto" w:fill="auto"/>
          </w:tcPr>
          <w:p w14:paraId="6D5C426B"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076D003B" w14:textId="70565BC6"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7BAE868F"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716D25D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0350A529"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47DCCE77"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7F640AD6" w14:textId="77777777" w:rsidTr="007A37D2">
        <w:trPr>
          <w:trHeight w:val="470"/>
        </w:trPr>
        <w:tc>
          <w:tcPr>
            <w:tcW w:w="909" w:type="pct"/>
            <w:vMerge/>
            <w:shd w:val="clear" w:color="auto" w:fill="auto"/>
          </w:tcPr>
          <w:p w14:paraId="266F0309" w14:textId="77777777" w:rsidR="001F0009" w:rsidRPr="001F0009" w:rsidRDefault="001F0009" w:rsidP="007A37D2">
            <w:pPr>
              <w:pStyle w:val="BodyText"/>
              <w:rPr>
                <w:rFonts w:cs="Arial"/>
                <w:b/>
                <w:sz w:val="20"/>
                <w:szCs w:val="20"/>
              </w:rPr>
            </w:pPr>
          </w:p>
        </w:tc>
        <w:tc>
          <w:tcPr>
            <w:tcW w:w="852" w:type="pct"/>
            <w:vMerge/>
          </w:tcPr>
          <w:p w14:paraId="0BD4288B" w14:textId="77777777" w:rsidR="001F0009" w:rsidRPr="001F0009" w:rsidRDefault="001F0009" w:rsidP="007A37D2">
            <w:pPr>
              <w:spacing w:before="120"/>
              <w:rPr>
                <w:rFonts w:cs="Arial"/>
                <w:sz w:val="20"/>
                <w:szCs w:val="20"/>
              </w:rPr>
            </w:pPr>
          </w:p>
        </w:tc>
        <w:tc>
          <w:tcPr>
            <w:tcW w:w="739" w:type="pct"/>
            <w:vMerge/>
            <w:shd w:val="clear" w:color="auto" w:fill="auto"/>
          </w:tcPr>
          <w:p w14:paraId="65241FC8" w14:textId="77777777" w:rsidR="001F0009" w:rsidRPr="001F0009" w:rsidRDefault="001F0009" w:rsidP="007A37D2">
            <w:pPr>
              <w:spacing w:before="120"/>
              <w:rPr>
                <w:rFonts w:cs="Arial"/>
                <w:sz w:val="20"/>
                <w:szCs w:val="20"/>
              </w:rPr>
            </w:pPr>
          </w:p>
        </w:tc>
        <w:tc>
          <w:tcPr>
            <w:tcW w:w="903" w:type="pct"/>
            <w:vMerge/>
          </w:tcPr>
          <w:p w14:paraId="35E419D8" w14:textId="77777777" w:rsidR="001F0009" w:rsidRPr="001F0009" w:rsidRDefault="001F0009" w:rsidP="007A37D2">
            <w:pPr>
              <w:spacing w:before="120"/>
              <w:rPr>
                <w:rFonts w:cs="Arial"/>
                <w:sz w:val="20"/>
                <w:szCs w:val="20"/>
                <w:lang w:val="en-GB" w:eastAsia="en-GB"/>
              </w:rPr>
            </w:pPr>
          </w:p>
        </w:tc>
        <w:tc>
          <w:tcPr>
            <w:tcW w:w="744" w:type="pct"/>
            <w:vMerge/>
          </w:tcPr>
          <w:p w14:paraId="0AC03350" w14:textId="77777777" w:rsidR="001F0009" w:rsidRPr="001F0009" w:rsidRDefault="001F0009" w:rsidP="007A37D2">
            <w:pPr>
              <w:spacing w:before="120"/>
              <w:rPr>
                <w:rFonts w:cs="Arial"/>
                <w:sz w:val="20"/>
                <w:szCs w:val="20"/>
                <w:lang w:val="en-GB" w:eastAsia="en-GB"/>
              </w:rPr>
            </w:pPr>
          </w:p>
        </w:tc>
        <w:tc>
          <w:tcPr>
            <w:tcW w:w="853" w:type="pct"/>
            <w:vMerge/>
          </w:tcPr>
          <w:p w14:paraId="0A7D2E40" w14:textId="77777777" w:rsidR="001F0009" w:rsidRPr="001F0009" w:rsidRDefault="001F0009" w:rsidP="007A37D2">
            <w:pPr>
              <w:spacing w:before="120"/>
              <w:rPr>
                <w:rFonts w:cs="Arial"/>
                <w:sz w:val="20"/>
                <w:szCs w:val="20"/>
              </w:rPr>
            </w:pPr>
          </w:p>
        </w:tc>
      </w:tr>
      <w:tr w:rsidR="001F0009" w:rsidRPr="001F0009" w14:paraId="317A8E7D" w14:textId="77777777" w:rsidTr="007A37D2">
        <w:trPr>
          <w:trHeight w:val="470"/>
        </w:trPr>
        <w:tc>
          <w:tcPr>
            <w:tcW w:w="909" w:type="pct"/>
            <w:vMerge/>
            <w:shd w:val="clear" w:color="auto" w:fill="auto"/>
          </w:tcPr>
          <w:p w14:paraId="3C00BFC9" w14:textId="77777777" w:rsidR="001F0009" w:rsidRPr="001F0009" w:rsidRDefault="001F0009" w:rsidP="007A37D2">
            <w:pPr>
              <w:pStyle w:val="BodyText"/>
              <w:rPr>
                <w:rFonts w:cs="Arial"/>
                <w:b/>
                <w:sz w:val="20"/>
                <w:szCs w:val="20"/>
              </w:rPr>
            </w:pPr>
          </w:p>
        </w:tc>
        <w:tc>
          <w:tcPr>
            <w:tcW w:w="852" w:type="pct"/>
            <w:vMerge/>
          </w:tcPr>
          <w:p w14:paraId="03CA483B" w14:textId="77777777" w:rsidR="001F0009" w:rsidRPr="001F0009" w:rsidRDefault="001F0009" w:rsidP="007A37D2">
            <w:pPr>
              <w:spacing w:before="120"/>
              <w:rPr>
                <w:rFonts w:cs="Arial"/>
                <w:sz w:val="20"/>
                <w:szCs w:val="20"/>
              </w:rPr>
            </w:pPr>
          </w:p>
        </w:tc>
        <w:tc>
          <w:tcPr>
            <w:tcW w:w="739" w:type="pct"/>
            <w:vMerge/>
            <w:shd w:val="clear" w:color="auto" w:fill="auto"/>
          </w:tcPr>
          <w:p w14:paraId="0241BA7B" w14:textId="77777777" w:rsidR="001F0009" w:rsidRPr="001F0009" w:rsidRDefault="001F0009" w:rsidP="007A37D2">
            <w:pPr>
              <w:spacing w:before="120"/>
              <w:rPr>
                <w:rFonts w:cs="Arial"/>
                <w:sz w:val="20"/>
                <w:szCs w:val="20"/>
              </w:rPr>
            </w:pPr>
          </w:p>
        </w:tc>
        <w:tc>
          <w:tcPr>
            <w:tcW w:w="903" w:type="pct"/>
            <w:vMerge/>
          </w:tcPr>
          <w:p w14:paraId="2E9BB941" w14:textId="77777777" w:rsidR="001F0009" w:rsidRPr="001F0009" w:rsidRDefault="001F0009" w:rsidP="007A37D2">
            <w:pPr>
              <w:spacing w:before="120"/>
              <w:rPr>
                <w:rFonts w:cs="Arial"/>
                <w:sz w:val="20"/>
                <w:szCs w:val="20"/>
                <w:lang w:val="en-GB" w:eastAsia="en-GB"/>
              </w:rPr>
            </w:pPr>
          </w:p>
        </w:tc>
        <w:tc>
          <w:tcPr>
            <w:tcW w:w="744" w:type="pct"/>
            <w:vMerge/>
          </w:tcPr>
          <w:p w14:paraId="271ED1C7" w14:textId="77777777" w:rsidR="001F0009" w:rsidRPr="001F0009" w:rsidRDefault="001F0009" w:rsidP="007A37D2">
            <w:pPr>
              <w:spacing w:before="120"/>
              <w:rPr>
                <w:rFonts w:cs="Arial"/>
                <w:sz w:val="20"/>
                <w:szCs w:val="20"/>
                <w:lang w:val="en-GB" w:eastAsia="en-GB"/>
              </w:rPr>
            </w:pPr>
          </w:p>
        </w:tc>
        <w:tc>
          <w:tcPr>
            <w:tcW w:w="853" w:type="pct"/>
            <w:vMerge/>
          </w:tcPr>
          <w:p w14:paraId="64627DA2" w14:textId="77777777" w:rsidR="001F0009" w:rsidRPr="001F0009" w:rsidRDefault="001F0009" w:rsidP="007A37D2">
            <w:pPr>
              <w:spacing w:before="120"/>
              <w:rPr>
                <w:rFonts w:cs="Arial"/>
                <w:sz w:val="20"/>
                <w:szCs w:val="20"/>
              </w:rPr>
            </w:pPr>
          </w:p>
        </w:tc>
      </w:tr>
      <w:tr w:rsidR="001F0009" w:rsidRPr="001F0009" w14:paraId="2802C688" w14:textId="77777777" w:rsidTr="007A37D2">
        <w:trPr>
          <w:trHeight w:val="350"/>
        </w:trPr>
        <w:tc>
          <w:tcPr>
            <w:tcW w:w="909" w:type="pct"/>
            <w:vMerge w:val="restart"/>
            <w:shd w:val="clear" w:color="auto" w:fill="auto"/>
          </w:tcPr>
          <w:p w14:paraId="45B914B2" w14:textId="77777777" w:rsidR="001F0009" w:rsidRPr="001F0009" w:rsidRDefault="001F0009" w:rsidP="007A37D2">
            <w:pPr>
              <w:pStyle w:val="BodyText"/>
              <w:rPr>
                <w:rFonts w:cs="Arial"/>
                <w:b/>
                <w:sz w:val="20"/>
                <w:szCs w:val="20"/>
              </w:rPr>
            </w:pPr>
            <w:r w:rsidRPr="001F0009">
              <w:rPr>
                <w:rFonts w:cs="Arial"/>
                <w:b/>
                <w:sz w:val="20"/>
                <w:szCs w:val="20"/>
              </w:rPr>
              <w:t>Q Accumulating</w:t>
            </w:r>
          </w:p>
        </w:tc>
        <w:tc>
          <w:tcPr>
            <w:tcW w:w="852" w:type="pct"/>
            <w:vMerge w:val="restart"/>
          </w:tcPr>
          <w:p w14:paraId="685BCED9" w14:textId="77777777" w:rsidR="001F0009" w:rsidRPr="001F0009" w:rsidRDefault="001F0009" w:rsidP="007A37D2">
            <w:pPr>
              <w:spacing w:before="120"/>
              <w:rPr>
                <w:rFonts w:cs="Arial"/>
                <w:sz w:val="20"/>
                <w:szCs w:val="20"/>
              </w:rPr>
            </w:pPr>
            <w:r w:rsidRPr="001F0009">
              <w:rPr>
                <w:rFonts w:cs="Arial"/>
                <w:sz w:val="20"/>
                <w:szCs w:val="20"/>
              </w:rPr>
              <w:t>1.35%</w:t>
            </w:r>
          </w:p>
        </w:tc>
        <w:tc>
          <w:tcPr>
            <w:tcW w:w="739" w:type="pct"/>
            <w:vMerge w:val="restart"/>
            <w:shd w:val="clear" w:color="auto" w:fill="auto"/>
          </w:tcPr>
          <w:p w14:paraId="251B4109"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19AC6D2" w14:textId="253FC554"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9CA23E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6ACF546A"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2EE6530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50B27CD"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031D7A84" w14:textId="77777777" w:rsidTr="007A37D2">
        <w:trPr>
          <w:trHeight w:val="470"/>
        </w:trPr>
        <w:tc>
          <w:tcPr>
            <w:tcW w:w="909" w:type="pct"/>
            <w:vMerge/>
            <w:shd w:val="clear" w:color="auto" w:fill="auto"/>
          </w:tcPr>
          <w:p w14:paraId="0D8707D5" w14:textId="77777777" w:rsidR="001F0009" w:rsidRPr="001F0009" w:rsidRDefault="001F0009" w:rsidP="007A37D2">
            <w:pPr>
              <w:pStyle w:val="BodyText"/>
              <w:rPr>
                <w:rFonts w:cs="Arial"/>
                <w:b/>
                <w:sz w:val="20"/>
                <w:szCs w:val="20"/>
              </w:rPr>
            </w:pPr>
          </w:p>
        </w:tc>
        <w:tc>
          <w:tcPr>
            <w:tcW w:w="852" w:type="pct"/>
            <w:vMerge/>
          </w:tcPr>
          <w:p w14:paraId="1044213E" w14:textId="77777777" w:rsidR="001F0009" w:rsidRPr="001F0009" w:rsidRDefault="001F0009" w:rsidP="007A37D2">
            <w:pPr>
              <w:spacing w:before="120"/>
              <w:rPr>
                <w:rFonts w:cs="Arial"/>
                <w:sz w:val="20"/>
                <w:szCs w:val="20"/>
              </w:rPr>
            </w:pPr>
          </w:p>
        </w:tc>
        <w:tc>
          <w:tcPr>
            <w:tcW w:w="739" w:type="pct"/>
            <w:vMerge/>
            <w:shd w:val="clear" w:color="auto" w:fill="auto"/>
          </w:tcPr>
          <w:p w14:paraId="20BBF71B" w14:textId="77777777" w:rsidR="001F0009" w:rsidRPr="001F0009" w:rsidRDefault="001F0009" w:rsidP="007A37D2">
            <w:pPr>
              <w:spacing w:before="120"/>
              <w:rPr>
                <w:rFonts w:cs="Arial"/>
                <w:sz w:val="20"/>
                <w:szCs w:val="20"/>
              </w:rPr>
            </w:pPr>
          </w:p>
        </w:tc>
        <w:tc>
          <w:tcPr>
            <w:tcW w:w="903" w:type="pct"/>
            <w:vMerge/>
          </w:tcPr>
          <w:p w14:paraId="66038765" w14:textId="77777777" w:rsidR="001F0009" w:rsidRPr="001F0009" w:rsidRDefault="001F0009" w:rsidP="007A37D2">
            <w:pPr>
              <w:spacing w:before="120"/>
              <w:rPr>
                <w:rFonts w:cs="Arial"/>
                <w:sz w:val="20"/>
                <w:szCs w:val="20"/>
                <w:lang w:val="en-GB" w:eastAsia="en-GB"/>
              </w:rPr>
            </w:pPr>
          </w:p>
        </w:tc>
        <w:tc>
          <w:tcPr>
            <w:tcW w:w="744" w:type="pct"/>
            <w:vMerge/>
          </w:tcPr>
          <w:p w14:paraId="306E1D90" w14:textId="77777777" w:rsidR="001F0009" w:rsidRPr="001F0009" w:rsidRDefault="001F0009" w:rsidP="007A37D2">
            <w:pPr>
              <w:spacing w:before="120"/>
              <w:rPr>
                <w:rFonts w:cs="Arial"/>
                <w:sz w:val="20"/>
                <w:szCs w:val="20"/>
                <w:lang w:val="en-GB" w:eastAsia="en-GB"/>
              </w:rPr>
            </w:pPr>
          </w:p>
        </w:tc>
        <w:tc>
          <w:tcPr>
            <w:tcW w:w="853" w:type="pct"/>
            <w:vMerge/>
          </w:tcPr>
          <w:p w14:paraId="0B70D80F" w14:textId="77777777" w:rsidR="001F0009" w:rsidRPr="001F0009" w:rsidRDefault="001F0009" w:rsidP="007A37D2">
            <w:pPr>
              <w:spacing w:before="120"/>
              <w:rPr>
                <w:rFonts w:cs="Arial"/>
                <w:sz w:val="20"/>
                <w:szCs w:val="20"/>
              </w:rPr>
            </w:pPr>
          </w:p>
        </w:tc>
      </w:tr>
      <w:tr w:rsidR="001F0009" w:rsidRPr="001F0009" w14:paraId="7292E525" w14:textId="77777777" w:rsidTr="007A37D2">
        <w:trPr>
          <w:trHeight w:val="470"/>
        </w:trPr>
        <w:tc>
          <w:tcPr>
            <w:tcW w:w="909" w:type="pct"/>
            <w:vMerge/>
            <w:shd w:val="clear" w:color="auto" w:fill="auto"/>
          </w:tcPr>
          <w:p w14:paraId="1CF1BCDF" w14:textId="77777777" w:rsidR="001F0009" w:rsidRPr="001F0009" w:rsidRDefault="001F0009" w:rsidP="007A37D2">
            <w:pPr>
              <w:pStyle w:val="BodyText"/>
              <w:rPr>
                <w:rFonts w:cs="Arial"/>
                <w:b/>
                <w:sz w:val="20"/>
                <w:szCs w:val="20"/>
              </w:rPr>
            </w:pPr>
          </w:p>
        </w:tc>
        <w:tc>
          <w:tcPr>
            <w:tcW w:w="852" w:type="pct"/>
            <w:vMerge/>
          </w:tcPr>
          <w:p w14:paraId="00E78338" w14:textId="77777777" w:rsidR="001F0009" w:rsidRPr="001F0009" w:rsidRDefault="001F0009" w:rsidP="007A37D2">
            <w:pPr>
              <w:spacing w:before="120"/>
              <w:rPr>
                <w:rFonts w:cs="Arial"/>
                <w:sz w:val="20"/>
                <w:szCs w:val="20"/>
              </w:rPr>
            </w:pPr>
          </w:p>
        </w:tc>
        <w:tc>
          <w:tcPr>
            <w:tcW w:w="739" w:type="pct"/>
            <w:vMerge/>
            <w:shd w:val="clear" w:color="auto" w:fill="auto"/>
          </w:tcPr>
          <w:p w14:paraId="4CA1BB68" w14:textId="77777777" w:rsidR="001F0009" w:rsidRPr="001F0009" w:rsidRDefault="001F0009" w:rsidP="007A37D2">
            <w:pPr>
              <w:spacing w:before="120"/>
              <w:rPr>
                <w:rFonts w:cs="Arial"/>
                <w:sz w:val="20"/>
                <w:szCs w:val="20"/>
              </w:rPr>
            </w:pPr>
          </w:p>
        </w:tc>
        <w:tc>
          <w:tcPr>
            <w:tcW w:w="903" w:type="pct"/>
            <w:vMerge/>
          </w:tcPr>
          <w:p w14:paraId="739F6A3C" w14:textId="77777777" w:rsidR="001F0009" w:rsidRPr="001F0009" w:rsidRDefault="001F0009" w:rsidP="007A37D2">
            <w:pPr>
              <w:spacing w:before="120"/>
              <w:rPr>
                <w:rFonts w:cs="Arial"/>
                <w:sz w:val="20"/>
                <w:szCs w:val="20"/>
                <w:lang w:val="en-GB" w:eastAsia="en-GB"/>
              </w:rPr>
            </w:pPr>
          </w:p>
        </w:tc>
        <w:tc>
          <w:tcPr>
            <w:tcW w:w="744" w:type="pct"/>
            <w:vMerge/>
          </w:tcPr>
          <w:p w14:paraId="45BB62DA" w14:textId="77777777" w:rsidR="001F0009" w:rsidRPr="001F0009" w:rsidRDefault="001F0009" w:rsidP="007A37D2">
            <w:pPr>
              <w:spacing w:before="120"/>
              <w:rPr>
                <w:rFonts w:cs="Arial"/>
                <w:sz w:val="20"/>
                <w:szCs w:val="20"/>
                <w:lang w:val="en-GB" w:eastAsia="en-GB"/>
              </w:rPr>
            </w:pPr>
          </w:p>
        </w:tc>
        <w:tc>
          <w:tcPr>
            <w:tcW w:w="853" w:type="pct"/>
            <w:vMerge/>
          </w:tcPr>
          <w:p w14:paraId="40CC2421" w14:textId="77777777" w:rsidR="001F0009" w:rsidRPr="001F0009" w:rsidRDefault="001F0009" w:rsidP="007A37D2">
            <w:pPr>
              <w:spacing w:before="120"/>
              <w:rPr>
                <w:rFonts w:cs="Arial"/>
                <w:sz w:val="20"/>
                <w:szCs w:val="20"/>
              </w:rPr>
            </w:pPr>
          </w:p>
        </w:tc>
      </w:tr>
      <w:tr w:rsidR="001F0009" w:rsidRPr="001F0009" w14:paraId="42DCE1DE" w14:textId="77777777" w:rsidTr="007A37D2">
        <w:trPr>
          <w:trHeight w:val="350"/>
        </w:trPr>
        <w:tc>
          <w:tcPr>
            <w:tcW w:w="909" w:type="pct"/>
            <w:vMerge w:val="restart"/>
            <w:shd w:val="clear" w:color="auto" w:fill="auto"/>
          </w:tcPr>
          <w:p w14:paraId="086DB082" w14:textId="77777777" w:rsidR="001F0009" w:rsidRPr="001F0009" w:rsidRDefault="001F0009" w:rsidP="007A37D2">
            <w:pPr>
              <w:pStyle w:val="BodyText"/>
              <w:rPr>
                <w:rFonts w:cs="Arial"/>
                <w:b/>
                <w:sz w:val="20"/>
                <w:szCs w:val="20"/>
              </w:rPr>
            </w:pPr>
            <w:r w:rsidRPr="001F0009">
              <w:rPr>
                <w:rFonts w:cs="Arial"/>
                <w:b/>
                <w:sz w:val="20"/>
                <w:szCs w:val="20"/>
              </w:rPr>
              <w:t>R Distributing</w:t>
            </w:r>
          </w:p>
        </w:tc>
        <w:tc>
          <w:tcPr>
            <w:tcW w:w="852" w:type="pct"/>
            <w:vMerge w:val="restart"/>
          </w:tcPr>
          <w:p w14:paraId="73192CA3" w14:textId="77777777" w:rsidR="001F0009" w:rsidRPr="001F0009" w:rsidRDefault="001F0009" w:rsidP="007A37D2">
            <w:pPr>
              <w:spacing w:before="120"/>
              <w:rPr>
                <w:rFonts w:cs="Arial"/>
                <w:sz w:val="20"/>
                <w:szCs w:val="20"/>
              </w:rPr>
            </w:pPr>
            <w:r w:rsidRPr="001F0009">
              <w:rPr>
                <w:rFonts w:cs="Arial"/>
                <w:sz w:val="20"/>
                <w:szCs w:val="20"/>
              </w:rPr>
              <w:t>1.35%</w:t>
            </w:r>
          </w:p>
        </w:tc>
        <w:tc>
          <w:tcPr>
            <w:tcW w:w="739" w:type="pct"/>
            <w:vMerge w:val="restart"/>
            <w:shd w:val="clear" w:color="auto" w:fill="auto"/>
          </w:tcPr>
          <w:p w14:paraId="27D25902"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4BAD7BDD" w14:textId="07F3B7D0"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5975BAD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148D464A"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0ACE2E3F"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2D0E48E"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2A54854A" w14:textId="77777777" w:rsidTr="007A37D2">
        <w:trPr>
          <w:trHeight w:val="470"/>
        </w:trPr>
        <w:tc>
          <w:tcPr>
            <w:tcW w:w="909" w:type="pct"/>
            <w:vMerge/>
            <w:shd w:val="clear" w:color="auto" w:fill="auto"/>
          </w:tcPr>
          <w:p w14:paraId="2ED1EA06" w14:textId="77777777" w:rsidR="001F0009" w:rsidRPr="001F0009" w:rsidRDefault="001F0009" w:rsidP="007A37D2">
            <w:pPr>
              <w:pStyle w:val="BodyText"/>
              <w:rPr>
                <w:rFonts w:cs="Arial"/>
                <w:b/>
                <w:sz w:val="20"/>
                <w:szCs w:val="20"/>
              </w:rPr>
            </w:pPr>
          </w:p>
        </w:tc>
        <w:tc>
          <w:tcPr>
            <w:tcW w:w="852" w:type="pct"/>
            <w:vMerge/>
          </w:tcPr>
          <w:p w14:paraId="460BC2FE" w14:textId="77777777" w:rsidR="001F0009" w:rsidRPr="001F0009" w:rsidRDefault="001F0009" w:rsidP="007A37D2">
            <w:pPr>
              <w:spacing w:before="120"/>
              <w:rPr>
                <w:rFonts w:cs="Arial"/>
                <w:sz w:val="20"/>
                <w:szCs w:val="20"/>
              </w:rPr>
            </w:pPr>
          </w:p>
        </w:tc>
        <w:tc>
          <w:tcPr>
            <w:tcW w:w="739" w:type="pct"/>
            <w:vMerge/>
            <w:shd w:val="clear" w:color="auto" w:fill="auto"/>
          </w:tcPr>
          <w:p w14:paraId="4C4469CE" w14:textId="77777777" w:rsidR="001F0009" w:rsidRPr="001F0009" w:rsidRDefault="001F0009" w:rsidP="007A37D2">
            <w:pPr>
              <w:spacing w:before="120"/>
              <w:rPr>
                <w:rFonts w:cs="Arial"/>
                <w:sz w:val="20"/>
                <w:szCs w:val="20"/>
              </w:rPr>
            </w:pPr>
          </w:p>
        </w:tc>
        <w:tc>
          <w:tcPr>
            <w:tcW w:w="903" w:type="pct"/>
            <w:vMerge/>
          </w:tcPr>
          <w:p w14:paraId="779BF460" w14:textId="77777777" w:rsidR="001F0009" w:rsidRPr="001F0009" w:rsidRDefault="001F0009" w:rsidP="007A37D2">
            <w:pPr>
              <w:spacing w:before="120"/>
              <w:rPr>
                <w:rFonts w:cs="Arial"/>
                <w:sz w:val="20"/>
                <w:szCs w:val="20"/>
                <w:lang w:val="en-GB" w:eastAsia="en-GB"/>
              </w:rPr>
            </w:pPr>
          </w:p>
        </w:tc>
        <w:tc>
          <w:tcPr>
            <w:tcW w:w="744" w:type="pct"/>
            <w:vMerge/>
          </w:tcPr>
          <w:p w14:paraId="34FB0056" w14:textId="77777777" w:rsidR="001F0009" w:rsidRPr="001F0009" w:rsidRDefault="001F0009" w:rsidP="007A37D2">
            <w:pPr>
              <w:spacing w:before="120"/>
              <w:rPr>
                <w:rFonts w:cs="Arial"/>
                <w:sz w:val="20"/>
                <w:szCs w:val="20"/>
                <w:lang w:val="en-GB" w:eastAsia="en-GB"/>
              </w:rPr>
            </w:pPr>
          </w:p>
        </w:tc>
        <w:tc>
          <w:tcPr>
            <w:tcW w:w="853" w:type="pct"/>
            <w:vMerge/>
          </w:tcPr>
          <w:p w14:paraId="1C48A7A7" w14:textId="77777777" w:rsidR="001F0009" w:rsidRPr="001F0009" w:rsidRDefault="001F0009" w:rsidP="007A37D2">
            <w:pPr>
              <w:spacing w:before="120"/>
              <w:rPr>
                <w:rFonts w:cs="Arial"/>
                <w:sz w:val="20"/>
                <w:szCs w:val="20"/>
              </w:rPr>
            </w:pPr>
          </w:p>
        </w:tc>
      </w:tr>
      <w:tr w:rsidR="001F0009" w:rsidRPr="001F0009" w14:paraId="26DA8C66" w14:textId="77777777" w:rsidTr="007A37D2">
        <w:trPr>
          <w:trHeight w:val="470"/>
        </w:trPr>
        <w:tc>
          <w:tcPr>
            <w:tcW w:w="909" w:type="pct"/>
            <w:vMerge/>
            <w:shd w:val="clear" w:color="auto" w:fill="auto"/>
          </w:tcPr>
          <w:p w14:paraId="078A36A3" w14:textId="77777777" w:rsidR="001F0009" w:rsidRPr="001F0009" w:rsidRDefault="001F0009" w:rsidP="007A37D2">
            <w:pPr>
              <w:pStyle w:val="BodyText"/>
              <w:rPr>
                <w:rFonts w:cs="Arial"/>
                <w:b/>
                <w:sz w:val="20"/>
                <w:szCs w:val="20"/>
              </w:rPr>
            </w:pPr>
          </w:p>
        </w:tc>
        <w:tc>
          <w:tcPr>
            <w:tcW w:w="852" w:type="pct"/>
            <w:vMerge/>
          </w:tcPr>
          <w:p w14:paraId="5C5EBB05" w14:textId="77777777" w:rsidR="001F0009" w:rsidRPr="001F0009" w:rsidRDefault="001F0009" w:rsidP="007A37D2">
            <w:pPr>
              <w:spacing w:before="120"/>
              <w:rPr>
                <w:rFonts w:cs="Arial"/>
                <w:sz w:val="20"/>
                <w:szCs w:val="20"/>
              </w:rPr>
            </w:pPr>
          </w:p>
        </w:tc>
        <w:tc>
          <w:tcPr>
            <w:tcW w:w="739" w:type="pct"/>
            <w:vMerge/>
            <w:shd w:val="clear" w:color="auto" w:fill="auto"/>
          </w:tcPr>
          <w:p w14:paraId="3939844F" w14:textId="77777777" w:rsidR="001F0009" w:rsidRPr="001F0009" w:rsidRDefault="001F0009" w:rsidP="007A37D2">
            <w:pPr>
              <w:spacing w:before="120"/>
              <w:rPr>
                <w:rFonts w:cs="Arial"/>
                <w:sz w:val="20"/>
                <w:szCs w:val="20"/>
              </w:rPr>
            </w:pPr>
          </w:p>
        </w:tc>
        <w:tc>
          <w:tcPr>
            <w:tcW w:w="903" w:type="pct"/>
            <w:vMerge/>
          </w:tcPr>
          <w:p w14:paraId="6E95AE34" w14:textId="77777777" w:rsidR="001F0009" w:rsidRPr="001F0009" w:rsidRDefault="001F0009" w:rsidP="007A37D2">
            <w:pPr>
              <w:spacing w:before="120"/>
              <w:rPr>
                <w:rFonts w:cs="Arial"/>
                <w:sz w:val="20"/>
                <w:szCs w:val="20"/>
                <w:lang w:val="en-GB" w:eastAsia="en-GB"/>
              </w:rPr>
            </w:pPr>
          </w:p>
        </w:tc>
        <w:tc>
          <w:tcPr>
            <w:tcW w:w="744" w:type="pct"/>
            <w:vMerge/>
          </w:tcPr>
          <w:p w14:paraId="7F48E31E" w14:textId="77777777" w:rsidR="001F0009" w:rsidRPr="001F0009" w:rsidRDefault="001F0009" w:rsidP="007A37D2">
            <w:pPr>
              <w:spacing w:before="120"/>
              <w:rPr>
                <w:rFonts w:cs="Arial"/>
                <w:sz w:val="20"/>
                <w:szCs w:val="20"/>
                <w:lang w:val="en-GB" w:eastAsia="en-GB"/>
              </w:rPr>
            </w:pPr>
          </w:p>
        </w:tc>
        <w:tc>
          <w:tcPr>
            <w:tcW w:w="853" w:type="pct"/>
            <w:vMerge/>
          </w:tcPr>
          <w:p w14:paraId="2A3DFB33" w14:textId="77777777" w:rsidR="001F0009" w:rsidRPr="001F0009" w:rsidRDefault="001F0009" w:rsidP="007A37D2">
            <w:pPr>
              <w:spacing w:before="120"/>
              <w:rPr>
                <w:rFonts w:cs="Arial"/>
                <w:sz w:val="20"/>
                <w:szCs w:val="20"/>
              </w:rPr>
            </w:pPr>
          </w:p>
        </w:tc>
      </w:tr>
      <w:tr w:rsidR="001F0009" w:rsidRPr="001F0009" w14:paraId="43975A65" w14:textId="77777777" w:rsidTr="007A37D2">
        <w:trPr>
          <w:trHeight w:val="350"/>
        </w:trPr>
        <w:tc>
          <w:tcPr>
            <w:tcW w:w="909" w:type="pct"/>
            <w:vMerge w:val="restart"/>
            <w:shd w:val="clear" w:color="auto" w:fill="auto"/>
          </w:tcPr>
          <w:p w14:paraId="2948F9BA" w14:textId="77777777" w:rsidR="001F0009" w:rsidRPr="001F0009" w:rsidRDefault="001F0009" w:rsidP="007A37D2">
            <w:pPr>
              <w:pStyle w:val="BodyText"/>
              <w:rPr>
                <w:rFonts w:cs="Arial"/>
                <w:b/>
                <w:sz w:val="20"/>
                <w:szCs w:val="20"/>
              </w:rPr>
            </w:pPr>
            <w:r w:rsidRPr="001F0009">
              <w:rPr>
                <w:rFonts w:cs="Arial"/>
                <w:b/>
                <w:sz w:val="20"/>
                <w:szCs w:val="20"/>
              </w:rPr>
              <w:t>S Accumulating</w:t>
            </w:r>
          </w:p>
        </w:tc>
        <w:tc>
          <w:tcPr>
            <w:tcW w:w="852" w:type="pct"/>
            <w:vMerge w:val="restart"/>
          </w:tcPr>
          <w:p w14:paraId="6FA111C9" w14:textId="77777777" w:rsidR="001F0009" w:rsidRPr="001F0009" w:rsidRDefault="001F0009" w:rsidP="007A37D2">
            <w:pPr>
              <w:spacing w:before="120"/>
              <w:rPr>
                <w:rFonts w:cs="Arial"/>
                <w:sz w:val="20"/>
                <w:szCs w:val="20"/>
              </w:rPr>
            </w:pPr>
            <w:r w:rsidRPr="001F0009">
              <w:rPr>
                <w:rFonts w:cs="Arial"/>
                <w:sz w:val="20"/>
                <w:szCs w:val="20"/>
              </w:rPr>
              <w:t>0.55%</w:t>
            </w:r>
          </w:p>
        </w:tc>
        <w:tc>
          <w:tcPr>
            <w:tcW w:w="739" w:type="pct"/>
            <w:vMerge w:val="restart"/>
            <w:shd w:val="clear" w:color="auto" w:fill="auto"/>
          </w:tcPr>
          <w:p w14:paraId="11343539"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1AEA8016" w14:textId="32C4A0D9"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31407E32"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1236127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3F6F31F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27DC2580"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2605014E" w14:textId="77777777" w:rsidTr="007A37D2">
        <w:trPr>
          <w:trHeight w:val="470"/>
        </w:trPr>
        <w:tc>
          <w:tcPr>
            <w:tcW w:w="909" w:type="pct"/>
            <w:vMerge/>
            <w:shd w:val="clear" w:color="auto" w:fill="auto"/>
          </w:tcPr>
          <w:p w14:paraId="2073A5B1" w14:textId="77777777" w:rsidR="001F0009" w:rsidRPr="001F0009" w:rsidRDefault="001F0009" w:rsidP="007A37D2">
            <w:pPr>
              <w:pStyle w:val="BodyText"/>
              <w:rPr>
                <w:rFonts w:cs="Arial"/>
                <w:b/>
                <w:sz w:val="20"/>
                <w:szCs w:val="20"/>
              </w:rPr>
            </w:pPr>
          </w:p>
        </w:tc>
        <w:tc>
          <w:tcPr>
            <w:tcW w:w="852" w:type="pct"/>
            <w:vMerge/>
          </w:tcPr>
          <w:p w14:paraId="0FA83858" w14:textId="77777777" w:rsidR="001F0009" w:rsidRPr="001F0009" w:rsidRDefault="001F0009" w:rsidP="007A37D2">
            <w:pPr>
              <w:spacing w:before="120"/>
              <w:rPr>
                <w:rFonts w:cs="Arial"/>
                <w:sz w:val="20"/>
                <w:szCs w:val="20"/>
              </w:rPr>
            </w:pPr>
          </w:p>
        </w:tc>
        <w:tc>
          <w:tcPr>
            <w:tcW w:w="739" w:type="pct"/>
            <w:vMerge/>
            <w:shd w:val="clear" w:color="auto" w:fill="auto"/>
          </w:tcPr>
          <w:p w14:paraId="43862E8F" w14:textId="77777777" w:rsidR="001F0009" w:rsidRPr="001F0009" w:rsidRDefault="001F0009" w:rsidP="007A37D2">
            <w:pPr>
              <w:spacing w:before="120"/>
              <w:rPr>
                <w:rFonts w:cs="Arial"/>
                <w:sz w:val="20"/>
                <w:szCs w:val="20"/>
              </w:rPr>
            </w:pPr>
          </w:p>
        </w:tc>
        <w:tc>
          <w:tcPr>
            <w:tcW w:w="903" w:type="pct"/>
            <w:vMerge/>
          </w:tcPr>
          <w:p w14:paraId="0DB4EC55" w14:textId="77777777" w:rsidR="001F0009" w:rsidRPr="001F0009" w:rsidRDefault="001F0009" w:rsidP="007A37D2">
            <w:pPr>
              <w:spacing w:before="120"/>
              <w:rPr>
                <w:rFonts w:cs="Arial"/>
                <w:sz w:val="20"/>
                <w:szCs w:val="20"/>
                <w:lang w:val="en-GB" w:eastAsia="en-GB"/>
              </w:rPr>
            </w:pPr>
          </w:p>
        </w:tc>
        <w:tc>
          <w:tcPr>
            <w:tcW w:w="744" w:type="pct"/>
            <w:vMerge/>
          </w:tcPr>
          <w:p w14:paraId="70DB3E2F" w14:textId="77777777" w:rsidR="001F0009" w:rsidRPr="001F0009" w:rsidRDefault="001F0009" w:rsidP="007A37D2">
            <w:pPr>
              <w:spacing w:before="120"/>
              <w:rPr>
                <w:rFonts w:cs="Arial"/>
                <w:sz w:val="20"/>
                <w:szCs w:val="20"/>
                <w:lang w:val="en-GB" w:eastAsia="en-GB"/>
              </w:rPr>
            </w:pPr>
          </w:p>
        </w:tc>
        <w:tc>
          <w:tcPr>
            <w:tcW w:w="853" w:type="pct"/>
            <w:vMerge/>
          </w:tcPr>
          <w:p w14:paraId="25ED91F4" w14:textId="77777777" w:rsidR="001F0009" w:rsidRPr="001F0009" w:rsidRDefault="001F0009" w:rsidP="007A37D2">
            <w:pPr>
              <w:spacing w:before="120"/>
              <w:rPr>
                <w:rFonts w:cs="Arial"/>
                <w:sz w:val="20"/>
                <w:szCs w:val="20"/>
              </w:rPr>
            </w:pPr>
          </w:p>
        </w:tc>
      </w:tr>
      <w:tr w:rsidR="001F0009" w:rsidRPr="001F0009" w14:paraId="30FA1E42" w14:textId="77777777" w:rsidTr="007A37D2">
        <w:trPr>
          <w:trHeight w:val="470"/>
        </w:trPr>
        <w:tc>
          <w:tcPr>
            <w:tcW w:w="909" w:type="pct"/>
            <w:vMerge/>
            <w:shd w:val="clear" w:color="auto" w:fill="auto"/>
          </w:tcPr>
          <w:p w14:paraId="290FC1A3" w14:textId="77777777" w:rsidR="001F0009" w:rsidRPr="001F0009" w:rsidRDefault="001F0009" w:rsidP="007A37D2">
            <w:pPr>
              <w:pStyle w:val="BodyText"/>
              <w:rPr>
                <w:rFonts w:cs="Arial"/>
                <w:b/>
                <w:sz w:val="20"/>
                <w:szCs w:val="20"/>
              </w:rPr>
            </w:pPr>
          </w:p>
        </w:tc>
        <w:tc>
          <w:tcPr>
            <w:tcW w:w="852" w:type="pct"/>
            <w:vMerge/>
          </w:tcPr>
          <w:p w14:paraId="5C845BCF" w14:textId="77777777" w:rsidR="001F0009" w:rsidRPr="001F0009" w:rsidRDefault="001F0009" w:rsidP="007A37D2">
            <w:pPr>
              <w:spacing w:before="120"/>
              <w:rPr>
                <w:rFonts w:cs="Arial"/>
                <w:sz w:val="20"/>
                <w:szCs w:val="20"/>
              </w:rPr>
            </w:pPr>
          </w:p>
        </w:tc>
        <w:tc>
          <w:tcPr>
            <w:tcW w:w="739" w:type="pct"/>
            <w:vMerge/>
            <w:shd w:val="clear" w:color="auto" w:fill="auto"/>
          </w:tcPr>
          <w:p w14:paraId="5CC30CFB" w14:textId="77777777" w:rsidR="001F0009" w:rsidRPr="001F0009" w:rsidRDefault="001F0009" w:rsidP="007A37D2">
            <w:pPr>
              <w:spacing w:before="120"/>
              <w:rPr>
                <w:rFonts w:cs="Arial"/>
                <w:sz w:val="20"/>
                <w:szCs w:val="20"/>
              </w:rPr>
            </w:pPr>
          </w:p>
        </w:tc>
        <w:tc>
          <w:tcPr>
            <w:tcW w:w="903" w:type="pct"/>
            <w:vMerge/>
          </w:tcPr>
          <w:p w14:paraId="41D5F1E5" w14:textId="77777777" w:rsidR="001F0009" w:rsidRPr="001F0009" w:rsidRDefault="001F0009" w:rsidP="007A37D2">
            <w:pPr>
              <w:spacing w:before="120"/>
              <w:rPr>
                <w:rFonts w:cs="Arial"/>
                <w:sz w:val="20"/>
                <w:szCs w:val="20"/>
                <w:lang w:val="en-GB" w:eastAsia="en-GB"/>
              </w:rPr>
            </w:pPr>
          </w:p>
        </w:tc>
        <w:tc>
          <w:tcPr>
            <w:tcW w:w="744" w:type="pct"/>
            <w:vMerge/>
          </w:tcPr>
          <w:p w14:paraId="47ADA992" w14:textId="77777777" w:rsidR="001F0009" w:rsidRPr="001F0009" w:rsidRDefault="001F0009" w:rsidP="007A37D2">
            <w:pPr>
              <w:spacing w:before="120"/>
              <w:rPr>
                <w:rFonts w:cs="Arial"/>
                <w:sz w:val="20"/>
                <w:szCs w:val="20"/>
                <w:lang w:val="en-GB" w:eastAsia="en-GB"/>
              </w:rPr>
            </w:pPr>
          </w:p>
        </w:tc>
        <w:tc>
          <w:tcPr>
            <w:tcW w:w="853" w:type="pct"/>
            <w:vMerge/>
          </w:tcPr>
          <w:p w14:paraId="6C4F1589" w14:textId="77777777" w:rsidR="001F0009" w:rsidRPr="001F0009" w:rsidRDefault="001F0009" w:rsidP="007A37D2">
            <w:pPr>
              <w:spacing w:before="120"/>
              <w:rPr>
                <w:rFonts w:cs="Arial"/>
                <w:sz w:val="20"/>
                <w:szCs w:val="20"/>
              </w:rPr>
            </w:pPr>
          </w:p>
        </w:tc>
      </w:tr>
      <w:tr w:rsidR="001F0009" w:rsidRPr="001F0009" w14:paraId="37EC8175" w14:textId="77777777" w:rsidTr="007A37D2">
        <w:trPr>
          <w:trHeight w:val="350"/>
        </w:trPr>
        <w:tc>
          <w:tcPr>
            <w:tcW w:w="909" w:type="pct"/>
            <w:vMerge w:val="restart"/>
            <w:shd w:val="clear" w:color="auto" w:fill="auto"/>
          </w:tcPr>
          <w:p w14:paraId="06679CA0" w14:textId="77777777" w:rsidR="001F0009" w:rsidRPr="001F0009" w:rsidRDefault="001F0009" w:rsidP="007A37D2">
            <w:pPr>
              <w:pStyle w:val="BodyText"/>
              <w:rPr>
                <w:rFonts w:cs="Arial"/>
                <w:b/>
                <w:sz w:val="20"/>
                <w:szCs w:val="20"/>
              </w:rPr>
            </w:pPr>
            <w:r w:rsidRPr="001F0009">
              <w:rPr>
                <w:rFonts w:cs="Arial"/>
                <w:b/>
                <w:sz w:val="20"/>
                <w:szCs w:val="20"/>
              </w:rPr>
              <w:t>T Distributing</w:t>
            </w:r>
          </w:p>
        </w:tc>
        <w:tc>
          <w:tcPr>
            <w:tcW w:w="852" w:type="pct"/>
            <w:vMerge w:val="restart"/>
          </w:tcPr>
          <w:p w14:paraId="4FF06703" w14:textId="77777777" w:rsidR="001F0009" w:rsidRPr="001F0009" w:rsidRDefault="001F0009" w:rsidP="007A37D2">
            <w:pPr>
              <w:spacing w:before="120"/>
              <w:rPr>
                <w:rFonts w:cs="Arial"/>
                <w:sz w:val="20"/>
                <w:szCs w:val="20"/>
              </w:rPr>
            </w:pPr>
            <w:r w:rsidRPr="001F0009">
              <w:rPr>
                <w:rFonts w:cs="Arial"/>
                <w:sz w:val="20"/>
                <w:szCs w:val="20"/>
              </w:rPr>
              <w:t>0.55%</w:t>
            </w:r>
          </w:p>
        </w:tc>
        <w:tc>
          <w:tcPr>
            <w:tcW w:w="739" w:type="pct"/>
            <w:vMerge w:val="restart"/>
            <w:shd w:val="clear" w:color="auto" w:fill="auto"/>
          </w:tcPr>
          <w:p w14:paraId="54ACC378"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02D3A338" w14:textId="1CC9C1A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0C295FE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2A51027B"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00D8DFD3"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1B0F6042"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68D0AADD" w14:textId="77777777" w:rsidTr="007A37D2">
        <w:trPr>
          <w:trHeight w:val="470"/>
        </w:trPr>
        <w:tc>
          <w:tcPr>
            <w:tcW w:w="909" w:type="pct"/>
            <w:vMerge/>
            <w:shd w:val="clear" w:color="auto" w:fill="auto"/>
          </w:tcPr>
          <w:p w14:paraId="072F390E" w14:textId="77777777" w:rsidR="001F0009" w:rsidRPr="001F0009" w:rsidRDefault="001F0009" w:rsidP="007A37D2">
            <w:pPr>
              <w:pStyle w:val="BodyText"/>
              <w:rPr>
                <w:rFonts w:cs="Arial"/>
                <w:b/>
                <w:sz w:val="20"/>
                <w:szCs w:val="20"/>
              </w:rPr>
            </w:pPr>
          </w:p>
        </w:tc>
        <w:tc>
          <w:tcPr>
            <w:tcW w:w="852" w:type="pct"/>
            <w:vMerge/>
          </w:tcPr>
          <w:p w14:paraId="39AC6F81" w14:textId="77777777" w:rsidR="001F0009" w:rsidRPr="001F0009" w:rsidRDefault="001F0009" w:rsidP="007A37D2">
            <w:pPr>
              <w:spacing w:before="120"/>
              <w:rPr>
                <w:rFonts w:cs="Arial"/>
                <w:sz w:val="20"/>
                <w:szCs w:val="20"/>
              </w:rPr>
            </w:pPr>
          </w:p>
        </w:tc>
        <w:tc>
          <w:tcPr>
            <w:tcW w:w="739" w:type="pct"/>
            <w:vMerge/>
            <w:shd w:val="clear" w:color="auto" w:fill="auto"/>
          </w:tcPr>
          <w:p w14:paraId="273E8227" w14:textId="77777777" w:rsidR="001F0009" w:rsidRPr="001F0009" w:rsidRDefault="001F0009" w:rsidP="007A37D2">
            <w:pPr>
              <w:spacing w:before="120"/>
              <w:rPr>
                <w:rFonts w:cs="Arial"/>
                <w:sz w:val="20"/>
                <w:szCs w:val="20"/>
              </w:rPr>
            </w:pPr>
          </w:p>
        </w:tc>
        <w:tc>
          <w:tcPr>
            <w:tcW w:w="903" w:type="pct"/>
            <w:vMerge/>
          </w:tcPr>
          <w:p w14:paraId="2413E74A" w14:textId="77777777" w:rsidR="001F0009" w:rsidRPr="001F0009" w:rsidRDefault="001F0009" w:rsidP="007A37D2">
            <w:pPr>
              <w:spacing w:before="120"/>
              <w:rPr>
                <w:rFonts w:cs="Arial"/>
                <w:sz w:val="20"/>
                <w:szCs w:val="20"/>
                <w:lang w:val="en-GB" w:eastAsia="en-GB"/>
              </w:rPr>
            </w:pPr>
          </w:p>
        </w:tc>
        <w:tc>
          <w:tcPr>
            <w:tcW w:w="744" w:type="pct"/>
            <w:vMerge/>
          </w:tcPr>
          <w:p w14:paraId="2A9CC28C" w14:textId="77777777" w:rsidR="001F0009" w:rsidRPr="001F0009" w:rsidRDefault="001F0009" w:rsidP="007A37D2">
            <w:pPr>
              <w:spacing w:before="120"/>
              <w:rPr>
                <w:rFonts w:cs="Arial"/>
                <w:sz w:val="20"/>
                <w:szCs w:val="20"/>
                <w:lang w:val="en-GB" w:eastAsia="en-GB"/>
              </w:rPr>
            </w:pPr>
          </w:p>
        </w:tc>
        <w:tc>
          <w:tcPr>
            <w:tcW w:w="853" w:type="pct"/>
            <w:vMerge/>
          </w:tcPr>
          <w:p w14:paraId="5AE04555" w14:textId="77777777" w:rsidR="001F0009" w:rsidRPr="001F0009" w:rsidRDefault="001F0009" w:rsidP="007A37D2">
            <w:pPr>
              <w:spacing w:before="120"/>
              <w:rPr>
                <w:rFonts w:cs="Arial"/>
                <w:sz w:val="20"/>
                <w:szCs w:val="20"/>
              </w:rPr>
            </w:pPr>
          </w:p>
        </w:tc>
      </w:tr>
      <w:tr w:rsidR="001F0009" w:rsidRPr="001F0009" w14:paraId="01FAB6AE" w14:textId="77777777" w:rsidTr="007A37D2">
        <w:trPr>
          <w:trHeight w:val="470"/>
        </w:trPr>
        <w:tc>
          <w:tcPr>
            <w:tcW w:w="909" w:type="pct"/>
            <w:vMerge/>
            <w:shd w:val="clear" w:color="auto" w:fill="auto"/>
          </w:tcPr>
          <w:p w14:paraId="2837CA16" w14:textId="77777777" w:rsidR="001F0009" w:rsidRPr="001F0009" w:rsidRDefault="001F0009" w:rsidP="007A37D2">
            <w:pPr>
              <w:pStyle w:val="BodyText"/>
              <w:rPr>
                <w:rFonts w:cs="Arial"/>
                <w:b/>
                <w:sz w:val="20"/>
                <w:szCs w:val="20"/>
              </w:rPr>
            </w:pPr>
          </w:p>
        </w:tc>
        <w:tc>
          <w:tcPr>
            <w:tcW w:w="852" w:type="pct"/>
            <w:vMerge/>
          </w:tcPr>
          <w:p w14:paraId="7F5073BF" w14:textId="77777777" w:rsidR="001F0009" w:rsidRPr="001F0009" w:rsidRDefault="001F0009" w:rsidP="007A37D2">
            <w:pPr>
              <w:spacing w:before="120"/>
              <w:rPr>
                <w:rFonts w:cs="Arial"/>
                <w:sz w:val="20"/>
                <w:szCs w:val="20"/>
              </w:rPr>
            </w:pPr>
          </w:p>
        </w:tc>
        <w:tc>
          <w:tcPr>
            <w:tcW w:w="739" w:type="pct"/>
            <w:vMerge/>
            <w:shd w:val="clear" w:color="auto" w:fill="auto"/>
          </w:tcPr>
          <w:p w14:paraId="4C756AB6" w14:textId="77777777" w:rsidR="001F0009" w:rsidRPr="001F0009" w:rsidRDefault="001F0009" w:rsidP="007A37D2">
            <w:pPr>
              <w:spacing w:before="120"/>
              <w:rPr>
                <w:rFonts w:cs="Arial"/>
                <w:sz w:val="20"/>
                <w:szCs w:val="20"/>
              </w:rPr>
            </w:pPr>
          </w:p>
        </w:tc>
        <w:tc>
          <w:tcPr>
            <w:tcW w:w="903" w:type="pct"/>
            <w:vMerge/>
          </w:tcPr>
          <w:p w14:paraId="4F8B9990" w14:textId="77777777" w:rsidR="001F0009" w:rsidRPr="001F0009" w:rsidRDefault="001F0009" w:rsidP="007A37D2">
            <w:pPr>
              <w:spacing w:before="120"/>
              <w:rPr>
                <w:rFonts w:cs="Arial"/>
                <w:sz w:val="20"/>
                <w:szCs w:val="20"/>
                <w:lang w:val="en-GB" w:eastAsia="en-GB"/>
              </w:rPr>
            </w:pPr>
          </w:p>
        </w:tc>
        <w:tc>
          <w:tcPr>
            <w:tcW w:w="744" w:type="pct"/>
            <w:vMerge/>
          </w:tcPr>
          <w:p w14:paraId="398F1429" w14:textId="77777777" w:rsidR="001F0009" w:rsidRPr="001F0009" w:rsidRDefault="001F0009" w:rsidP="007A37D2">
            <w:pPr>
              <w:spacing w:before="120"/>
              <w:rPr>
                <w:rFonts w:cs="Arial"/>
                <w:sz w:val="20"/>
                <w:szCs w:val="20"/>
                <w:lang w:val="en-GB" w:eastAsia="en-GB"/>
              </w:rPr>
            </w:pPr>
          </w:p>
        </w:tc>
        <w:tc>
          <w:tcPr>
            <w:tcW w:w="853" w:type="pct"/>
            <w:vMerge/>
          </w:tcPr>
          <w:p w14:paraId="4105437C" w14:textId="77777777" w:rsidR="001F0009" w:rsidRPr="001F0009" w:rsidRDefault="001F0009" w:rsidP="007A37D2">
            <w:pPr>
              <w:spacing w:before="120"/>
              <w:rPr>
                <w:rFonts w:cs="Arial"/>
                <w:sz w:val="20"/>
                <w:szCs w:val="20"/>
              </w:rPr>
            </w:pPr>
          </w:p>
        </w:tc>
      </w:tr>
      <w:tr w:rsidR="001F0009" w:rsidRPr="001F0009" w14:paraId="08A2A375" w14:textId="77777777" w:rsidTr="007A37D2">
        <w:trPr>
          <w:trHeight w:val="350"/>
        </w:trPr>
        <w:tc>
          <w:tcPr>
            <w:tcW w:w="909" w:type="pct"/>
            <w:vMerge w:val="restart"/>
            <w:shd w:val="clear" w:color="auto" w:fill="auto"/>
          </w:tcPr>
          <w:p w14:paraId="0A3EE165" w14:textId="77777777" w:rsidR="001F0009" w:rsidRPr="001F0009" w:rsidRDefault="001F0009" w:rsidP="007A37D2">
            <w:pPr>
              <w:pStyle w:val="BodyText"/>
              <w:rPr>
                <w:rFonts w:cs="Arial"/>
                <w:b/>
                <w:sz w:val="20"/>
                <w:szCs w:val="20"/>
              </w:rPr>
            </w:pPr>
            <w:r w:rsidRPr="001F0009">
              <w:rPr>
                <w:rFonts w:cs="Arial"/>
                <w:b/>
                <w:sz w:val="20"/>
                <w:szCs w:val="20"/>
              </w:rPr>
              <w:t>U Accumulating</w:t>
            </w:r>
          </w:p>
        </w:tc>
        <w:tc>
          <w:tcPr>
            <w:tcW w:w="852" w:type="pct"/>
            <w:vMerge w:val="restart"/>
          </w:tcPr>
          <w:p w14:paraId="29598B4E" w14:textId="77777777" w:rsidR="001F0009" w:rsidRPr="001F0009" w:rsidRDefault="001F0009" w:rsidP="007A37D2">
            <w:pPr>
              <w:spacing w:before="120"/>
              <w:rPr>
                <w:rFonts w:cs="Arial"/>
                <w:sz w:val="20"/>
                <w:szCs w:val="20"/>
              </w:rPr>
            </w:pPr>
            <w:r w:rsidRPr="001F0009">
              <w:rPr>
                <w:rFonts w:cs="Arial"/>
                <w:sz w:val="20"/>
                <w:szCs w:val="20"/>
              </w:rPr>
              <w:t>0.75%</w:t>
            </w:r>
          </w:p>
        </w:tc>
        <w:tc>
          <w:tcPr>
            <w:tcW w:w="739" w:type="pct"/>
            <w:vMerge w:val="restart"/>
            <w:shd w:val="clear" w:color="auto" w:fill="auto"/>
          </w:tcPr>
          <w:p w14:paraId="6B41EEDD"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5B758670" w14:textId="1DA49F7D"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6B3595E"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69784D74"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474040F8"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07093E2B"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559C7131" w14:textId="77777777" w:rsidTr="007A37D2">
        <w:trPr>
          <w:trHeight w:val="470"/>
        </w:trPr>
        <w:tc>
          <w:tcPr>
            <w:tcW w:w="909" w:type="pct"/>
            <w:vMerge/>
            <w:shd w:val="clear" w:color="auto" w:fill="auto"/>
          </w:tcPr>
          <w:p w14:paraId="62657CF1" w14:textId="77777777" w:rsidR="001F0009" w:rsidRPr="001F0009" w:rsidRDefault="001F0009" w:rsidP="007A37D2">
            <w:pPr>
              <w:pStyle w:val="BodyText"/>
              <w:rPr>
                <w:rFonts w:cs="Arial"/>
                <w:b/>
                <w:sz w:val="20"/>
                <w:szCs w:val="20"/>
              </w:rPr>
            </w:pPr>
          </w:p>
        </w:tc>
        <w:tc>
          <w:tcPr>
            <w:tcW w:w="852" w:type="pct"/>
            <w:vMerge/>
          </w:tcPr>
          <w:p w14:paraId="6A7727A7" w14:textId="77777777" w:rsidR="001F0009" w:rsidRPr="001F0009" w:rsidRDefault="001F0009" w:rsidP="007A37D2">
            <w:pPr>
              <w:spacing w:before="120"/>
              <w:rPr>
                <w:rFonts w:cs="Arial"/>
                <w:sz w:val="20"/>
                <w:szCs w:val="20"/>
              </w:rPr>
            </w:pPr>
          </w:p>
        </w:tc>
        <w:tc>
          <w:tcPr>
            <w:tcW w:w="739" w:type="pct"/>
            <w:vMerge/>
            <w:shd w:val="clear" w:color="auto" w:fill="auto"/>
          </w:tcPr>
          <w:p w14:paraId="78392667" w14:textId="77777777" w:rsidR="001F0009" w:rsidRPr="001F0009" w:rsidRDefault="001F0009" w:rsidP="007A37D2">
            <w:pPr>
              <w:spacing w:before="120"/>
              <w:rPr>
                <w:rFonts w:cs="Arial"/>
                <w:sz w:val="20"/>
                <w:szCs w:val="20"/>
              </w:rPr>
            </w:pPr>
          </w:p>
        </w:tc>
        <w:tc>
          <w:tcPr>
            <w:tcW w:w="903" w:type="pct"/>
            <w:vMerge/>
          </w:tcPr>
          <w:p w14:paraId="43833D78" w14:textId="77777777" w:rsidR="001F0009" w:rsidRPr="001F0009" w:rsidRDefault="001F0009" w:rsidP="007A37D2">
            <w:pPr>
              <w:spacing w:before="120"/>
              <w:rPr>
                <w:rFonts w:cs="Arial"/>
                <w:sz w:val="20"/>
                <w:szCs w:val="20"/>
                <w:lang w:val="en-GB" w:eastAsia="en-GB"/>
              </w:rPr>
            </w:pPr>
          </w:p>
        </w:tc>
        <w:tc>
          <w:tcPr>
            <w:tcW w:w="744" w:type="pct"/>
            <w:vMerge/>
          </w:tcPr>
          <w:p w14:paraId="1CDA0EC5" w14:textId="77777777" w:rsidR="001F0009" w:rsidRPr="001F0009" w:rsidRDefault="001F0009" w:rsidP="007A37D2">
            <w:pPr>
              <w:spacing w:before="120"/>
              <w:rPr>
                <w:rFonts w:cs="Arial"/>
                <w:sz w:val="20"/>
                <w:szCs w:val="20"/>
                <w:lang w:val="en-GB" w:eastAsia="en-GB"/>
              </w:rPr>
            </w:pPr>
          </w:p>
        </w:tc>
        <w:tc>
          <w:tcPr>
            <w:tcW w:w="853" w:type="pct"/>
            <w:vMerge/>
          </w:tcPr>
          <w:p w14:paraId="74755DCD" w14:textId="77777777" w:rsidR="001F0009" w:rsidRPr="001F0009" w:rsidRDefault="001F0009" w:rsidP="007A37D2">
            <w:pPr>
              <w:spacing w:before="120"/>
              <w:rPr>
                <w:rFonts w:cs="Arial"/>
                <w:sz w:val="20"/>
                <w:szCs w:val="20"/>
              </w:rPr>
            </w:pPr>
          </w:p>
        </w:tc>
      </w:tr>
      <w:tr w:rsidR="001F0009" w:rsidRPr="001F0009" w14:paraId="4175579C" w14:textId="77777777" w:rsidTr="007A37D2">
        <w:trPr>
          <w:trHeight w:val="470"/>
        </w:trPr>
        <w:tc>
          <w:tcPr>
            <w:tcW w:w="909" w:type="pct"/>
            <w:vMerge/>
            <w:shd w:val="clear" w:color="auto" w:fill="auto"/>
          </w:tcPr>
          <w:p w14:paraId="6DAF380B" w14:textId="77777777" w:rsidR="001F0009" w:rsidRPr="001F0009" w:rsidRDefault="001F0009" w:rsidP="007A37D2">
            <w:pPr>
              <w:pStyle w:val="BodyText"/>
              <w:rPr>
                <w:rFonts w:cs="Arial"/>
                <w:b/>
                <w:sz w:val="20"/>
                <w:szCs w:val="20"/>
              </w:rPr>
            </w:pPr>
          </w:p>
        </w:tc>
        <w:tc>
          <w:tcPr>
            <w:tcW w:w="852" w:type="pct"/>
            <w:vMerge/>
          </w:tcPr>
          <w:p w14:paraId="7605F6A1" w14:textId="77777777" w:rsidR="001F0009" w:rsidRPr="001F0009" w:rsidRDefault="001F0009" w:rsidP="007A37D2">
            <w:pPr>
              <w:spacing w:before="120"/>
              <w:rPr>
                <w:rFonts w:cs="Arial"/>
                <w:sz w:val="20"/>
                <w:szCs w:val="20"/>
              </w:rPr>
            </w:pPr>
          </w:p>
        </w:tc>
        <w:tc>
          <w:tcPr>
            <w:tcW w:w="739" w:type="pct"/>
            <w:vMerge/>
            <w:shd w:val="clear" w:color="auto" w:fill="auto"/>
          </w:tcPr>
          <w:p w14:paraId="5DD36969" w14:textId="77777777" w:rsidR="001F0009" w:rsidRPr="001F0009" w:rsidRDefault="001F0009" w:rsidP="007A37D2">
            <w:pPr>
              <w:spacing w:before="120"/>
              <w:rPr>
                <w:rFonts w:cs="Arial"/>
                <w:sz w:val="20"/>
                <w:szCs w:val="20"/>
              </w:rPr>
            </w:pPr>
          </w:p>
        </w:tc>
        <w:tc>
          <w:tcPr>
            <w:tcW w:w="903" w:type="pct"/>
            <w:vMerge/>
          </w:tcPr>
          <w:p w14:paraId="127FC2C7" w14:textId="77777777" w:rsidR="001F0009" w:rsidRPr="001F0009" w:rsidRDefault="001F0009" w:rsidP="007A37D2">
            <w:pPr>
              <w:spacing w:before="120"/>
              <w:rPr>
                <w:rFonts w:cs="Arial"/>
                <w:sz w:val="20"/>
                <w:szCs w:val="20"/>
                <w:lang w:val="en-GB" w:eastAsia="en-GB"/>
              </w:rPr>
            </w:pPr>
          </w:p>
        </w:tc>
        <w:tc>
          <w:tcPr>
            <w:tcW w:w="744" w:type="pct"/>
            <w:vMerge/>
          </w:tcPr>
          <w:p w14:paraId="4A6019C5" w14:textId="77777777" w:rsidR="001F0009" w:rsidRPr="001F0009" w:rsidRDefault="001F0009" w:rsidP="007A37D2">
            <w:pPr>
              <w:spacing w:before="120"/>
              <w:rPr>
                <w:rFonts w:cs="Arial"/>
                <w:sz w:val="20"/>
                <w:szCs w:val="20"/>
                <w:lang w:val="en-GB" w:eastAsia="en-GB"/>
              </w:rPr>
            </w:pPr>
          </w:p>
        </w:tc>
        <w:tc>
          <w:tcPr>
            <w:tcW w:w="853" w:type="pct"/>
            <w:vMerge/>
          </w:tcPr>
          <w:p w14:paraId="63C96D5C" w14:textId="77777777" w:rsidR="001F0009" w:rsidRPr="001F0009" w:rsidRDefault="001F0009" w:rsidP="007A37D2">
            <w:pPr>
              <w:spacing w:before="120"/>
              <w:rPr>
                <w:rFonts w:cs="Arial"/>
                <w:sz w:val="20"/>
                <w:szCs w:val="20"/>
              </w:rPr>
            </w:pPr>
          </w:p>
        </w:tc>
      </w:tr>
      <w:tr w:rsidR="001F0009" w:rsidRPr="001F0009" w14:paraId="14A81E62" w14:textId="77777777" w:rsidTr="007A37D2">
        <w:trPr>
          <w:trHeight w:val="350"/>
        </w:trPr>
        <w:tc>
          <w:tcPr>
            <w:tcW w:w="909" w:type="pct"/>
            <w:vMerge w:val="restart"/>
            <w:shd w:val="clear" w:color="auto" w:fill="auto"/>
          </w:tcPr>
          <w:p w14:paraId="4DAED8CF" w14:textId="77777777" w:rsidR="001F0009" w:rsidRPr="001F0009" w:rsidRDefault="001F0009" w:rsidP="007A37D2">
            <w:pPr>
              <w:pStyle w:val="BodyText"/>
              <w:rPr>
                <w:rFonts w:cs="Arial"/>
                <w:b/>
                <w:sz w:val="20"/>
                <w:szCs w:val="20"/>
              </w:rPr>
            </w:pPr>
            <w:r w:rsidRPr="001F0009">
              <w:rPr>
                <w:rFonts w:cs="Arial"/>
                <w:b/>
                <w:sz w:val="20"/>
                <w:szCs w:val="20"/>
              </w:rPr>
              <w:t>V Distributing</w:t>
            </w:r>
          </w:p>
        </w:tc>
        <w:tc>
          <w:tcPr>
            <w:tcW w:w="852" w:type="pct"/>
            <w:vMerge w:val="restart"/>
          </w:tcPr>
          <w:p w14:paraId="47C04E92" w14:textId="77777777" w:rsidR="001F0009" w:rsidRPr="001F0009" w:rsidRDefault="001F0009" w:rsidP="007A37D2">
            <w:pPr>
              <w:spacing w:before="120"/>
              <w:rPr>
                <w:rFonts w:cs="Arial"/>
                <w:sz w:val="20"/>
                <w:szCs w:val="20"/>
              </w:rPr>
            </w:pPr>
            <w:r w:rsidRPr="001F0009">
              <w:rPr>
                <w:rFonts w:cs="Arial"/>
                <w:sz w:val="20"/>
                <w:szCs w:val="20"/>
              </w:rPr>
              <w:t>0.75%</w:t>
            </w:r>
          </w:p>
        </w:tc>
        <w:tc>
          <w:tcPr>
            <w:tcW w:w="739" w:type="pct"/>
            <w:vMerge w:val="restart"/>
            <w:shd w:val="clear" w:color="auto" w:fill="auto"/>
          </w:tcPr>
          <w:p w14:paraId="37931AEB"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17C8815" w14:textId="113592C5"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17D57E2"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0A1532B"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480058D6"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505CD6C5"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189976F1" w14:textId="77777777" w:rsidTr="007A37D2">
        <w:trPr>
          <w:trHeight w:val="470"/>
        </w:trPr>
        <w:tc>
          <w:tcPr>
            <w:tcW w:w="909" w:type="pct"/>
            <w:vMerge/>
            <w:shd w:val="clear" w:color="auto" w:fill="auto"/>
          </w:tcPr>
          <w:p w14:paraId="10A24EC6" w14:textId="77777777" w:rsidR="001F0009" w:rsidRPr="001F0009" w:rsidRDefault="001F0009" w:rsidP="007A37D2">
            <w:pPr>
              <w:pStyle w:val="BodyText"/>
              <w:rPr>
                <w:rFonts w:cs="Arial"/>
                <w:b/>
                <w:sz w:val="20"/>
                <w:szCs w:val="20"/>
              </w:rPr>
            </w:pPr>
          </w:p>
        </w:tc>
        <w:tc>
          <w:tcPr>
            <w:tcW w:w="852" w:type="pct"/>
            <w:vMerge/>
          </w:tcPr>
          <w:p w14:paraId="3DB4CC1C" w14:textId="77777777" w:rsidR="001F0009" w:rsidRPr="001F0009" w:rsidRDefault="001F0009" w:rsidP="007A37D2">
            <w:pPr>
              <w:spacing w:before="120"/>
              <w:rPr>
                <w:rFonts w:cs="Arial"/>
                <w:sz w:val="20"/>
                <w:szCs w:val="20"/>
              </w:rPr>
            </w:pPr>
          </w:p>
        </w:tc>
        <w:tc>
          <w:tcPr>
            <w:tcW w:w="739" w:type="pct"/>
            <w:vMerge/>
            <w:shd w:val="clear" w:color="auto" w:fill="auto"/>
          </w:tcPr>
          <w:p w14:paraId="5C072144" w14:textId="77777777" w:rsidR="001F0009" w:rsidRPr="001F0009" w:rsidRDefault="001F0009" w:rsidP="007A37D2">
            <w:pPr>
              <w:spacing w:before="120"/>
              <w:rPr>
                <w:rFonts w:cs="Arial"/>
                <w:sz w:val="20"/>
                <w:szCs w:val="20"/>
              </w:rPr>
            </w:pPr>
          </w:p>
        </w:tc>
        <w:tc>
          <w:tcPr>
            <w:tcW w:w="903" w:type="pct"/>
            <w:vMerge/>
          </w:tcPr>
          <w:p w14:paraId="18941867" w14:textId="77777777" w:rsidR="001F0009" w:rsidRPr="001F0009" w:rsidRDefault="001F0009" w:rsidP="007A37D2">
            <w:pPr>
              <w:spacing w:before="120"/>
              <w:rPr>
                <w:rFonts w:cs="Arial"/>
                <w:sz w:val="20"/>
                <w:szCs w:val="20"/>
                <w:lang w:val="en-GB" w:eastAsia="en-GB"/>
              </w:rPr>
            </w:pPr>
          </w:p>
        </w:tc>
        <w:tc>
          <w:tcPr>
            <w:tcW w:w="744" w:type="pct"/>
            <w:vMerge/>
          </w:tcPr>
          <w:p w14:paraId="0478F413" w14:textId="77777777" w:rsidR="001F0009" w:rsidRPr="001F0009" w:rsidRDefault="001F0009" w:rsidP="007A37D2">
            <w:pPr>
              <w:spacing w:before="120"/>
              <w:rPr>
                <w:rFonts w:cs="Arial"/>
                <w:sz w:val="20"/>
                <w:szCs w:val="20"/>
                <w:lang w:val="en-GB" w:eastAsia="en-GB"/>
              </w:rPr>
            </w:pPr>
          </w:p>
        </w:tc>
        <w:tc>
          <w:tcPr>
            <w:tcW w:w="853" w:type="pct"/>
            <w:vMerge/>
          </w:tcPr>
          <w:p w14:paraId="2F382969" w14:textId="77777777" w:rsidR="001F0009" w:rsidRPr="001F0009" w:rsidRDefault="001F0009" w:rsidP="007A37D2">
            <w:pPr>
              <w:spacing w:before="120"/>
              <w:rPr>
                <w:rFonts w:cs="Arial"/>
                <w:sz w:val="20"/>
                <w:szCs w:val="20"/>
              </w:rPr>
            </w:pPr>
          </w:p>
        </w:tc>
      </w:tr>
      <w:tr w:rsidR="001F0009" w:rsidRPr="001F0009" w14:paraId="402C8E3B" w14:textId="77777777" w:rsidTr="007A37D2">
        <w:trPr>
          <w:trHeight w:val="470"/>
        </w:trPr>
        <w:tc>
          <w:tcPr>
            <w:tcW w:w="909" w:type="pct"/>
            <w:vMerge/>
            <w:shd w:val="clear" w:color="auto" w:fill="auto"/>
          </w:tcPr>
          <w:p w14:paraId="5274AE34" w14:textId="77777777" w:rsidR="001F0009" w:rsidRPr="001F0009" w:rsidRDefault="001F0009" w:rsidP="007A37D2">
            <w:pPr>
              <w:pStyle w:val="BodyText"/>
              <w:rPr>
                <w:rFonts w:cs="Arial"/>
                <w:b/>
                <w:sz w:val="20"/>
                <w:szCs w:val="20"/>
              </w:rPr>
            </w:pPr>
          </w:p>
        </w:tc>
        <w:tc>
          <w:tcPr>
            <w:tcW w:w="852" w:type="pct"/>
            <w:vMerge/>
          </w:tcPr>
          <w:p w14:paraId="614BD2A3" w14:textId="77777777" w:rsidR="001F0009" w:rsidRPr="001F0009" w:rsidRDefault="001F0009" w:rsidP="007A37D2">
            <w:pPr>
              <w:spacing w:before="120"/>
              <w:rPr>
                <w:rFonts w:cs="Arial"/>
                <w:sz w:val="20"/>
                <w:szCs w:val="20"/>
              </w:rPr>
            </w:pPr>
          </w:p>
        </w:tc>
        <w:tc>
          <w:tcPr>
            <w:tcW w:w="739" w:type="pct"/>
            <w:vMerge/>
            <w:shd w:val="clear" w:color="auto" w:fill="auto"/>
          </w:tcPr>
          <w:p w14:paraId="34DC9793" w14:textId="77777777" w:rsidR="001F0009" w:rsidRPr="001F0009" w:rsidRDefault="001F0009" w:rsidP="007A37D2">
            <w:pPr>
              <w:spacing w:before="120"/>
              <w:rPr>
                <w:rFonts w:cs="Arial"/>
                <w:sz w:val="20"/>
                <w:szCs w:val="20"/>
              </w:rPr>
            </w:pPr>
          </w:p>
        </w:tc>
        <w:tc>
          <w:tcPr>
            <w:tcW w:w="903" w:type="pct"/>
            <w:vMerge/>
          </w:tcPr>
          <w:p w14:paraId="0DAFAC83" w14:textId="77777777" w:rsidR="001F0009" w:rsidRPr="001F0009" w:rsidRDefault="001F0009" w:rsidP="007A37D2">
            <w:pPr>
              <w:spacing w:before="120"/>
              <w:rPr>
                <w:rFonts w:cs="Arial"/>
                <w:sz w:val="20"/>
                <w:szCs w:val="20"/>
                <w:lang w:val="en-GB" w:eastAsia="en-GB"/>
              </w:rPr>
            </w:pPr>
          </w:p>
        </w:tc>
        <w:tc>
          <w:tcPr>
            <w:tcW w:w="744" w:type="pct"/>
            <w:vMerge/>
          </w:tcPr>
          <w:p w14:paraId="2779C35B" w14:textId="77777777" w:rsidR="001F0009" w:rsidRPr="001F0009" w:rsidRDefault="001F0009" w:rsidP="007A37D2">
            <w:pPr>
              <w:spacing w:before="120"/>
              <w:rPr>
                <w:rFonts w:cs="Arial"/>
                <w:sz w:val="20"/>
                <w:szCs w:val="20"/>
                <w:lang w:val="en-GB" w:eastAsia="en-GB"/>
              </w:rPr>
            </w:pPr>
          </w:p>
        </w:tc>
        <w:tc>
          <w:tcPr>
            <w:tcW w:w="853" w:type="pct"/>
            <w:vMerge/>
          </w:tcPr>
          <w:p w14:paraId="05484285" w14:textId="77777777" w:rsidR="001F0009" w:rsidRPr="001F0009" w:rsidRDefault="001F0009" w:rsidP="007A37D2">
            <w:pPr>
              <w:spacing w:before="120"/>
              <w:rPr>
                <w:rFonts w:cs="Arial"/>
                <w:sz w:val="20"/>
                <w:szCs w:val="20"/>
              </w:rPr>
            </w:pPr>
          </w:p>
        </w:tc>
      </w:tr>
      <w:tr w:rsidR="001F0009" w:rsidRPr="001F0009" w14:paraId="62F85CBF" w14:textId="77777777" w:rsidTr="007A37D2">
        <w:trPr>
          <w:trHeight w:val="304"/>
        </w:trPr>
        <w:tc>
          <w:tcPr>
            <w:tcW w:w="909" w:type="pct"/>
            <w:shd w:val="clear" w:color="auto" w:fill="auto"/>
          </w:tcPr>
          <w:p w14:paraId="085943D4" w14:textId="77777777" w:rsidR="001F0009" w:rsidRPr="001F0009" w:rsidRDefault="001F0009" w:rsidP="00343B4C">
            <w:pPr>
              <w:pStyle w:val="BodyText"/>
              <w:keepNext/>
              <w:keepLines/>
              <w:rPr>
                <w:rFonts w:cs="Arial"/>
                <w:b/>
                <w:sz w:val="20"/>
                <w:szCs w:val="20"/>
              </w:rPr>
            </w:pPr>
            <w:r w:rsidRPr="001F0009">
              <w:rPr>
                <w:rFonts w:cs="Arial"/>
                <w:b/>
                <w:sz w:val="20"/>
                <w:szCs w:val="20"/>
              </w:rPr>
              <w:lastRenderedPageBreak/>
              <w:t>W Accumulating</w:t>
            </w:r>
          </w:p>
        </w:tc>
        <w:tc>
          <w:tcPr>
            <w:tcW w:w="852" w:type="pct"/>
          </w:tcPr>
          <w:p w14:paraId="638BE00C" w14:textId="77777777" w:rsidR="001F0009" w:rsidRPr="001F0009" w:rsidRDefault="001F0009" w:rsidP="00343B4C">
            <w:pPr>
              <w:keepNext/>
              <w:keepLines/>
              <w:spacing w:before="120"/>
              <w:rPr>
                <w:rFonts w:cs="Arial"/>
                <w:sz w:val="20"/>
                <w:szCs w:val="20"/>
              </w:rPr>
            </w:pPr>
            <w:r w:rsidRPr="001F0009">
              <w:rPr>
                <w:rFonts w:cs="Arial"/>
                <w:sz w:val="20"/>
                <w:szCs w:val="20"/>
              </w:rPr>
              <w:t>0.10%</w:t>
            </w:r>
          </w:p>
        </w:tc>
        <w:tc>
          <w:tcPr>
            <w:tcW w:w="739" w:type="pct"/>
            <w:shd w:val="clear" w:color="auto" w:fill="auto"/>
          </w:tcPr>
          <w:p w14:paraId="081F29DE" w14:textId="77777777" w:rsidR="001F0009" w:rsidRPr="001F0009" w:rsidRDefault="001F0009" w:rsidP="00343B4C">
            <w:pPr>
              <w:keepNext/>
              <w:keepLines/>
              <w:spacing w:before="120"/>
              <w:rPr>
                <w:rFonts w:cs="Arial"/>
                <w:sz w:val="20"/>
                <w:szCs w:val="20"/>
              </w:rPr>
            </w:pPr>
            <w:r w:rsidRPr="001F0009">
              <w:rPr>
                <w:rFonts w:cs="Arial"/>
                <w:sz w:val="20"/>
                <w:szCs w:val="20"/>
              </w:rPr>
              <w:t xml:space="preserve">0% </w:t>
            </w:r>
          </w:p>
        </w:tc>
        <w:tc>
          <w:tcPr>
            <w:tcW w:w="903" w:type="pct"/>
          </w:tcPr>
          <w:p w14:paraId="2E95E6A4" w14:textId="3F526506"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7BDF5DF"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tcPr>
          <w:p w14:paraId="5D8E531D"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0.0175%</w:t>
            </w:r>
          </w:p>
          <w:p w14:paraId="381756FA" w14:textId="77777777" w:rsidR="001F0009" w:rsidRPr="001F0009" w:rsidRDefault="001F0009" w:rsidP="00343B4C">
            <w:pPr>
              <w:keepNext/>
              <w:keepLines/>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tcPr>
          <w:p w14:paraId="72708DAF" w14:textId="77777777" w:rsidR="001F0009" w:rsidRPr="001F0009" w:rsidRDefault="001F0009" w:rsidP="00343B4C">
            <w:pPr>
              <w:keepNext/>
              <w:keepLines/>
              <w:spacing w:before="120"/>
              <w:rPr>
                <w:rFonts w:cs="Arial"/>
                <w:sz w:val="20"/>
                <w:szCs w:val="20"/>
              </w:rPr>
            </w:pPr>
            <w:r w:rsidRPr="001F0009">
              <w:rPr>
                <w:rFonts w:cs="Arial"/>
                <w:sz w:val="20"/>
                <w:szCs w:val="20"/>
              </w:rPr>
              <w:t>0%</w:t>
            </w:r>
          </w:p>
        </w:tc>
      </w:tr>
      <w:tr w:rsidR="001F0009" w:rsidRPr="001F0009" w14:paraId="4601B527" w14:textId="77777777" w:rsidTr="007A37D2">
        <w:trPr>
          <w:trHeight w:val="350"/>
        </w:trPr>
        <w:tc>
          <w:tcPr>
            <w:tcW w:w="909" w:type="pct"/>
            <w:vMerge w:val="restart"/>
            <w:shd w:val="clear" w:color="auto" w:fill="auto"/>
          </w:tcPr>
          <w:p w14:paraId="6D0AF40F" w14:textId="77777777" w:rsidR="001F0009" w:rsidRPr="001F0009" w:rsidRDefault="001F0009" w:rsidP="007A37D2">
            <w:pPr>
              <w:pStyle w:val="BodyText"/>
              <w:rPr>
                <w:rFonts w:cs="Arial"/>
                <w:b/>
                <w:sz w:val="20"/>
                <w:szCs w:val="20"/>
              </w:rPr>
            </w:pPr>
            <w:r w:rsidRPr="001F0009">
              <w:rPr>
                <w:rFonts w:cs="Arial"/>
                <w:b/>
                <w:sz w:val="20"/>
                <w:szCs w:val="20"/>
              </w:rPr>
              <w:t>X Accumulating</w:t>
            </w:r>
          </w:p>
        </w:tc>
        <w:tc>
          <w:tcPr>
            <w:tcW w:w="852" w:type="pct"/>
            <w:vMerge w:val="restart"/>
          </w:tcPr>
          <w:p w14:paraId="5841DA22" w14:textId="77777777" w:rsidR="001F0009" w:rsidRPr="001F0009" w:rsidRDefault="001F0009" w:rsidP="007A37D2">
            <w:pPr>
              <w:spacing w:before="120"/>
              <w:rPr>
                <w:rFonts w:cs="Arial"/>
                <w:sz w:val="20"/>
                <w:szCs w:val="20"/>
              </w:rPr>
            </w:pPr>
            <w:r w:rsidRPr="001F0009">
              <w:rPr>
                <w:rFonts w:cs="Arial"/>
                <w:sz w:val="20"/>
                <w:szCs w:val="20"/>
              </w:rPr>
              <w:t>1.10%</w:t>
            </w:r>
          </w:p>
        </w:tc>
        <w:tc>
          <w:tcPr>
            <w:tcW w:w="739" w:type="pct"/>
            <w:vMerge w:val="restart"/>
            <w:shd w:val="clear" w:color="auto" w:fill="auto"/>
          </w:tcPr>
          <w:p w14:paraId="715A3FC3"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2E4D0DE2" w14:textId="6319041B"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5D1A5C42" w14:textId="77777777" w:rsidR="001F0009" w:rsidRPr="001F0009" w:rsidRDefault="001F0009" w:rsidP="007A37D2">
            <w:pPr>
              <w:spacing w:before="120"/>
              <w:rPr>
                <w:rFonts w:cs="Arial"/>
                <w:sz w:val="20"/>
                <w:szCs w:val="20"/>
                <w:lang w:val="en-GB" w:eastAsia="en-GB"/>
              </w:rPr>
            </w:pPr>
          </w:p>
          <w:p w14:paraId="575242EA"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09DDFD47"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244A4058" w14:textId="77777777" w:rsidR="001F0009" w:rsidRPr="001F0009" w:rsidRDefault="001F0009" w:rsidP="007A37D2">
            <w:pPr>
              <w:spacing w:before="120"/>
              <w:rPr>
                <w:rFonts w:cs="Arial"/>
                <w:sz w:val="20"/>
                <w:szCs w:val="20"/>
                <w:lang w:val="en-GB" w:eastAsia="en-GB"/>
              </w:rPr>
            </w:pPr>
          </w:p>
          <w:p w14:paraId="4F93489C"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60555DF0"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63DD1F8C" w14:textId="77777777" w:rsidTr="007A37D2">
        <w:trPr>
          <w:trHeight w:val="470"/>
        </w:trPr>
        <w:tc>
          <w:tcPr>
            <w:tcW w:w="909" w:type="pct"/>
            <w:vMerge/>
            <w:shd w:val="clear" w:color="auto" w:fill="auto"/>
          </w:tcPr>
          <w:p w14:paraId="4A8F6166" w14:textId="77777777" w:rsidR="001F0009" w:rsidRPr="001F0009" w:rsidRDefault="001F0009" w:rsidP="007A37D2">
            <w:pPr>
              <w:pStyle w:val="BodyText"/>
              <w:rPr>
                <w:rFonts w:cs="Arial"/>
                <w:b/>
                <w:sz w:val="20"/>
                <w:szCs w:val="20"/>
              </w:rPr>
            </w:pPr>
          </w:p>
        </w:tc>
        <w:tc>
          <w:tcPr>
            <w:tcW w:w="852" w:type="pct"/>
            <w:vMerge/>
          </w:tcPr>
          <w:p w14:paraId="799863C9" w14:textId="77777777" w:rsidR="001F0009" w:rsidRPr="001F0009" w:rsidRDefault="001F0009" w:rsidP="007A37D2">
            <w:pPr>
              <w:spacing w:before="120"/>
              <w:rPr>
                <w:rFonts w:cs="Arial"/>
                <w:sz w:val="20"/>
                <w:szCs w:val="20"/>
              </w:rPr>
            </w:pPr>
          </w:p>
        </w:tc>
        <w:tc>
          <w:tcPr>
            <w:tcW w:w="739" w:type="pct"/>
            <w:vMerge/>
            <w:shd w:val="clear" w:color="auto" w:fill="auto"/>
          </w:tcPr>
          <w:p w14:paraId="66391F23" w14:textId="77777777" w:rsidR="001F0009" w:rsidRPr="001F0009" w:rsidRDefault="001F0009" w:rsidP="007A37D2">
            <w:pPr>
              <w:spacing w:before="120"/>
              <w:rPr>
                <w:rFonts w:cs="Arial"/>
                <w:sz w:val="20"/>
                <w:szCs w:val="20"/>
              </w:rPr>
            </w:pPr>
          </w:p>
        </w:tc>
        <w:tc>
          <w:tcPr>
            <w:tcW w:w="903" w:type="pct"/>
            <w:vMerge/>
          </w:tcPr>
          <w:p w14:paraId="386C6B24" w14:textId="77777777" w:rsidR="001F0009" w:rsidRPr="001F0009" w:rsidRDefault="001F0009" w:rsidP="007A37D2">
            <w:pPr>
              <w:spacing w:before="120"/>
              <w:rPr>
                <w:rFonts w:cs="Arial"/>
                <w:sz w:val="20"/>
                <w:szCs w:val="20"/>
                <w:lang w:val="en-GB" w:eastAsia="en-GB"/>
              </w:rPr>
            </w:pPr>
          </w:p>
        </w:tc>
        <w:tc>
          <w:tcPr>
            <w:tcW w:w="744" w:type="pct"/>
            <w:vMerge/>
          </w:tcPr>
          <w:p w14:paraId="32570D5C" w14:textId="77777777" w:rsidR="001F0009" w:rsidRPr="001F0009" w:rsidRDefault="001F0009" w:rsidP="007A37D2">
            <w:pPr>
              <w:spacing w:before="120"/>
              <w:rPr>
                <w:rFonts w:cs="Arial"/>
                <w:sz w:val="20"/>
                <w:szCs w:val="20"/>
                <w:lang w:val="en-GB" w:eastAsia="en-GB"/>
              </w:rPr>
            </w:pPr>
          </w:p>
        </w:tc>
        <w:tc>
          <w:tcPr>
            <w:tcW w:w="853" w:type="pct"/>
            <w:vMerge/>
          </w:tcPr>
          <w:p w14:paraId="50A84EA0" w14:textId="77777777" w:rsidR="001F0009" w:rsidRPr="001F0009" w:rsidRDefault="001F0009" w:rsidP="007A37D2">
            <w:pPr>
              <w:spacing w:before="120"/>
              <w:rPr>
                <w:rFonts w:cs="Arial"/>
                <w:sz w:val="20"/>
                <w:szCs w:val="20"/>
              </w:rPr>
            </w:pPr>
          </w:p>
        </w:tc>
      </w:tr>
      <w:tr w:rsidR="001F0009" w:rsidRPr="001F0009" w14:paraId="1407D33B" w14:textId="77777777" w:rsidTr="007A37D2">
        <w:trPr>
          <w:trHeight w:val="470"/>
        </w:trPr>
        <w:tc>
          <w:tcPr>
            <w:tcW w:w="909" w:type="pct"/>
            <w:vMerge/>
            <w:shd w:val="clear" w:color="auto" w:fill="auto"/>
          </w:tcPr>
          <w:p w14:paraId="35102C61" w14:textId="77777777" w:rsidR="001F0009" w:rsidRPr="001F0009" w:rsidRDefault="001F0009" w:rsidP="007A37D2">
            <w:pPr>
              <w:pStyle w:val="BodyText"/>
              <w:rPr>
                <w:rFonts w:cs="Arial"/>
                <w:b/>
                <w:sz w:val="20"/>
                <w:szCs w:val="20"/>
              </w:rPr>
            </w:pPr>
          </w:p>
        </w:tc>
        <w:tc>
          <w:tcPr>
            <w:tcW w:w="852" w:type="pct"/>
            <w:vMerge/>
          </w:tcPr>
          <w:p w14:paraId="48835C01" w14:textId="77777777" w:rsidR="001F0009" w:rsidRPr="001F0009" w:rsidRDefault="001F0009" w:rsidP="007A37D2">
            <w:pPr>
              <w:spacing w:before="120"/>
              <w:rPr>
                <w:rFonts w:cs="Arial"/>
                <w:sz w:val="20"/>
                <w:szCs w:val="20"/>
              </w:rPr>
            </w:pPr>
          </w:p>
        </w:tc>
        <w:tc>
          <w:tcPr>
            <w:tcW w:w="739" w:type="pct"/>
            <w:vMerge/>
            <w:shd w:val="clear" w:color="auto" w:fill="auto"/>
          </w:tcPr>
          <w:p w14:paraId="726D793D" w14:textId="77777777" w:rsidR="001F0009" w:rsidRPr="001F0009" w:rsidRDefault="001F0009" w:rsidP="007A37D2">
            <w:pPr>
              <w:spacing w:before="120"/>
              <w:rPr>
                <w:rFonts w:cs="Arial"/>
                <w:sz w:val="20"/>
                <w:szCs w:val="20"/>
              </w:rPr>
            </w:pPr>
          </w:p>
        </w:tc>
        <w:tc>
          <w:tcPr>
            <w:tcW w:w="903" w:type="pct"/>
            <w:vMerge/>
          </w:tcPr>
          <w:p w14:paraId="6CD1020F" w14:textId="77777777" w:rsidR="001F0009" w:rsidRPr="001F0009" w:rsidRDefault="001F0009" w:rsidP="007A37D2">
            <w:pPr>
              <w:spacing w:before="120"/>
              <w:rPr>
                <w:rFonts w:cs="Arial"/>
                <w:sz w:val="20"/>
                <w:szCs w:val="20"/>
                <w:lang w:val="en-GB" w:eastAsia="en-GB"/>
              </w:rPr>
            </w:pPr>
          </w:p>
        </w:tc>
        <w:tc>
          <w:tcPr>
            <w:tcW w:w="744" w:type="pct"/>
            <w:vMerge/>
          </w:tcPr>
          <w:p w14:paraId="2948DEAE" w14:textId="77777777" w:rsidR="001F0009" w:rsidRPr="001F0009" w:rsidRDefault="001F0009" w:rsidP="007A37D2">
            <w:pPr>
              <w:spacing w:before="120"/>
              <w:rPr>
                <w:rFonts w:cs="Arial"/>
                <w:sz w:val="20"/>
                <w:szCs w:val="20"/>
                <w:lang w:val="en-GB" w:eastAsia="en-GB"/>
              </w:rPr>
            </w:pPr>
          </w:p>
        </w:tc>
        <w:tc>
          <w:tcPr>
            <w:tcW w:w="853" w:type="pct"/>
            <w:vMerge/>
          </w:tcPr>
          <w:p w14:paraId="6B937BF8" w14:textId="77777777" w:rsidR="001F0009" w:rsidRPr="001F0009" w:rsidRDefault="001F0009" w:rsidP="007A37D2">
            <w:pPr>
              <w:spacing w:before="120"/>
              <w:rPr>
                <w:rFonts w:cs="Arial"/>
                <w:sz w:val="20"/>
                <w:szCs w:val="20"/>
              </w:rPr>
            </w:pPr>
          </w:p>
        </w:tc>
      </w:tr>
      <w:tr w:rsidR="001F0009" w:rsidRPr="001F0009" w14:paraId="673A12E1" w14:textId="77777777" w:rsidTr="007A37D2">
        <w:trPr>
          <w:trHeight w:val="350"/>
        </w:trPr>
        <w:tc>
          <w:tcPr>
            <w:tcW w:w="909" w:type="pct"/>
            <w:vMerge w:val="restart"/>
            <w:shd w:val="clear" w:color="auto" w:fill="auto"/>
          </w:tcPr>
          <w:p w14:paraId="0B3F34E9" w14:textId="77777777" w:rsidR="001F0009" w:rsidRPr="001F0009" w:rsidRDefault="001F0009" w:rsidP="007A37D2">
            <w:pPr>
              <w:pStyle w:val="BodyText"/>
              <w:rPr>
                <w:rFonts w:cs="Arial"/>
                <w:b/>
                <w:sz w:val="20"/>
                <w:szCs w:val="20"/>
              </w:rPr>
            </w:pPr>
            <w:r w:rsidRPr="001F0009">
              <w:rPr>
                <w:rFonts w:cs="Arial"/>
                <w:b/>
                <w:sz w:val="20"/>
                <w:szCs w:val="20"/>
              </w:rPr>
              <w:t>Y Distributing</w:t>
            </w:r>
          </w:p>
        </w:tc>
        <w:tc>
          <w:tcPr>
            <w:tcW w:w="852" w:type="pct"/>
            <w:vMerge w:val="restart"/>
          </w:tcPr>
          <w:p w14:paraId="12DD8425" w14:textId="77777777" w:rsidR="001F0009" w:rsidRPr="001F0009" w:rsidRDefault="001F0009" w:rsidP="007A37D2">
            <w:pPr>
              <w:spacing w:before="120"/>
              <w:rPr>
                <w:rFonts w:cs="Arial"/>
                <w:sz w:val="20"/>
                <w:szCs w:val="20"/>
              </w:rPr>
            </w:pPr>
            <w:r w:rsidRPr="001F0009">
              <w:rPr>
                <w:rFonts w:cs="Arial"/>
                <w:sz w:val="20"/>
                <w:szCs w:val="20"/>
              </w:rPr>
              <w:t>1.10%</w:t>
            </w:r>
          </w:p>
        </w:tc>
        <w:tc>
          <w:tcPr>
            <w:tcW w:w="739" w:type="pct"/>
            <w:vMerge w:val="restart"/>
            <w:shd w:val="clear" w:color="auto" w:fill="auto"/>
          </w:tcPr>
          <w:p w14:paraId="57234D71"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005EC544" w14:textId="354C4210"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4EC273AE"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14DCB9F9"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72D74C9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48A1189D"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1A7B4DEF" w14:textId="77777777" w:rsidTr="007A37D2">
        <w:trPr>
          <w:trHeight w:val="470"/>
        </w:trPr>
        <w:tc>
          <w:tcPr>
            <w:tcW w:w="909" w:type="pct"/>
            <w:vMerge/>
            <w:shd w:val="clear" w:color="auto" w:fill="auto"/>
          </w:tcPr>
          <w:p w14:paraId="39F32565" w14:textId="77777777" w:rsidR="001F0009" w:rsidRPr="001F0009" w:rsidRDefault="001F0009" w:rsidP="007A37D2">
            <w:pPr>
              <w:pStyle w:val="BodyText"/>
              <w:rPr>
                <w:rFonts w:cs="Arial"/>
                <w:b/>
                <w:sz w:val="20"/>
                <w:szCs w:val="20"/>
              </w:rPr>
            </w:pPr>
          </w:p>
        </w:tc>
        <w:tc>
          <w:tcPr>
            <w:tcW w:w="852" w:type="pct"/>
            <w:vMerge/>
          </w:tcPr>
          <w:p w14:paraId="3FEE5D7F" w14:textId="77777777" w:rsidR="001F0009" w:rsidRPr="001F0009" w:rsidRDefault="001F0009" w:rsidP="007A37D2">
            <w:pPr>
              <w:spacing w:before="120"/>
              <w:rPr>
                <w:rFonts w:cs="Arial"/>
                <w:sz w:val="20"/>
                <w:szCs w:val="20"/>
              </w:rPr>
            </w:pPr>
          </w:p>
        </w:tc>
        <w:tc>
          <w:tcPr>
            <w:tcW w:w="739" w:type="pct"/>
            <w:vMerge/>
            <w:shd w:val="clear" w:color="auto" w:fill="auto"/>
          </w:tcPr>
          <w:p w14:paraId="3685A7C1" w14:textId="77777777" w:rsidR="001F0009" w:rsidRPr="001F0009" w:rsidRDefault="001F0009" w:rsidP="007A37D2">
            <w:pPr>
              <w:spacing w:before="120"/>
              <w:rPr>
                <w:rFonts w:cs="Arial"/>
                <w:sz w:val="20"/>
                <w:szCs w:val="20"/>
              </w:rPr>
            </w:pPr>
          </w:p>
        </w:tc>
        <w:tc>
          <w:tcPr>
            <w:tcW w:w="903" w:type="pct"/>
            <w:vMerge/>
          </w:tcPr>
          <w:p w14:paraId="4081700E" w14:textId="77777777" w:rsidR="001F0009" w:rsidRPr="001F0009" w:rsidRDefault="001F0009" w:rsidP="007A37D2">
            <w:pPr>
              <w:spacing w:before="120"/>
              <w:rPr>
                <w:rFonts w:cs="Arial"/>
                <w:sz w:val="20"/>
                <w:szCs w:val="20"/>
                <w:lang w:val="en-GB" w:eastAsia="en-GB"/>
              </w:rPr>
            </w:pPr>
          </w:p>
        </w:tc>
        <w:tc>
          <w:tcPr>
            <w:tcW w:w="744" w:type="pct"/>
            <w:vMerge/>
          </w:tcPr>
          <w:p w14:paraId="40B493DD" w14:textId="77777777" w:rsidR="001F0009" w:rsidRPr="001F0009" w:rsidRDefault="001F0009" w:rsidP="007A37D2">
            <w:pPr>
              <w:spacing w:before="120"/>
              <w:rPr>
                <w:rFonts w:cs="Arial"/>
                <w:sz w:val="20"/>
                <w:szCs w:val="20"/>
                <w:lang w:val="en-GB" w:eastAsia="en-GB"/>
              </w:rPr>
            </w:pPr>
          </w:p>
        </w:tc>
        <w:tc>
          <w:tcPr>
            <w:tcW w:w="853" w:type="pct"/>
            <w:vMerge/>
          </w:tcPr>
          <w:p w14:paraId="6A9969C3" w14:textId="77777777" w:rsidR="001F0009" w:rsidRPr="001F0009" w:rsidRDefault="001F0009" w:rsidP="007A37D2">
            <w:pPr>
              <w:spacing w:before="120"/>
              <w:rPr>
                <w:rFonts w:cs="Arial"/>
                <w:sz w:val="20"/>
                <w:szCs w:val="20"/>
              </w:rPr>
            </w:pPr>
          </w:p>
        </w:tc>
      </w:tr>
      <w:tr w:rsidR="001F0009" w:rsidRPr="001F0009" w14:paraId="47FCC8EF" w14:textId="77777777" w:rsidTr="007A37D2">
        <w:trPr>
          <w:trHeight w:val="470"/>
        </w:trPr>
        <w:tc>
          <w:tcPr>
            <w:tcW w:w="909" w:type="pct"/>
            <w:vMerge/>
            <w:shd w:val="clear" w:color="auto" w:fill="auto"/>
          </w:tcPr>
          <w:p w14:paraId="0769997A" w14:textId="77777777" w:rsidR="001F0009" w:rsidRPr="001F0009" w:rsidRDefault="001F0009" w:rsidP="007A37D2">
            <w:pPr>
              <w:pStyle w:val="BodyText"/>
              <w:rPr>
                <w:rFonts w:cs="Arial"/>
                <w:b/>
                <w:sz w:val="20"/>
                <w:szCs w:val="20"/>
              </w:rPr>
            </w:pPr>
          </w:p>
        </w:tc>
        <w:tc>
          <w:tcPr>
            <w:tcW w:w="852" w:type="pct"/>
            <w:vMerge/>
          </w:tcPr>
          <w:p w14:paraId="79319404" w14:textId="77777777" w:rsidR="001F0009" w:rsidRPr="001F0009" w:rsidRDefault="001F0009" w:rsidP="007A37D2">
            <w:pPr>
              <w:spacing w:before="120"/>
              <w:rPr>
                <w:rFonts w:cs="Arial"/>
                <w:sz w:val="20"/>
                <w:szCs w:val="20"/>
              </w:rPr>
            </w:pPr>
          </w:p>
        </w:tc>
        <w:tc>
          <w:tcPr>
            <w:tcW w:w="739" w:type="pct"/>
            <w:vMerge/>
            <w:shd w:val="clear" w:color="auto" w:fill="auto"/>
          </w:tcPr>
          <w:p w14:paraId="7E084E37" w14:textId="77777777" w:rsidR="001F0009" w:rsidRPr="001F0009" w:rsidRDefault="001F0009" w:rsidP="007A37D2">
            <w:pPr>
              <w:spacing w:before="120"/>
              <w:rPr>
                <w:rFonts w:cs="Arial"/>
                <w:sz w:val="20"/>
                <w:szCs w:val="20"/>
              </w:rPr>
            </w:pPr>
          </w:p>
        </w:tc>
        <w:tc>
          <w:tcPr>
            <w:tcW w:w="903" w:type="pct"/>
            <w:vMerge/>
          </w:tcPr>
          <w:p w14:paraId="1FADA26C" w14:textId="77777777" w:rsidR="001F0009" w:rsidRPr="001F0009" w:rsidRDefault="001F0009" w:rsidP="007A37D2">
            <w:pPr>
              <w:spacing w:before="120"/>
              <w:rPr>
                <w:rFonts w:cs="Arial"/>
                <w:sz w:val="20"/>
                <w:szCs w:val="20"/>
                <w:lang w:val="en-GB" w:eastAsia="en-GB"/>
              </w:rPr>
            </w:pPr>
          </w:p>
        </w:tc>
        <w:tc>
          <w:tcPr>
            <w:tcW w:w="744" w:type="pct"/>
            <w:vMerge/>
          </w:tcPr>
          <w:p w14:paraId="633CC83F" w14:textId="77777777" w:rsidR="001F0009" w:rsidRPr="001F0009" w:rsidRDefault="001F0009" w:rsidP="007A37D2">
            <w:pPr>
              <w:spacing w:before="120"/>
              <w:rPr>
                <w:rFonts w:cs="Arial"/>
                <w:sz w:val="20"/>
                <w:szCs w:val="20"/>
                <w:lang w:val="en-GB" w:eastAsia="en-GB"/>
              </w:rPr>
            </w:pPr>
          </w:p>
        </w:tc>
        <w:tc>
          <w:tcPr>
            <w:tcW w:w="853" w:type="pct"/>
            <w:vMerge/>
          </w:tcPr>
          <w:p w14:paraId="2DDB0FE0" w14:textId="77777777" w:rsidR="001F0009" w:rsidRPr="001F0009" w:rsidRDefault="001F0009" w:rsidP="007A37D2">
            <w:pPr>
              <w:spacing w:before="120"/>
              <w:rPr>
                <w:rFonts w:cs="Arial"/>
                <w:sz w:val="20"/>
                <w:szCs w:val="20"/>
              </w:rPr>
            </w:pPr>
          </w:p>
        </w:tc>
      </w:tr>
      <w:tr w:rsidR="001F0009" w:rsidRPr="001F0009" w14:paraId="254DA697" w14:textId="77777777" w:rsidTr="007A37D2">
        <w:trPr>
          <w:trHeight w:val="350"/>
        </w:trPr>
        <w:tc>
          <w:tcPr>
            <w:tcW w:w="909" w:type="pct"/>
            <w:vMerge w:val="restart"/>
            <w:shd w:val="clear" w:color="auto" w:fill="auto"/>
          </w:tcPr>
          <w:p w14:paraId="47B55A61" w14:textId="77777777" w:rsidR="001F0009" w:rsidRPr="001F0009" w:rsidRDefault="001F0009" w:rsidP="007A37D2">
            <w:pPr>
              <w:pStyle w:val="BodyText"/>
              <w:rPr>
                <w:rFonts w:cs="Arial"/>
                <w:b/>
                <w:sz w:val="20"/>
                <w:szCs w:val="20"/>
              </w:rPr>
            </w:pPr>
            <w:r w:rsidRPr="001F0009">
              <w:rPr>
                <w:rFonts w:cs="Arial"/>
                <w:b/>
                <w:sz w:val="20"/>
                <w:szCs w:val="20"/>
              </w:rPr>
              <w:t>Z Accumulating</w:t>
            </w:r>
          </w:p>
        </w:tc>
        <w:tc>
          <w:tcPr>
            <w:tcW w:w="852" w:type="pct"/>
            <w:vMerge w:val="restart"/>
          </w:tcPr>
          <w:p w14:paraId="1359281D" w14:textId="77777777" w:rsidR="001F0009" w:rsidRPr="001F0009" w:rsidRDefault="001F0009" w:rsidP="007A37D2">
            <w:pPr>
              <w:spacing w:before="120"/>
              <w:rPr>
                <w:rFonts w:cs="Arial"/>
                <w:sz w:val="20"/>
                <w:szCs w:val="20"/>
              </w:rPr>
            </w:pPr>
            <w:r w:rsidRPr="001F0009">
              <w:rPr>
                <w:rFonts w:cs="Arial"/>
                <w:sz w:val="20"/>
                <w:szCs w:val="20"/>
              </w:rPr>
              <w:t>0%</w:t>
            </w:r>
          </w:p>
        </w:tc>
        <w:tc>
          <w:tcPr>
            <w:tcW w:w="739" w:type="pct"/>
            <w:vMerge w:val="restart"/>
            <w:shd w:val="clear" w:color="auto" w:fill="auto"/>
          </w:tcPr>
          <w:p w14:paraId="5E649116" w14:textId="77777777" w:rsidR="001F0009" w:rsidRPr="001F0009" w:rsidRDefault="001F0009" w:rsidP="007A37D2">
            <w:pPr>
              <w:spacing w:before="120"/>
              <w:rPr>
                <w:rFonts w:cs="Arial"/>
                <w:sz w:val="20"/>
                <w:szCs w:val="20"/>
              </w:rPr>
            </w:pPr>
            <w:r w:rsidRPr="001F0009">
              <w:rPr>
                <w:rFonts w:cs="Arial"/>
                <w:sz w:val="20"/>
                <w:szCs w:val="20"/>
              </w:rPr>
              <w:t xml:space="preserve">0% </w:t>
            </w:r>
          </w:p>
        </w:tc>
        <w:tc>
          <w:tcPr>
            <w:tcW w:w="903" w:type="pct"/>
            <w:vMerge w:val="restart"/>
          </w:tcPr>
          <w:p w14:paraId="531EEDCE" w14:textId="1619938D"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w:t>
            </w:r>
            <w:r w:rsidR="00CD7709">
              <w:rPr>
                <w:rFonts w:cs="Arial"/>
                <w:sz w:val="20"/>
                <w:szCs w:val="20"/>
                <w:lang w:val="en-GB" w:eastAsia="en-GB"/>
              </w:rPr>
              <w:t>4</w:t>
            </w:r>
            <w:r w:rsidRPr="001F0009">
              <w:rPr>
                <w:rFonts w:cs="Arial"/>
                <w:sz w:val="20"/>
                <w:szCs w:val="20"/>
                <w:lang w:val="en-GB" w:eastAsia="en-GB"/>
              </w:rPr>
              <w:t>5%</w:t>
            </w:r>
          </w:p>
          <w:p w14:paraId="6495D87E"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744" w:type="pct"/>
            <w:vMerge w:val="restart"/>
          </w:tcPr>
          <w:p w14:paraId="639F3FC0"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0.0175%</w:t>
            </w:r>
          </w:p>
          <w:p w14:paraId="6F5D8AC1" w14:textId="77777777" w:rsidR="001F0009" w:rsidRPr="001F0009" w:rsidRDefault="001F0009" w:rsidP="007A37D2">
            <w:pPr>
              <w:spacing w:before="120"/>
              <w:rPr>
                <w:rFonts w:cs="Arial"/>
                <w:sz w:val="20"/>
                <w:szCs w:val="20"/>
                <w:lang w:val="en-GB" w:eastAsia="en-GB"/>
              </w:rPr>
            </w:pPr>
            <w:r w:rsidRPr="001F0009">
              <w:rPr>
                <w:rFonts w:cs="Arial"/>
                <w:sz w:val="20"/>
                <w:szCs w:val="20"/>
                <w:lang w:val="en-GB" w:eastAsia="en-GB"/>
              </w:rPr>
              <w:t xml:space="preserve">Per annum of the NAV of the Fund  </w:t>
            </w:r>
          </w:p>
        </w:tc>
        <w:tc>
          <w:tcPr>
            <w:tcW w:w="853" w:type="pct"/>
            <w:vMerge w:val="restart"/>
          </w:tcPr>
          <w:p w14:paraId="72A0FE6E" w14:textId="77777777" w:rsidR="001F0009" w:rsidRPr="001F0009" w:rsidRDefault="001F0009" w:rsidP="007A37D2">
            <w:pPr>
              <w:spacing w:before="120"/>
              <w:rPr>
                <w:rFonts w:cs="Arial"/>
                <w:sz w:val="20"/>
                <w:szCs w:val="20"/>
              </w:rPr>
            </w:pPr>
            <w:r w:rsidRPr="001F0009">
              <w:rPr>
                <w:rFonts w:cs="Arial"/>
                <w:sz w:val="20"/>
                <w:szCs w:val="20"/>
              </w:rPr>
              <w:t>0%</w:t>
            </w:r>
          </w:p>
        </w:tc>
      </w:tr>
      <w:tr w:rsidR="001F0009" w:rsidRPr="001F0009" w14:paraId="4D817974" w14:textId="77777777" w:rsidTr="007A37D2">
        <w:trPr>
          <w:trHeight w:val="470"/>
        </w:trPr>
        <w:tc>
          <w:tcPr>
            <w:tcW w:w="909" w:type="pct"/>
            <w:vMerge/>
            <w:shd w:val="clear" w:color="auto" w:fill="auto"/>
          </w:tcPr>
          <w:p w14:paraId="2EFCC699" w14:textId="77777777" w:rsidR="001F0009" w:rsidRPr="001F0009" w:rsidRDefault="001F0009" w:rsidP="007A37D2">
            <w:pPr>
              <w:pStyle w:val="BodyText"/>
              <w:rPr>
                <w:rFonts w:cs="Arial"/>
                <w:b/>
                <w:sz w:val="20"/>
                <w:szCs w:val="20"/>
              </w:rPr>
            </w:pPr>
          </w:p>
        </w:tc>
        <w:tc>
          <w:tcPr>
            <w:tcW w:w="852" w:type="pct"/>
            <w:vMerge/>
          </w:tcPr>
          <w:p w14:paraId="325BA9F5" w14:textId="77777777" w:rsidR="001F0009" w:rsidRPr="001F0009" w:rsidRDefault="001F0009" w:rsidP="007A37D2">
            <w:pPr>
              <w:spacing w:before="120"/>
              <w:rPr>
                <w:rFonts w:cs="Arial"/>
                <w:sz w:val="20"/>
                <w:szCs w:val="20"/>
              </w:rPr>
            </w:pPr>
          </w:p>
        </w:tc>
        <w:tc>
          <w:tcPr>
            <w:tcW w:w="739" w:type="pct"/>
            <w:vMerge/>
            <w:shd w:val="clear" w:color="auto" w:fill="auto"/>
          </w:tcPr>
          <w:p w14:paraId="0193F5B2" w14:textId="77777777" w:rsidR="001F0009" w:rsidRPr="001F0009" w:rsidRDefault="001F0009" w:rsidP="007A37D2">
            <w:pPr>
              <w:spacing w:before="120"/>
              <w:rPr>
                <w:rFonts w:cs="Arial"/>
                <w:sz w:val="20"/>
                <w:szCs w:val="20"/>
              </w:rPr>
            </w:pPr>
          </w:p>
        </w:tc>
        <w:tc>
          <w:tcPr>
            <w:tcW w:w="903" w:type="pct"/>
            <w:vMerge/>
          </w:tcPr>
          <w:p w14:paraId="24457167" w14:textId="77777777" w:rsidR="001F0009" w:rsidRPr="001F0009" w:rsidRDefault="001F0009" w:rsidP="007A37D2">
            <w:pPr>
              <w:spacing w:before="120"/>
              <w:rPr>
                <w:rFonts w:cs="Arial"/>
                <w:sz w:val="20"/>
                <w:szCs w:val="20"/>
                <w:lang w:val="en-GB" w:eastAsia="en-GB"/>
              </w:rPr>
            </w:pPr>
          </w:p>
        </w:tc>
        <w:tc>
          <w:tcPr>
            <w:tcW w:w="744" w:type="pct"/>
            <w:vMerge/>
          </w:tcPr>
          <w:p w14:paraId="171C37B1" w14:textId="77777777" w:rsidR="001F0009" w:rsidRPr="001F0009" w:rsidRDefault="001F0009" w:rsidP="007A37D2">
            <w:pPr>
              <w:spacing w:before="120"/>
              <w:rPr>
                <w:rFonts w:cs="Arial"/>
                <w:sz w:val="20"/>
                <w:szCs w:val="20"/>
                <w:lang w:val="en-GB" w:eastAsia="en-GB"/>
              </w:rPr>
            </w:pPr>
          </w:p>
        </w:tc>
        <w:tc>
          <w:tcPr>
            <w:tcW w:w="853" w:type="pct"/>
            <w:vMerge/>
          </w:tcPr>
          <w:p w14:paraId="309133EB" w14:textId="77777777" w:rsidR="001F0009" w:rsidRPr="001F0009" w:rsidRDefault="001F0009" w:rsidP="007A37D2">
            <w:pPr>
              <w:spacing w:before="120"/>
              <w:rPr>
                <w:rFonts w:cs="Arial"/>
                <w:sz w:val="20"/>
                <w:szCs w:val="20"/>
              </w:rPr>
            </w:pPr>
          </w:p>
        </w:tc>
      </w:tr>
      <w:tr w:rsidR="001F0009" w:rsidRPr="001F0009" w14:paraId="40F61830" w14:textId="77777777" w:rsidTr="007A37D2">
        <w:trPr>
          <w:trHeight w:val="470"/>
        </w:trPr>
        <w:tc>
          <w:tcPr>
            <w:tcW w:w="909" w:type="pct"/>
            <w:vMerge/>
            <w:shd w:val="clear" w:color="auto" w:fill="auto"/>
          </w:tcPr>
          <w:p w14:paraId="7B1D2660" w14:textId="77777777" w:rsidR="001F0009" w:rsidRPr="001F0009" w:rsidRDefault="001F0009" w:rsidP="007A37D2">
            <w:pPr>
              <w:pStyle w:val="BodyText"/>
              <w:rPr>
                <w:rFonts w:cs="Arial"/>
                <w:b/>
                <w:sz w:val="20"/>
                <w:szCs w:val="20"/>
              </w:rPr>
            </w:pPr>
          </w:p>
        </w:tc>
        <w:tc>
          <w:tcPr>
            <w:tcW w:w="852" w:type="pct"/>
            <w:vMerge/>
          </w:tcPr>
          <w:p w14:paraId="2856211F" w14:textId="77777777" w:rsidR="001F0009" w:rsidRPr="001F0009" w:rsidRDefault="001F0009" w:rsidP="007A37D2">
            <w:pPr>
              <w:spacing w:before="120"/>
              <w:rPr>
                <w:rFonts w:cs="Arial"/>
                <w:sz w:val="20"/>
                <w:szCs w:val="20"/>
              </w:rPr>
            </w:pPr>
          </w:p>
        </w:tc>
        <w:tc>
          <w:tcPr>
            <w:tcW w:w="739" w:type="pct"/>
            <w:vMerge/>
            <w:shd w:val="clear" w:color="auto" w:fill="auto"/>
          </w:tcPr>
          <w:p w14:paraId="0B4159A3" w14:textId="77777777" w:rsidR="001F0009" w:rsidRPr="001F0009" w:rsidRDefault="001F0009" w:rsidP="007A37D2">
            <w:pPr>
              <w:spacing w:before="120"/>
              <w:rPr>
                <w:rFonts w:cs="Arial"/>
                <w:sz w:val="20"/>
                <w:szCs w:val="20"/>
              </w:rPr>
            </w:pPr>
          </w:p>
        </w:tc>
        <w:tc>
          <w:tcPr>
            <w:tcW w:w="903" w:type="pct"/>
            <w:vMerge/>
          </w:tcPr>
          <w:p w14:paraId="65187E9B" w14:textId="77777777" w:rsidR="001F0009" w:rsidRPr="001F0009" w:rsidRDefault="001F0009" w:rsidP="007A37D2">
            <w:pPr>
              <w:spacing w:before="120"/>
              <w:rPr>
                <w:rFonts w:cs="Arial"/>
                <w:sz w:val="20"/>
                <w:szCs w:val="20"/>
                <w:lang w:val="en-GB" w:eastAsia="en-GB"/>
              </w:rPr>
            </w:pPr>
          </w:p>
        </w:tc>
        <w:tc>
          <w:tcPr>
            <w:tcW w:w="744" w:type="pct"/>
            <w:vMerge/>
          </w:tcPr>
          <w:p w14:paraId="77BDE994" w14:textId="77777777" w:rsidR="001F0009" w:rsidRPr="001F0009" w:rsidRDefault="001F0009" w:rsidP="007A37D2">
            <w:pPr>
              <w:spacing w:before="120"/>
              <w:rPr>
                <w:rFonts w:cs="Arial"/>
                <w:sz w:val="20"/>
                <w:szCs w:val="20"/>
                <w:lang w:val="en-GB" w:eastAsia="en-GB"/>
              </w:rPr>
            </w:pPr>
          </w:p>
        </w:tc>
        <w:tc>
          <w:tcPr>
            <w:tcW w:w="853" w:type="pct"/>
            <w:vMerge/>
          </w:tcPr>
          <w:p w14:paraId="4BB6DAD6" w14:textId="77777777" w:rsidR="001F0009" w:rsidRPr="001F0009" w:rsidRDefault="001F0009" w:rsidP="007A37D2">
            <w:pPr>
              <w:spacing w:before="120"/>
              <w:rPr>
                <w:rFonts w:cs="Arial"/>
                <w:sz w:val="20"/>
                <w:szCs w:val="20"/>
              </w:rPr>
            </w:pPr>
          </w:p>
        </w:tc>
      </w:tr>
    </w:tbl>
    <w:p w14:paraId="3C0AB81D" w14:textId="77777777" w:rsidR="001F0009" w:rsidRPr="001F0009" w:rsidRDefault="001F0009" w:rsidP="001F0009">
      <w:pPr>
        <w:pStyle w:val="BodyText"/>
        <w:rPr>
          <w:rFonts w:cs="Arial"/>
          <w:b/>
          <w:sz w:val="20"/>
          <w:szCs w:val="20"/>
        </w:rPr>
      </w:pPr>
    </w:p>
    <w:p w14:paraId="0245FFBD" w14:textId="77777777" w:rsidR="001F0009" w:rsidRPr="001F0009" w:rsidRDefault="001F0009" w:rsidP="001F0009">
      <w:pPr>
        <w:pStyle w:val="BodyText"/>
        <w:rPr>
          <w:rFonts w:cs="Arial"/>
          <w:b/>
          <w:sz w:val="20"/>
          <w:szCs w:val="20"/>
        </w:rPr>
      </w:pPr>
      <w:r w:rsidRPr="001F0009">
        <w:rPr>
          <w:rFonts w:cs="Arial"/>
          <w:b/>
          <w:sz w:val="20"/>
          <w:szCs w:val="20"/>
        </w:rPr>
        <w:t>Investment Management Fee &amp; Expenses</w:t>
      </w:r>
    </w:p>
    <w:p w14:paraId="5270A8E9" w14:textId="77777777" w:rsidR="001F0009" w:rsidRPr="001F0009" w:rsidRDefault="001F0009" w:rsidP="001F0009">
      <w:pPr>
        <w:pStyle w:val="BodyText"/>
        <w:rPr>
          <w:rFonts w:cs="Arial"/>
          <w:sz w:val="20"/>
          <w:szCs w:val="20"/>
        </w:rPr>
      </w:pPr>
      <w:r w:rsidRPr="001F0009">
        <w:rPr>
          <w:rFonts w:cs="Arial"/>
          <w:sz w:val="20"/>
          <w:szCs w:val="20"/>
        </w:rPr>
        <w:t>The Investment Manager shall be entitled to the maximum annual investment management fee equal to a percentage of the Net Asset Value of the relevant Class detailed in the above table.</w:t>
      </w:r>
    </w:p>
    <w:p w14:paraId="470CD5C7" w14:textId="77777777" w:rsidR="001F0009" w:rsidRPr="001F0009" w:rsidRDefault="001F0009" w:rsidP="001F0009">
      <w:pPr>
        <w:pStyle w:val="BodyText"/>
        <w:rPr>
          <w:rFonts w:cs="Arial"/>
          <w:sz w:val="20"/>
          <w:szCs w:val="20"/>
        </w:rPr>
      </w:pPr>
      <w:r w:rsidRPr="001F0009">
        <w:rPr>
          <w:rFonts w:cs="Arial"/>
          <w:sz w:val="20"/>
          <w:szCs w:val="20"/>
        </w:rPr>
        <w:t>Such fee shall be calculated and accrued at each Valuation Point and payable monthly in arrears.</w:t>
      </w:r>
    </w:p>
    <w:p w14:paraId="527209AF" w14:textId="77777777" w:rsidR="001F0009" w:rsidRPr="001F0009" w:rsidRDefault="001F0009" w:rsidP="001F0009">
      <w:pPr>
        <w:spacing w:before="120"/>
        <w:rPr>
          <w:rFonts w:cs="Arial"/>
          <w:sz w:val="20"/>
          <w:szCs w:val="20"/>
        </w:rPr>
      </w:pPr>
      <w:r w:rsidRPr="001F0009">
        <w:rPr>
          <w:rFonts w:cs="Arial"/>
          <w:sz w:val="20"/>
          <w:szCs w:val="20"/>
        </w:rPr>
        <w:t>The Investment Manager is also entitled to its reasonable fund related expenses out of the assets of the Fund.</w:t>
      </w:r>
    </w:p>
    <w:p w14:paraId="7BEA68F8" w14:textId="77777777" w:rsidR="001F0009" w:rsidRPr="001F0009" w:rsidRDefault="001F0009" w:rsidP="001F0009">
      <w:pPr>
        <w:pStyle w:val="BodyText"/>
        <w:keepNext/>
        <w:rPr>
          <w:rFonts w:cs="Arial"/>
          <w:b/>
          <w:sz w:val="20"/>
          <w:szCs w:val="20"/>
        </w:rPr>
      </w:pPr>
      <w:r w:rsidRPr="001F0009">
        <w:rPr>
          <w:rFonts w:cs="Arial"/>
          <w:b/>
          <w:sz w:val="20"/>
          <w:szCs w:val="20"/>
        </w:rPr>
        <w:t>Distributor Fee &amp; Expenses</w:t>
      </w:r>
    </w:p>
    <w:p w14:paraId="6AC9EF99" w14:textId="5FDC65A4" w:rsidR="001F0009" w:rsidRPr="001F0009" w:rsidRDefault="003217F9" w:rsidP="001F0009">
      <w:pPr>
        <w:pStyle w:val="BodyText"/>
        <w:rPr>
          <w:rFonts w:cs="Arial"/>
          <w:sz w:val="20"/>
          <w:szCs w:val="20"/>
        </w:rPr>
      </w:pPr>
      <w:r>
        <w:rPr>
          <w:rFonts w:cs="Arial"/>
          <w:sz w:val="20"/>
          <w:szCs w:val="20"/>
        </w:rPr>
        <w:t>If relevant, t</w:t>
      </w:r>
      <w:r w:rsidR="001F0009" w:rsidRPr="00FE397C">
        <w:rPr>
          <w:rFonts w:cs="Arial"/>
          <w:sz w:val="20"/>
          <w:szCs w:val="20"/>
        </w:rPr>
        <w:t>he Distributor shall be entitled to the maximum annual distributor fee</w:t>
      </w:r>
      <w:r w:rsidR="001F0009" w:rsidRPr="001F0009">
        <w:rPr>
          <w:rFonts w:cs="Arial"/>
          <w:sz w:val="20"/>
          <w:szCs w:val="20"/>
        </w:rPr>
        <w:t xml:space="preserve"> equal to a percentage of the Net Asset Value of the relevant Class</w:t>
      </w:r>
      <w:r w:rsidR="00C1398C">
        <w:rPr>
          <w:rFonts w:cs="Arial"/>
          <w:sz w:val="20"/>
          <w:szCs w:val="20"/>
        </w:rPr>
        <w:t xml:space="preserve"> </w:t>
      </w:r>
      <w:r>
        <w:rPr>
          <w:rFonts w:cs="Arial"/>
          <w:sz w:val="20"/>
          <w:szCs w:val="20"/>
        </w:rPr>
        <w:t xml:space="preserve">as may be </w:t>
      </w:r>
      <w:r w:rsidR="00C1398C">
        <w:rPr>
          <w:rFonts w:cs="Arial"/>
          <w:sz w:val="20"/>
          <w:szCs w:val="20"/>
        </w:rPr>
        <w:t>detailed in the above table</w:t>
      </w:r>
      <w:r w:rsidR="00CD7709">
        <w:rPr>
          <w:rFonts w:cs="Arial"/>
          <w:sz w:val="20"/>
          <w:szCs w:val="20"/>
        </w:rPr>
        <w:t>.</w:t>
      </w:r>
    </w:p>
    <w:p w14:paraId="5FF9A403" w14:textId="77777777" w:rsidR="001F0009" w:rsidRPr="001F0009" w:rsidRDefault="001F0009" w:rsidP="001F0009">
      <w:pPr>
        <w:pStyle w:val="BodyText"/>
        <w:rPr>
          <w:rFonts w:cs="Arial"/>
          <w:sz w:val="20"/>
          <w:szCs w:val="20"/>
        </w:rPr>
      </w:pPr>
      <w:r w:rsidRPr="001F0009">
        <w:rPr>
          <w:rFonts w:cs="Arial"/>
          <w:sz w:val="20"/>
          <w:szCs w:val="20"/>
        </w:rPr>
        <w:t>Such fee shall be calculated and accrued at each Valuation Point and payable monthly in arrears.</w:t>
      </w:r>
    </w:p>
    <w:p w14:paraId="0715E26E" w14:textId="77777777" w:rsidR="001F0009" w:rsidRPr="001F0009" w:rsidRDefault="001F0009" w:rsidP="001F0009">
      <w:pPr>
        <w:spacing w:before="120"/>
        <w:rPr>
          <w:rFonts w:cs="Arial"/>
          <w:sz w:val="20"/>
          <w:szCs w:val="20"/>
        </w:rPr>
      </w:pPr>
      <w:r w:rsidRPr="001F0009">
        <w:rPr>
          <w:rFonts w:cs="Arial"/>
          <w:sz w:val="20"/>
          <w:szCs w:val="20"/>
        </w:rPr>
        <w:t>The Distributor is also entitled to its reasonable out-of-pocket expenses out of the assets of the Fund.</w:t>
      </w:r>
    </w:p>
    <w:p w14:paraId="6D9C598B" w14:textId="77777777" w:rsidR="001F0009" w:rsidRPr="001F0009" w:rsidRDefault="001F0009" w:rsidP="001F0009">
      <w:pPr>
        <w:pStyle w:val="BodyText"/>
        <w:keepNext/>
        <w:rPr>
          <w:rFonts w:cs="Arial"/>
          <w:b/>
          <w:sz w:val="20"/>
          <w:szCs w:val="20"/>
        </w:rPr>
      </w:pPr>
      <w:r w:rsidRPr="001F0009">
        <w:rPr>
          <w:rFonts w:cs="Arial"/>
          <w:b/>
          <w:sz w:val="20"/>
          <w:szCs w:val="20"/>
        </w:rPr>
        <w:t>Depositary Fee &amp; Expenses</w:t>
      </w:r>
    </w:p>
    <w:p w14:paraId="2224238E" w14:textId="77777777" w:rsidR="001F0009" w:rsidRPr="001F0009" w:rsidRDefault="001F0009" w:rsidP="001F0009">
      <w:pPr>
        <w:spacing w:before="120"/>
        <w:rPr>
          <w:rFonts w:cs="Arial"/>
          <w:sz w:val="20"/>
          <w:szCs w:val="20"/>
        </w:rPr>
      </w:pPr>
      <w:r w:rsidRPr="001F0009">
        <w:rPr>
          <w:rFonts w:cs="Arial"/>
          <w:sz w:val="20"/>
          <w:szCs w:val="20"/>
        </w:rPr>
        <w:t xml:space="preserve">The Depositary shall be entitled to an annual depositary fee equal to a percentage of the Net Asset Value of the relevant Class, detailed in the above table, subject to a minimum monthly fee of €600 together with reasonable costs and expenses incurred by the Depositary in the performance of its duties as Depositary of the Fund. These fees shall accrue and be calculated on each Valuation Point and shall be payable monthly in arrears.  </w:t>
      </w:r>
    </w:p>
    <w:p w14:paraId="5F74D461" w14:textId="77777777" w:rsidR="001F0009" w:rsidRPr="001F0009" w:rsidRDefault="001F0009" w:rsidP="001F0009">
      <w:pPr>
        <w:spacing w:before="120"/>
        <w:rPr>
          <w:rFonts w:cs="Arial"/>
          <w:sz w:val="20"/>
          <w:szCs w:val="20"/>
        </w:rPr>
      </w:pPr>
      <w:r w:rsidRPr="001F0009">
        <w:rPr>
          <w:rFonts w:cs="Arial"/>
          <w:sz w:val="20"/>
          <w:szCs w:val="20"/>
        </w:rPr>
        <w:t>The Depositary shall also be entitled to be reimbursed out of the assets of the Fund all agreed sub-custodian fees, expenses and transaction charges (which will be charged at normal commercial rates) as agreed with the Directors.</w:t>
      </w:r>
    </w:p>
    <w:p w14:paraId="20046641" w14:textId="77777777" w:rsidR="001F0009" w:rsidRPr="001F0009" w:rsidRDefault="001F0009" w:rsidP="00343B4C">
      <w:pPr>
        <w:pStyle w:val="BodyText"/>
        <w:keepNext/>
        <w:keepLines/>
        <w:rPr>
          <w:rFonts w:cs="Arial"/>
          <w:b/>
          <w:sz w:val="20"/>
          <w:szCs w:val="20"/>
        </w:rPr>
      </w:pPr>
      <w:r w:rsidRPr="001F0009">
        <w:rPr>
          <w:rFonts w:cs="Arial"/>
          <w:b/>
          <w:sz w:val="20"/>
          <w:szCs w:val="20"/>
        </w:rPr>
        <w:lastRenderedPageBreak/>
        <w:t>Administrator Fee &amp; Expenses</w:t>
      </w:r>
    </w:p>
    <w:p w14:paraId="63D39D5C" w14:textId="75FBA8D9" w:rsidR="001F0009" w:rsidRPr="001F0009" w:rsidRDefault="001F0009" w:rsidP="00343B4C">
      <w:pPr>
        <w:pStyle w:val="BodyText"/>
        <w:keepLines/>
        <w:rPr>
          <w:rFonts w:cs="Arial"/>
          <w:sz w:val="20"/>
          <w:szCs w:val="20"/>
        </w:rPr>
      </w:pPr>
      <w:r w:rsidRPr="001F0009">
        <w:rPr>
          <w:rFonts w:cs="Arial"/>
          <w:sz w:val="20"/>
          <w:szCs w:val="20"/>
        </w:rPr>
        <w:t xml:space="preserve">The Administrator shall be entitled to the maximum annual administrator fee equal to a percentage of the Net Asset Value of the relevant Class detailed in the above table. Such fee shall be calculated and accrued at each Valuation Point and payable monthly in arrears. The Administrator shall be also be entitled to a minimum annual fee </w:t>
      </w:r>
      <w:r w:rsidR="009E0E89">
        <w:rPr>
          <w:rFonts w:cs="Arial"/>
          <w:sz w:val="20"/>
          <w:szCs w:val="20"/>
        </w:rPr>
        <w:t xml:space="preserve">in respect of the Company </w:t>
      </w:r>
      <w:r w:rsidRPr="001F0009">
        <w:rPr>
          <w:rFonts w:cs="Arial"/>
          <w:sz w:val="20"/>
          <w:szCs w:val="20"/>
        </w:rPr>
        <w:t xml:space="preserve">of </w:t>
      </w:r>
      <w:r w:rsidRPr="001F0009">
        <w:rPr>
          <w:rFonts w:cs="Arial"/>
          <w:sz w:val="20"/>
          <w:szCs w:val="20"/>
          <w:lang w:val="en-IE"/>
        </w:rPr>
        <w:t>€30,000 per year and a transaction fee for each transaction conducted pursuant to the Administration Agreement (which will be charged at normal commercial rates).</w:t>
      </w:r>
    </w:p>
    <w:p w14:paraId="4848B2C8" w14:textId="77777777" w:rsidR="001F0009" w:rsidRPr="001F0009" w:rsidRDefault="001F0009" w:rsidP="001F0009">
      <w:pPr>
        <w:spacing w:before="120"/>
        <w:rPr>
          <w:rFonts w:cs="Arial"/>
          <w:sz w:val="20"/>
          <w:szCs w:val="20"/>
        </w:rPr>
      </w:pPr>
      <w:r w:rsidRPr="001F0009">
        <w:rPr>
          <w:rFonts w:cs="Arial"/>
          <w:sz w:val="20"/>
          <w:szCs w:val="20"/>
        </w:rPr>
        <w:t>The Administrator is also entitled to its reasonable out-of-pocket expenses out of the assets of the Fund.</w:t>
      </w:r>
    </w:p>
    <w:p w14:paraId="27FF6CC3" w14:textId="77777777" w:rsidR="001F0009" w:rsidRPr="001F0009" w:rsidRDefault="001F0009" w:rsidP="001F0009">
      <w:pPr>
        <w:keepNext/>
        <w:spacing w:before="120"/>
        <w:rPr>
          <w:rFonts w:cs="Arial"/>
          <w:sz w:val="20"/>
          <w:szCs w:val="20"/>
        </w:rPr>
      </w:pPr>
      <w:r w:rsidRPr="001F0009">
        <w:rPr>
          <w:rFonts w:cs="Arial"/>
          <w:b/>
          <w:bCs/>
          <w:sz w:val="20"/>
          <w:szCs w:val="20"/>
        </w:rPr>
        <w:t>Management Fee</w:t>
      </w:r>
    </w:p>
    <w:p w14:paraId="0CFC40F8" w14:textId="77777777" w:rsidR="001F0009" w:rsidRPr="001F0009" w:rsidRDefault="001F0009" w:rsidP="001F0009">
      <w:pPr>
        <w:spacing w:before="120"/>
        <w:rPr>
          <w:rFonts w:cs="Arial"/>
          <w:b/>
          <w:bCs/>
          <w:sz w:val="20"/>
          <w:szCs w:val="20"/>
        </w:rPr>
      </w:pPr>
      <w:r w:rsidRPr="001F0009">
        <w:rPr>
          <w:rFonts w:cs="Arial"/>
          <w:sz w:val="20"/>
          <w:szCs w:val="20"/>
        </w:rPr>
        <w:t>Investors are referred to the Prospectus for details of the Manager's fee.</w:t>
      </w:r>
    </w:p>
    <w:p w14:paraId="4455328D" w14:textId="77777777" w:rsidR="001F0009" w:rsidRPr="001F0009" w:rsidRDefault="001F0009" w:rsidP="001F0009">
      <w:pPr>
        <w:pStyle w:val="Agreement2"/>
        <w:keepNext/>
        <w:spacing w:before="120"/>
        <w:rPr>
          <w:rFonts w:cs="Arial"/>
          <w:sz w:val="20"/>
          <w:szCs w:val="20"/>
        </w:rPr>
      </w:pPr>
      <w:r w:rsidRPr="001F0009">
        <w:rPr>
          <w:rFonts w:cs="Arial"/>
          <w:b/>
          <w:bCs/>
          <w:sz w:val="20"/>
          <w:szCs w:val="20"/>
        </w:rPr>
        <w:t>Benchmark Regulation</w:t>
      </w:r>
    </w:p>
    <w:p w14:paraId="13811781" w14:textId="270031CC" w:rsidR="001F0009" w:rsidRPr="001F0009" w:rsidRDefault="001F0009" w:rsidP="001F0009">
      <w:pPr>
        <w:pStyle w:val="BodyText"/>
        <w:rPr>
          <w:rFonts w:cs="Arial"/>
          <w:sz w:val="20"/>
          <w:szCs w:val="20"/>
        </w:rPr>
      </w:pPr>
      <w:r w:rsidRPr="001F0009">
        <w:rPr>
          <w:rFonts w:cs="Arial"/>
          <w:sz w:val="20"/>
          <w:szCs w:val="20"/>
        </w:rPr>
        <w:t>The Fund uses the 3 Month EURIBOR (the "</w:t>
      </w:r>
      <w:r w:rsidRPr="001F0009">
        <w:rPr>
          <w:rFonts w:cs="Arial"/>
          <w:b/>
          <w:sz w:val="20"/>
          <w:szCs w:val="20"/>
        </w:rPr>
        <w:t>Benchmark</w:t>
      </w:r>
      <w:r w:rsidRPr="001F0009">
        <w:rPr>
          <w:rFonts w:cs="Arial"/>
          <w:sz w:val="20"/>
          <w:szCs w:val="20"/>
        </w:rPr>
        <w:t>") to measure the performance of the Fund for comparison purposes only.</w:t>
      </w:r>
    </w:p>
    <w:p w14:paraId="5A6F5FE4" w14:textId="77777777" w:rsidR="001F0009" w:rsidRPr="001F0009" w:rsidRDefault="001F0009" w:rsidP="001F0009">
      <w:pPr>
        <w:pStyle w:val="BodyText"/>
        <w:rPr>
          <w:rFonts w:cs="Arial"/>
          <w:sz w:val="20"/>
          <w:szCs w:val="20"/>
        </w:rPr>
      </w:pPr>
      <w:r w:rsidRPr="001F0009">
        <w:rPr>
          <w:rFonts w:cs="Arial"/>
          <w:sz w:val="20"/>
          <w:szCs w:val="20"/>
        </w:rPr>
        <w:t>The Benchmark, administered by the European Money Markets Institute, has been added to the list of critical benchmarks pursuant to Article 10(1) of the Benchmark Regulation.</w:t>
      </w:r>
    </w:p>
    <w:p w14:paraId="7DBE9839"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Other Fees and Expenses</w:t>
      </w:r>
    </w:p>
    <w:p w14:paraId="13E2C037" w14:textId="77777777" w:rsidR="001F0009" w:rsidRPr="001F0009" w:rsidRDefault="001F0009" w:rsidP="001F0009">
      <w:pPr>
        <w:pStyle w:val="BodyText"/>
        <w:rPr>
          <w:rFonts w:cs="Arial"/>
          <w:sz w:val="20"/>
          <w:szCs w:val="20"/>
        </w:rPr>
      </w:pPr>
      <w:r w:rsidRPr="001F0009">
        <w:rPr>
          <w:rFonts w:cs="Arial"/>
          <w:sz w:val="20"/>
          <w:szCs w:val="20"/>
        </w:rPr>
        <w:t>This section should be read in conjunction with the section entitled "</w:t>
      </w:r>
      <w:r w:rsidRPr="001F0009">
        <w:rPr>
          <w:rFonts w:cs="Arial"/>
          <w:b/>
          <w:sz w:val="20"/>
          <w:szCs w:val="20"/>
        </w:rPr>
        <w:t>Fees and Expenses</w:t>
      </w:r>
      <w:r w:rsidRPr="001F0009">
        <w:rPr>
          <w:rFonts w:cs="Arial"/>
          <w:sz w:val="20"/>
          <w:szCs w:val="20"/>
        </w:rPr>
        <w:t>" in the Prospectus.</w:t>
      </w:r>
    </w:p>
    <w:p w14:paraId="7CF4BB0B" w14:textId="77777777" w:rsidR="001F0009" w:rsidRPr="001F0009" w:rsidRDefault="001F0009" w:rsidP="001F0009">
      <w:pPr>
        <w:pStyle w:val="Agreement3"/>
        <w:keepNext/>
        <w:spacing w:before="120"/>
        <w:ind w:left="720"/>
        <w:rPr>
          <w:rFonts w:cs="Arial"/>
          <w:b/>
          <w:sz w:val="20"/>
          <w:szCs w:val="20"/>
        </w:rPr>
      </w:pPr>
      <w:r w:rsidRPr="001F0009">
        <w:rPr>
          <w:rFonts w:cs="Arial"/>
          <w:b/>
          <w:sz w:val="20"/>
          <w:szCs w:val="20"/>
        </w:rPr>
        <w:t>Anti-Dilution Levy</w:t>
      </w:r>
    </w:p>
    <w:p w14:paraId="53B8969F" w14:textId="77777777" w:rsidR="001F0009" w:rsidRPr="001F0009" w:rsidRDefault="001F0009" w:rsidP="001F0009">
      <w:pPr>
        <w:pStyle w:val="BodyText"/>
        <w:rPr>
          <w:rFonts w:cs="Arial"/>
          <w:sz w:val="20"/>
          <w:szCs w:val="20"/>
        </w:rPr>
      </w:pPr>
      <w:r w:rsidRPr="001F0009">
        <w:rPr>
          <w:rFonts w:cs="Arial"/>
          <w:sz w:val="20"/>
          <w:szCs w:val="20"/>
        </w:rPr>
        <w:t>The Directors reserve the right to impose an Anti-Dilution Levy in the case of net subscriptions and/or net repurchases on a transaction basis as a percentage adjustment (to be communicated to the Administrator) on the value of the relevant subscription/repurchase calculated for the purposes of determining a subscription price or repurchase price to reflect the impact of other dealing costs relating to the acquisition or disposal of assets and to preserve value of the underlying assets of the Fund where they consider such a provision to be in the best interests of a Fund. Such amount will be added to the price at which Shares will be issued in the case of net subscription requests and deducted from the price at which Shares will be repurchased in the case of net repurchase requests. Any such sum will be paid into the account of the Fund.</w:t>
      </w:r>
    </w:p>
    <w:p w14:paraId="6B7734E4" w14:textId="77777777" w:rsidR="001F0009" w:rsidRPr="001F0009" w:rsidRDefault="001F0009" w:rsidP="001F0009">
      <w:pPr>
        <w:pStyle w:val="Agreement3"/>
        <w:keepNext/>
        <w:spacing w:before="120"/>
        <w:ind w:left="720"/>
        <w:rPr>
          <w:rFonts w:cs="Arial"/>
          <w:b/>
          <w:sz w:val="20"/>
          <w:szCs w:val="20"/>
        </w:rPr>
      </w:pPr>
      <w:r w:rsidRPr="001F0009">
        <w:rPr>
          <w:rFonts w:cs="Arial"/>
          <w:b/>
          <w:sz w:val="20"/>
          <w:szCs w:val="20"/>
        </w:rPr>
        <w:t>Establishment Expenses</w:t>
      </w:r>
    </w:p>
    <w:p w14:paraId="2597C562" w14:textId="4F68A469" w:rsidR="001F0009" w:rsidRPr="001F0009" w:rsidRDefault="003E65E0" w:rsidP="001F0009">
      <w:pPr>
        <w:pStyle w:val="BodyText"/>
        <w:rPr>
          <w:rFonts w:cs="Arial"/>
          <w:b/>
          <w:sz w:val="20"/>
          <w:szCs w:val="20"/>
        </w:rPr>
      </w:pPr>
      <w:r>
        <w:rPr>
          <w:rFonts w:cs="Arial"/>
          <w:sz w:val="20"/>
          <w:szCs w:val="20"/>
        </w:rPr>
        <w:t xml:space="preserve">All </w:t>
      </w:r>
      <w:r w:rsidRPr="003E65E0">
        <w:rPr>
          <w:rFonts w:cs="Arial"/>
          <w:sz w:val="20"/>
          <w:szCs w:val="20"/>
        </w:rPr>
        <w:t>fees and expenses relating to the establishment and organisation of the Fund as detailed in the section of the Prospectus entitled "</w:t>
      </w:r>
      <w:r w:rsidRPr="003E65E0">
        <w:rPr>
          <w:rFonts w:cs="Arial"/>
          <w:b/>
          <w:bCs/>
          <w:sz w:val="20"/>
          <w:szCs w:val="20"/>
        </w:rPr>
        <w:t>Establishment Expenses</w:t>
      </w:r>
      <w:r w:rsidRPr="003E65E0">
        <w:rPr>
          <w:rFonts w:cs="Arial"/>
          <w:sz w:val="20"/>
          <w:szCs w:val="20"/>
        </w:rPr>
        <w:t>" have been borne by the Company and amortised in accordance with the provisions of the Prospectus.</w:t>
      </w:r>
    </w:p>
    <w:p w14:paraId="4A7BFE7E" w14:textId="77777777" w:rsidR="001F0009" w:rsidRPr="001F0009" w:rsidRDefault="001F0009" w:rsidP="001F0009">
      <w:pPr>
        <w:pStyle w:val="Agreement2"/>
        <w:keepNext/>
        <w:spacing w:before="120"/>
        <w:rPr>
          <w:rFonts w:cs="Arial"/>
          <w:b/>
          <w:sz w:val="20"/>
          <w:szCs w:val="20"/>
        </w:rPr>
      </w:pPr>
      <w:r w:rsidRPr="001F0009">
        <w:rPr>
          <w:rFonts w:cs="Arial"/>
          <w:b/>
          <w:sz w:val="20"/>
          <w:szCs w:val="20"/>
        </w:rPr>
        <w:t>Miscellaneous</w:t>
      </w:r>
    </w:p>
    <w:p w14:paraId="11DF02F7" w14:textId="77777777" w:rsidR="001F0009" w:rsidRPr="001F0009" w:rsidRDefault="001F0009" w:rsidP="001F0009">
      <w:pPr>
        <w:pStyle w:val="BodyText"/>
        <w:rPr>
          <w:rFonts w:cs="Arial"/>
          <w:sz w:val="20"/>
          <w:szCs w:val="20"/>
        </w:rPr>
      </w:pPr>
      <w:r w:rsidRPr="001F0009">
        <w:rPr>
          <w:rFonts w:cs="Arial"/>
          <w:sz w:val="20"/>
          <w:szCs w:val="20"/>
        </w:rPr>
        <w:t xml:space="preserve">Additional Funds of the Company may be added in the future with the prior approval of the Central Bank.  The names of the other Funds are disclosed in the Prospectus. </w:t>
      </w:r>
    </w:p>
    <w:p w14:paraId="33817361" w14:textId="77777777" w:rsidR="001F0009" w:rsidRPr="001F0009" w:rsidRDefault="001F0009" w:rsidP="001F0009">
      <w:pPr>
        <w:rPr>
          <w:rFonts w:cs="Arial"/>
          <w:sz w:val="20"/>
          <w:szCs w:val="20"/>
        </w:rPr>
      </w:pPr>
    </w:p>
    <w:p w14:paraId="6C77A8CF" w14:textId="32EF2448" w:rsidR="002E5D7A" w:rsidRDefault="002E5D7A" w:rsidP="001F0009">
      <w:pPr>
        <w:rPr>
          <w:rFonts w:cs="Arial"/>
          <w:sz w:val="16"/>
          <w:szCs w:val="16"/>
        </w:rPr>
      </w:pPr>
    </w:p>
    <w:p w14:paraId="3CD8D0EE" w14:textId="64D420E3" w:rsidR="00003741" w:rsidRDefault="00003741" w:rsidP="001F0009">
      <w:pPr>
        <w:rPr>
          <w:rFonts w:cs="Arial"/>
          <w:sz w:val="16"/>
          <w:szCs w:val="16"/>
        </w:rPr>
      </w:pPr>
    </w:p>
    <w:p w14:paraId="38361AF9" w14:textId="77777777" w:rsidR="009416BC" w:rsidRDefault="009416BC" w:rsidP="001F0009">
      <w:pPr>
        <w:rPr>
          <w:rFonts w:cs="Arial"/>
          <w:sz w:val="16"/>
          <w:szCs w:val="16"/>
        </w:rPr>
      </w:pPr>
    </w:p>
    <w:p w14:paraId="663FF80A" w14:textId="77777777" w:rsidR="009416BC" w:rsidRDefault="009416BC" w:rsidP="001F0009">
      <w:pPr>
        <w:rPr>
          <w:rFonts w:cs="Arial"/>
          <w:sz w:val="16"/>
          <w:szCs w:val="16"/>
        </w:rPr>
      </w:pPr>
    </w:p>
    <w:p w14:paraId="20018566" w14:textId="030540F9" w:rsidR="009416BC" w:rsidRDefault="009416BC" w:rsidP="001F0009">
      <w:pPr>
        <w:rPr>
          <w:rFonts w:cs="Arial"/>
          <w:sz w:val="16"/>
          <w:szCs w:val="16"/>
        </w:rPr>
      </w:pPr>
      <w:r>
        <w:rPr>
          <w:rFonts w:cs="Arial"/>
          <w:sz w:val="16"/>
          <w:szCs w:val="16"/>
        </w:rPr>
        <w:fldChar w:fldCharType="begin"/>
      </w:r>
      <w:r>
        <w:rPr>
          <w:rFonts w:cs="Arial"/>
          <w:sz w:val="16"/>
          <w:szCs w:val="16"/>
        </w:rPr>
        <w:instrText xml:space="preserve"> DOCPROPERTY "DMSFooter"  \* MERGEFORMAT </w:instrText>
      </w:r>
      <w:r>
        <w:rPr>
          <w:rFonts w:cs="Arial"/>
          <w:sz w:val="16"/>
          <w:szCs w:val="16"/>
        </w:rPr>
        <w:fldChar w:fldCharType="separate"/>
      </w:r>
      <w:r w:rsidR="00822A31">
        <w:rPr>
          <w:rFonts w:cs="Arial"/>
          <w:sz w:val="16"/>
          <w:szCs w:val="16"/>
        </w:rPr>
        <w:t>WF-72916338-v3</w:t>
      </w:r>
      <w:r>
        <w:rPr>
          <w:rFonts w:cs="Arial"/>
          <w:sz w:val="16"/>
          <w:szCs w:val="16"/>
        </w:rPr>
        <w:fldChar w:fldCharType="end"/>
      </w:r>
    </w:p>
    <w:p w14:paraId="6EEE41B5" w14:textId="77777777" w:rsidR="00C6546B" w:rsidRDefault="00C6546B" w:rsidP="001F0009">
      <w:pPr>
        <w:rPr>
          <w:rFonts w:cs="Arial"/>
          <w:sz w:val="16"/>
          <w:szCs w:val="16"/>
        </w:rPr>
      </w:pPr>
    </w:p>
    <w:p w14:paraId="1203317E" w14:textId="4872D60D" w:rsidR="00C6546B" w:rsidRPr="00003741" w:rsidRDefault="00C6546B" w:rsidP="001F0009">
      <w:pPr>
        <w:rPr>
          <w:rFonts w:cs="Arial"/>
          <w:sz w:val="16"/>
          <w:szCs w:val="16"/>
        </w:rPr>
      </w:pPr>
    </w:p>
    <w:sectPr w:rsidR="00C6546B" w:rsidRPr="00003741" w:rsidSect="00AD073B">
      <w:footerReference w:type="first" r:id="rId21"/>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CA109" w14:textId="77777777" w:rsidR="00197526" w:rsidRDefault="00197526" w:rsidP="00F61DFD">
      <w:pPr>
        <w:spacing w:after="0"/>
      </w:pPr>
      <w:r>
        <w:separator/>
      </w:r>
    </w:p>
  </w:endnote>
  <w:endnote w:type="continuationSeparator" w:id="0">
    <w:p w14:paraId="7F74903C" w14:textId="77777777" w:rsidR="00197526" w:rsidRDefault="00197526"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AB6E5" w14:textId="5D4CE1FD" w:rsidR="001F0009" w:rsidRDefault="00C6546B">
    <w:pPr>
      <w:pStyle w:val="Footer"/>
    </w:pPr>
    <w:fldSimple w:instr="DOCPROPERTY DOCXDOCID DMS=InterwovenIManage Format=&lt;&lt;ATHR&gt;&gt;/&lt;&lt;CLT&gt;&gt;-&lt;&lt;MTR&gt;&gt;/&lt;&lt;NUM&gt;&gt;v&lt;&lt;VER&gt;&gt; \* MERGEFORMAT ">
      <w:r w:rsidR="006C2D4D">
        <w:t>CVV/685914-000003/15441079v45</w:t>
      </w:r>
    </w:fldSimple>
  </w:p>
  <w:p w14:paraId="7DE30164" w14:textId="6BB4ED00" w:rsidR="00343B4C" w:rsidRDefault="006C2D4D" w:rsidP="00343B4C">
    <w:pPr>
      <w:pStyle w:val="Footer"/>
      <w:jc w:val="right"/>
    </w:pPr>
    <w:r>
      <w:fldChar w:fldCharType="begin"/>
    </w:r>
    <w:r>
      <w:instrText xml:space="preserve"> DOCPROPERTY "DMSFooter"  \* MERGEFORMAT </w:instrText>
    </w:r>
    <w:r>
      <w:fldChar w:fldCharType="separate"/>
    </w:r>
    <w:r>
      <w:t>WF-72916338-v3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91DC0" w14:textId="43C7DA8E" w:rsidR="001F0009" w:rsidRDefault="001F0009">
    <w:pPr>
      <w:pStyle w:val="Footer"/>
      <w:jc w:val="right"/>
      <w:rPr>
        <w:noProof/>
      </w:rPr>
    </w:pPr>
    <w:r>
      <w:fldChar w:fldCharType="begin"/>
    </w:r>
    <w:r>
      <w:instrText xml:space="preserve"> PAGE   \* MERGEFORMAT </w:instrText>
    </w:r>
    <w:r>
      <w:fldChar w:fldCharType="separate"/>
    </w:r>
    <w:r>
      <w:rPr>
        <w:noProof/>
      </w:rPr>
      <w:t>11</w:t>
    </w:r>
    <w:r>
      <w:rPr>
        <w:noProof/>
      </w:rPr>
      <w:fldChar w:fldCharType="end"/>
    </w:r>
  </w:p>
  <w:p w14:paraId="4A237805" w14:textId="74BBD3EE" w:rsidR="00343B4C" w:rsidRDefault="00343B4C" w:rsidP="00343B4C">
    <w:pPr>
      <w:pStyle w:val="Footer"/>
      <w:jc w:val="right"/>
      <w:rPr>
        <w:noProof/>
      </w:rPr>
    </w:pPr>
    <w:r>
      <w:rPr>
        <w:noProof/>
      </w:rPr>
      <w:fldChar w:fldCharType="begin"/>
    </w:r>
    <w:r>
      <w:rPr>
        <w:noProof/>
      </w:rPr>
      <w:instrText xml:space="preserve"> DOCPROPERTY "DMSFooter"  \* MERGEFORMAT </w:instrText>
    </w:r>
    <w:r>
      <w:rPr>
        <w:noProof/>
      </w:rPr>
      <w:fldChar w:fldCharType="separate"/>
    </w:r>
    <w:r w:rsidR="006C2D4D">
      <w:rPr>
        <w:noProof/>
      </w:rPr>
      <w:t>WF-72916338-v3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0920" w14:textId="77777777" w:rsidR="001F0009" w:rsidRDefault="001F0009" w:rsidP="00AD073B">
    <w:pPr>
      <w:pStyle w:val="Footer"/>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C15E8AA" w14:textId="3FBF99ED" w:rsidR="001F0009" w:rsidRDefault="001F0009">
    <w:pPr>
      <w:pStyle w:val="Footer"/>
    </w:pPr>
  </w:p>
  <w:p w14:paraId="46E900E1" w14:textId="44D7ADDA" w:rsidR="00343B4C" w:rsidRDefault="006C2D4D" w:rsidP="00343B4C">
    <w:pPr>
      <w:pStyle w:val="Footer"/>
      <w:jc w:val="right"/>
    </w:pPr>
    <w:r>
      <w:fldChar w:fldCharType="begin"/>
    </w:r>
    <w:r>
      <w:instrText xml:space="preserve"> DOCPROPERTY "DMSFooter"  \* MERGEFORMAT </w:instrText>
    </w:r>
    <w:r>
      <w:fldChar w:fldCharType="separate"/>
    </w:r>
    <w:r>
      <w:t>WF-72916338-v3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E925B" w14:textId="77777777" w:rsidR="00EA150F" w:rsidRDefault="00EA150F" w:rsidP="00AD073B">
    <w:pPr>
      <w:pStyle w:val="Footer"/>
      <w:jc w:val="right"/>
      <w:rPr>
        <w:noProof/>
      </w:rPr>
    </w:pPr>
    <w:r>
      <w:rPr>
        <w:noProof/>
      </w:rPr>
      <w:fldChar w:fldCharType="begin"/>
    </w:r>
    <w:r>
      <w:rPr>
        <w:noProof/>
      </w:rPr>
      <w:instrText xml:space="preserve"> PAGE   \* MERGEFORMAT </w:instrText>
    </w:r>
    <w:r>
      <w:rPr>
        <w:noProof/>
      </w:rPr>
      <w:fldChar w:fldCharType="separate"/>
    </w:r>
    <w:r w:rsidR="0088690C">
      <w:rPr>
        <w:noProof/>
      </w:rPr>
      <w:t>2</w:t>
    </w:r>
    <w:r>
      <w:rPr>
        <w:noProof/>
      </w:rPr>
      <w:fldChar w:fldCharType="end"/>
    </w:r>
  </w:p>
  <w:p w14:paraId="15A15F43" w14:textId="3D62A07E" w:rsidR="00707B09" w:rsidRDefault="00707B09" w:rsidP="009B6997">
    <w:pPr>
      <w:pStyle w:val="Footer"/>
      <w:rPr>
        <w:noProof/>
      </w:rPr>
    </w:pPr>
  </w:p>
  <w:p w14:paraId="3EEC5C2C" w14:textId="00D6DA3C" w:rsidR="00343B4C" w:rsidRDefault="00343B4C" w:rsidP="00343B4C">
    <w:pPr>
      <w:pStyle w:val="Footer"/>
      <w:jc w:val="right"/>
      <w:rPr>
        <w:noProof/>
      </w:rPr>
    </w:pPr>
    <w:r>
      <w:rPr>
        <w:noProof/>
      </w:rPr>
      <w:fldChar w:fldCharType="begin"/>
    </w:r>
    <w:r>
      <w:rPr>
        <w:noProof/>
      </w:rPr>
      <w:instrText xml:space="preserve"> DOCPROPERTY "DMSFooter"  \* MERGEFORMAT </w:instrText>
    </w:r>
    <w:r>
      <w:rPr>
        <w:noProof/>
      </w:rPr>
      <w:fldChar w:fldCharType="separate"/>
    </w:r>
    <w:r w:rsidR="006C2D4D">
      <w:rPr>
        <w:noProof/>
      </w:rPr>
      <w:t>WF-72916338-v3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E33CE" w14:textId="77777777" w:rsidR="00197526" w:rsidRDefault="00197526" w:rsidP="00F61DFD">
      <w:pPr>
        <w:spacing w:after="0"/>
      </w:pPr>
      <w:r>
        <w:separator/>
      </w:r>
    </w:p>
  </w:footnote>
  <w:footnote w:type="continuationSeparator" w:id="0">
    <w:p w14:paraId="1D0CEB48" w14:textId="77777777" w:rsidR="00197526" w:rsidRDefault="00197526" w:rsidP="00F61D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F3BE1" w14:textId="77777777" w:rsidR="00822A31" w:rsidRDefault="0082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67DFF" w14:textId="77777777" w:rsidR="00822A31" w:rsidRDefault="0082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0652B" w14:textId="77777777" w:rsidR="00822A31" w:rsidRDefault="0082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2"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7" w15:restartNumberingAfterBreak="0">
    <w:nsid w:val="46527F28"/>
    <w:multiLevelType w:val="hybridMultilevel"/>
    <w:tmpl w:val="686C8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9"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0"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1"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8641656">
    <w:abstractNumId w:val="3"/>
  </w:num>
  <w:num w:numId="2" w16cid:durableId="708065043">
    <w:abstractNumId w:val="4"/>
  </w:num>
  <w:num w:numId="3" w16cid:durableId="1489128476">
    <w:abstractNumId w:val="11"/>
  </w:num>
  <w:num w:numId="4" w16cid:durableId="1015418963">
    <w:abstractNumId w:val="0"/>
  </w:num>
  <w:num w:numId="5" w16cid:durableId="1719429865">
    <w:abstractNumId w:val="2"/>
  </w:num>
  <w:num w:numId="6" w16cid:durableId="2134057645">
    <w:abstractNumId w:val="5"/>
  </w:num>
  <w:num w:numId="7" w16cid:durableId="2053770277">
    <w:abstractNumId w:val="9"/>
  </w:num>
  <w:num w:numId="8" w16cid:durableId="1581208320">
    <w:abstractNumId w:val="1"/>
  </w:num>
  <w:num w:numId="9" w16cid:durableId="228536009">
    <w:abstractNumId w:val="6"/>
  </w:num>
  <w:num w:numId="10" w16cid:durableId="929434952">
    <w:abstractNumId w:val="10"/>
  </w:num>
  <w:num w:numId="11" w16cid:durableId="924454054">
    <w:abstractNumId w:val="8"/>
  </w:num>
  <w:num w:numId="12" w16cid:durableId="178966636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0A47"/>
    <w:rsid w:val="00001FB4"/>
    <w:rsid w:val="00003239"/>
    <w:rsid w:val="000033E0"/>
    <w:rsid w:val="00003741"/>
    <w:rsid w:val="00004A81"/>
    <w:rsid w:val="00005C97"/>
    <w:rsid w:val="00007B42"/>
    <w:rsid w:val="00007B86"/>
    <w:rsid w:val="0001100E"/>
    <w:rsid w:val="00011169"/>
    <w:rsid w:val="000118CE"/>
    <w:rsid w:val="000125F2"/>
    <w:rsid w:val="00012EDC"/>
    <w:rsid w:val="00013E16"/>
    <w:rsid w:val="000141E8"/>
    <w:rsid w:val="00015B43"/>
    <w:rsid w:val="00015CFC"/>
    <w:rsid w:val="00015D2E"/>
    <w:rsid w:val="00020243"/>
    <w:rsid w:val="00020322"/>
    <w:rsid w:val="00020843"/>
    <w:rsid w:val="000225BD"/>
    <w:rsid w:val="00022C23"/>
    <w:rsid w:val="000235F0"/>
    <w:rsid w:val="000240C5"/>
    <w:rsid w:val="000246F7"/>
    <w:rsid w:val="0002511B"/>
    <w:rsid w:val="00027521"/>
    <w:rsid w:val="00027A65"/>
    <w:rsid w:val="00031834"/>
    <w:rsid w:val="00031884"/>
    <w:rsid w:val="00032EDA"/>
    <w:rsid w:val="00033700"/>
    <w:rsid w:val="0003482F"/>
    <w:rsid w:val="00035228"/>
    <w:rsid w:val="00035E6E"/>
    <w:rsid w:val="00036863"/>
    <w:rsid w:val="00036F68"/>
    <w:rsid w:val="000371D8"/>
    <w:rsid w:val="00040773"/>
    <w:rsid w:val="00040D57"/>
    <w:rsid w:val="000415B2"/>
    <w:rsid w:val="00042CAC"/>
    <w:rsid w:val="0004742D"/>
    <w:rsid w:val="000478F4"/>
    <w:rsid w:val="00051EB8"/>
    <w:rsid w:val="00052276"/>
    <w:rsid w:val="00052F6F"/>
    <w:rsid w:val="00061802"/>
    <w:rsid w:val="00067D58"/>
    <w:rsid w:val="00070657"/>
    <w:rsid w:val="0007269C"/>
    <w:rsid w:val="000728FC"/>
    <w:rsid w:val="00076730"/>
    <w:rsid w:val="00077158"/>
    <w:rsid w:val="0008027E"/>
    <w:rsid w:val="00082F50"/>
    <w:rsid w:val="00084781"/>
    <w:rsid w:val="000858E3"/>
    <w:rsid w:val="00085E67"/>
    <w:rsid w:val="00087088"/>
    <w:rsid w:val="00087298"/>
    <w:rsid w:val="000901E0"/>
    <w:rsid w:val="0009072B"/>
    <w:rsid w:val="000922FB"/>
    <w:rsid w:val="0009263E"/>
    <w:rsid w:val="00093737"/>
    <w:rsid w:val="00093919"/>
    <w:rsid w:val="00093DB7"/>
    <w:rsid w:val="0009409E"/>
    <w:rsid w:val="00094C17"/>
    <w:rsid w:val="00095537"/>
    <w:rsid w:val="00095D5C"/>
    <w:rsid w:val="00096AA7"/>
    <w:rsid w:val="00097BDE"/>
    <w:rsid w:val="000A04DA"/>
    <w:rsid w:val="000A1EAF"/>
    <w:rsid w:val="000A29BB"/>
    <w:rsid w:val="000A36D1"/>
    <w:rsid w:val="000A3CF8"/>
    <w:rsid w:val="000A4D61"/>
    <w:rsid w:val="000A5A4D"/>
    <w:rsid w:val="000A6D4E"/>
    <w:rsid w:val="000A7104"/>
    <w:rsid w:val="000A7DAA"/>
    <w:rsid w:val="000B0852"/>
    <w:rsid w:val="000B1658"/>
    <w:rsid w:val="000B27C1"/>
    <w:rsid w:val="000B316D"/>
    <w:rsid w:val="000B3F1B"/>
    <w:rsid w:val="000B4255"/>
    <w:rsid w:val="000B6707"/>
    <w:rsid w:val="000B6C4D"/>
    <w:rsid w:val="000C0009"/>
    <w:rsid w:val="000C02DA"/>
    <w:rsid w:val="000C1D54"/>
    <w:rsid w:val="000C25CC"/>
    <w:rsid w:val="000C3740"/>
    <w:rsid w:val="000C47B2"/>
    <w:rsid w:val="000C68C4"/>
    <w:rsid w:val="000C73A7"/>
    <w:rsid w:val="000C7E08"/>
    <w:rsid w:val="000D0C89"/>
    <w:rsid w:val="000D4097"/>
    <w:rsid w:val="000D486C"/>
    <w:rsid w:val="000D4C58"/>
    <w:rsid w:val="000D69A7"/>
    <w:rsid w:val="000D6AD8"/>
    <w:rsid w:val="000E0508"/>
    <w:rsid w:val="000E350E"/>
    <w:rsid w:val="000E533F"/>
    <w:rsid w:val="000E5A24"/>
    <w:rsid w:val="000E6CAA"/>
    <w:rsid w:val="000F1788"/>
    <w:rsid w:val="000F2607"/>
    <w:rsid w:val="000F3027"/>
    <w:rsid w:val="000F3FDD"/>
    <w:rsid w:val="000F4414"/>
    <w:rsid w:val="000F556D"/>
    <w:rsid w:val="000F588A"/>
    <w:rsid w:val="000F61BE"/>
    <w:rsid w:val="000F64D3"/>
    <w:rsid w:val="000F65CE"/>
    <w:rsid w:val="000F7689"/>
    <w:rsid w:val="0010055C"/>
    <w:rsid w:val="00100D03"/>
    <w:rsid w:val="001046C3"/>
    <w:rsid w:val="001058D5"/>
    <w:rsid w:val="00106FF3"/>
    <w:rsid w:val="0011190E"/>
    <w:rsid w:val="001139DD"/>
    <w:rsid w:val="001174EA"/>
    <w:rsid w:val="001209CB"/>
    <w:rsid w:val="001224E1"/>
    <w:rsid w:val="00123112"/>
    <w:rsid w:val="00123B15"/>
    <w:rsid w:val="00126954"/>
    <w:rsid w:val="00126E88"/>
    <w:rsid w:val="0012778A"/>
    <w:rsid w:val="00127CDB"/>
    <w:rsid w:val="001300CC"/>
    <w:rsid w:val="00130C65"/>
    <w:rsid w:val="001312A0"/>
    <w:rsid w:val="00143C70"/>
    <w:rsid w:val="00144C36"/>
    <w:rsid w:val="00145496"/>
    <w:rsid w:val="00145BB0"/>
    <w:rsid w:val="001474A7"/>
    <w:rsid w:val="00147FA5"/>
    <w:rsid w:val="00150CDB"/>
    <w:rsid w:val="001515BE"/>
    <w:rsid w:val="001523DE"/>
    <w:rsid w:val="00154C8C"/>
    <w:rsid w:val="001569E8"/>
    <w:rsid w:val="00157092"/>
    <w:rsid w:val="00157C7B"/>
    <w:rsid w:val="0016119E"/>
    <w:rsid w:val="00162CDA"/>
    <w:rsid w:val="00162E60"/>
    <w:rsid w:val="00162EBC"/>
    <w:rsid w:val="001633DC"/>
    <w:rsid w:val="0016410F"/>
    <w:rsid w:val="001647D6"/>
    <w:rsid w:val="0016504B"/>
    <w:rsid w:val="00166C48"/>
    <w:rsid w:val="0016717E"/>
    <w:rsid w:val="00167990"/>
    <w:rsid w:val="0017102C"/>
    <w:rsid w:val="00172A96"/>
    <w:rsid w:val="00173681"/>
    <w:rsid w:val="001762B9"/>
    <w:rsid w:val="0017692E"/>
    <w:rsid w:val="00177752"/>
    <w:rsid w:val="001829A9"/>
    <w:rsid w:val="00183120"/>
    <w:rsid w:val="00183F6C"/>
    <w:rsid w:val="001849A3"/>
    <w:rsid w:val="00185B3C"/>
    <w:rsid w:val="00187CFE"/>
    <w:rsid w:val="001915FA"/>
    <w:rsid w:val="001928A8"/>
    <w:rsid w:val="001941BE"/>
    <w:rsid w:val="0019577A"/>
    <w:rsid w:val="00195803"/>
    <w:rsid w:val="00197526"/>
    <w:rsid w:val="00197800"/>
    <w:rsid w:val="001A4879"/>
    <w:rsid w:val="001A5A21"/>
    <w:rsid w:val="001A5FFD"/>
    <w:rsid w:val="001B0997"/>
    <w:rsid w:val="001B378B"/>
    <w:rsid w:val="001B3EAF"/>
    <w:rsid w:val="001B4A03"/>
    <w:rsid w:val="001B4DC4"/>
    <w:rsid w:val="001B58C4"/>
    <w:rsid w:val="001B5F9E"/>
    <w:rsid w:val="001B6FF5"/>
    <w:rsid w:val="001B7582"/>
    <w:rsid w:val="001C04CB"/>
    <w:rsid w:val="001C0D04"/>
    <w:rsid w:val="001C45DE"/>
    <w:rsid w:val="001C460C"/>
    <w:rsid w:val="001C4D8C"/>
    <w:rsid w:val="001C5507"/>
    <w:rsid w:val="001C5A5A"/>
    <w:rsid w:val="001C5E7B"/>
    <w:rsid w:val="001D1541"/>
    <w:rsid w:val="001D3771"/>
    <w:rsid w:val="001D4666"/>
    <w:rsid w:val="001D4E01"/>
    <w:rsid w:val="001D4EC4"/>
    <w:rsid w:val="001D537F"/>
    <w:rsid w:val="001D53D9"/>
    <w:rsid w:val="001D62A6"/>
    <w:rsid w:val="001E1DDA"/>
    <w:rsid w:val="001E3AD8"/>
    <w:rsid w:val="001E4B3D"/>
    <w:rsid w:val="001E4CFF"/>
    <w:rsid w:val="001E516D"/>
    <w:rsid w:val="001E62A7"/>
    <w:rsid w:val="001E6D2A"/>
    <w:rsid w:val="001F0009"/>
    <w:rsid w:val="001F4574"/>
    <w:rsid w:val="001F6B5F"/>
    <w:rsid w:val="002004B1"/>
    <w:rsid w:val="00200B15"/>
    <w:rsid w:val="00200EB2"/>
    <w:rsid w:val="0020109E"/>
    <w:rsid w:val="002019B9"/>
    <w:rsid w:val="00202253"/>
    <w:rsid w:val="00202325"/>
    <w:rsid w:val="002053BA"/>
    <w:rsid w:val="0020540D"/>
    <w:rsid w:val="00205E33"/>
    <w:rsid w:val="00210F28"/>
    <w:rsid w:val="002117DE"/>
    <w:rsid w:val="002121FB"/>
    <w:rsid w:val="0021228A"/>
    <w:rsid w:val="00214253"/>
    <w:rsid w:val="00214F1F"/>
    <w:rsid w:val="00215F30"/>
    <w:rsid w:val="00216E32"/>
    <w:rsid w:val="002211D7"/>
    <w:rsid w:val="002227C2"/>
    <w:rsid w:val="002235FF"/>
    <w:rsid w:val="00223CDC"/>
    <w:rsid w:val="002240F9"/>
    <w:rsid w:val="002241AD"/>
    <w:rsid w:val="00226138"/>
    <w:rsid w:val="00226515"/>
    <w:rsid w:val="00230B75"/>
    <w:rsid w:val="0023282B"/>
    <w:rsid w:val="00232A61"/>
    <w:rsid w:val="00233941"/>
    <w:rsid w:val="00233D55"/>
    <w:rsid w:val="0024034D"/>
    <w:rsid w:val="00241599"/>
    <w:rsid w:val="00242C2A"/>
    <w:rsid w:val="00244601"/>
    <w:rsid w:val="002456F6"/>
    <w:rsid w:val="00245EA6"/>
    <w:rsid w:val="00246389"/>
    <w:rsid w:val="00246547"/>
    <w:rsid w:val="002467A9"/>
    <w:rsid w:val="00246DE5"/>
    <w:rsid w:val="0025149D"/>
    <w:rsid w:val="002514D9"/>
    <w:rsid w:val="00253226"/>
    <w:rsid w:val="00253DEC"/>
    <w:rsid w:val="00253E64"/>
    <w:rsid w:val="00255721"/>
    <w:rsid w:val="00255C59"/>
    <w:rsid w:val="002576CE"/>
    <w:rsid w:val="00261167"/>
    <w:rsid w:val="00261A36"/>
    <w:rsid w:val="00262286"/>
    <w:rsid w:val="002656F5"/>
    <w:rsid w:val="00266C6E"/>
    <w:rsid w:val="002679B2"/>
    <w:rsid w:val="002715ED"/>
    <w:rsid w:val="002719A7"/>
    <w:rsid w:val="002727B3"/>
    <w:rsid w:val="00272886"/>
    <w:rsid w:val="00272CE7"/>
    <w:rsid w:val="00273A54"/>
    <w:rsid w:val="002742CB"/>
    <w:rsid w:val="0027440C"/>
    <w:rsid w:val="00274E50"/>
    <w:rsid w:val="00275A02"/>
    <w:rsid w:val="0027666B"/>
    <w:rsid w:val="002766E7"/>
    <w:rsid w:val="00281AEC"/>
    <w:rsid w:val="00285D2B"/>
    <w:rsid w:val="002904E9"/>
    <w:rsid w:val="002918E2"/>
    <w:rsid w:val="00292C6D"/>
    <w:rsid w:val="002936F3"/>
    <w:rsid w:val="002937E2"/>
    <w:rsid w:val="00294668"/>
    <w:rsid w:val="0029601D"/>
    <w:rsid w:val="002A034F"/>
    <w:rsid w:val="002A2CED"/>
    <w:rsid w:val="002A34BA"/>
    <w:rsid w:val="002A4BE8"/>
    <w:rsid w:val="002A4DCB"/>
    <w:rsid w:val="002A5141"/>
    <w:rsid w:val="002A60BF"/>
    <w:rsid w:val="002A6704"/>
    <w:rsid w:val="002A7A26"/>
    <w:rsid w:val="002B06B0"/>
    <w:rsid w:val="002B18D7"/>
    <w:rsid w:val="002B196F"/>
    <w:rsid w:val="002B2E1C"/>
    <w:rsid w:val="002B35CC"/>
    <w:rsid w:val="002B3BB6"/>
    <w:rsid w:val="002B647B"/>
    <w:rsid w:val="002B6871"/>
    <w:rsid w:val="002B79F4"/>
    <w:rsid w:val="002C0974"/>
    <w:rsid w:val="002C17C5"/>
    <w:rsid w:val="002C5058"/>
    <w:rsid w:val="002C7916"/>
    <w:rsid w:val="002D071F"/>
    <w:rsid w:val="002D0E3F"/>
    <w:rsid w:val="002D2B4E"/>
    <w:rsid w:val="002D482D"/>
    <w:rsid w:val="002D5996"/>
    <w:rsid w:val="002D59AF"/>
    <w:rsid w:val="002D6CBC"/>
    <w:rsid w:val="002D7D05"/>
    <w:rsid w:val="002E02AD"/>
    <w:rsid w:val="002E04C1"/>
    <w:rsid w:val="002E04C8"/>
    <w:rsid w:val="002E3189"/>
    <w:rsid w:val="002E50AC"/>
    <w:rsid w:val="002E5D7A"/>
    <w:rsid w:val="002E7932"/>
    <w:rsid w:val="002F1AAB"/>
    <w:rsid w:val="002F31C4"/>
    <w:rsid w:val="002F4E65"/>
    <w:rsid w:val="002F5875"/>
    <w:rsid w:val="002F6011"/>
    <w:rsid w:val="00301769"/>
    <w:rsid w:val="00301F97"/>
    <w:rsid w:val="003022D1"/>
    <w:rsid w:val="00302EBE"/>
    <w:rsid w:val="00303C5C"/>
    <w:rsid w:val="00304B41"/>
    <w:rsid w:val="00304F6F"/>
    <w:rsid w:val="003050FB"/>
    <w:rsid w:val="00305C00"/>
    <w:rsid w:val="003162B3"/>
    <w:rsid w:val="00316E15"/>
    <w:rsid w:val="003177AF"/>
    <w:rsid w:val="00317AA8"/>
    <w:rsid w:val="00320BFD"/>
    <w:rsid w:val="003217F9"/>
    <w:rsid w:val="00321A26"/>
    <w:rsid w:val="003230C9"/>
    <w:rsid w:val="003232B1"/>
    <w:rsid w:val="00323956"/>
    <w:rsid w:val="00324D37"/>
    <w:rsid w:val="0033124A"/>
    <w:rsid w:val="00331280"/>
    <w:rsid w:val="00331F98"/>
    <w:rsid w:val="00332389"/>
    <w:rsid w:val="00332426"/>
    <w:rsid w:val="00332745"/>
    <w:rsid w:val="003344F8"/>
    <w:rsid w:val="00334886"/>
    <w:rsid w:val="00336087"/>
    <w:rsid w:val="00337808"/>
    <w:rsid w:val="00337B20"/>
    <w:rsid w:val="00337E85"/>
    <w:rsid w:val="00340115"/>
    <w:rsid w:val="00341FF1"/>
    <w:rsid w:val="00342F7A"/>
    <w:rsid w:val="003438EC"/>
    <w:rsid w:val="00343B4C"/>
    <w:rsid w:val="00344BC0"/>
    <w:rsid w:val="00347236"/>
    <w:rsid w:val="003472F5"/>
    <w:rsid w:val="00347D90"/>
    <w:rsid w:val="00350F65"/>
    <w:rsid w:val="00351249"/>
    <w:rsid w:val="00354C91"/>
    <w:rsid w:val="00354FA6"/>
    <w:rsid w:val="00356AA9"/>
    <w:rsid w:val="0036175C"/>
    <w:rsid w:val="0036450A"/>
    <w:rsid w:val="003645EB"/>
    <w:rsid w:val="0036474C"/>
    <w:rsid w:val="00364A62"/>
    <w:rsid w:val="003654B1"/>
    <w:rsid w:val="00366244"/>
    <w:rsid w:val="003674A7"/>
    <w:rsid w:val="00370123"/>
    <w:rsid w:val="00370429"/>
    <w:rsid w:val="00372455"/>
    <w:rsid w:val="00372575"/>
    <w:rsid w:val="00376588"/>
    <w:rsid w:val="00376699"/>
    <w:rsid w:val="00377D5E"/>
    <w:rsid w:val="00377E1F"/>
    <w:rsid w:val="00382694"/>
    <w:rsid w:val="00382E5D"/>
    <w:rsid w:val="00383D0C"/>
    <w:rsid w:val="00386118"/>
    <w:rsid w:val="00386A83"/>
    <w:rsid w:val="00387519"/>
    <w:rsid w:val="003905B3"/>
    <w:rsid w:val="0039083E"/>
    <w:rsid w:val="003917E7"/>
    <w:rsid w:val="00392500"/>
    <w:rsid w:val="00392B08"/>
    <w:rsid w:val="00393105"/>
    <w:rsid w:val="00395570"/>
    <w:rsid w:val="00395754"/>
    <w:rsid w:val="003957C3"/>
    <w:rsid w:val="00395A3D"/>
    <w:rsid w:val="0039608A"/>
    <w:rsid w:val="00396D7D"/>
    <w:rsid w:val="003A24DF"/>
    <w:rsid w:val="003A36DC"/>
    <w:rsid w:val="003A43B8"/>
    <w:rsid w:val="003A53C2"/>
    <w:rsid w:val="003A5419"/>
    <w:rsid w:val="003A608F"/>
    <w:rsid w:val="003A6B52"/>
    <w:rsid w:val="003A7044"/>
    <w:rsid w:val="003A719C"/>
    <w:rsid w:val="003A7B2C"/>
    <w:rsid w:val="003B1799"/>
    <w:rsid w:val="003B2BB4"/>
    <w:rsid w:val="003B4271"/>
    <w:rsid w:val="003B4820"/>
    <w:rsid w:val="003B6239"/>
    <w:rsid w:val="003B6FAF"/>
    <w:rsid w:val="003C0D06"/>
    <w:rsid w:val="003C1931"/>
    <w:rsid w:val="003C1D48"/>
    <w:rsid w:val="003C1E68"/>
    <w:rsid w:val="003C2599"/>
    <w:rsid w:val="003C28F0"/>
    <w:rsid w:val="003C2DD7"/>
    <w:rsid w:val="003C2E5E"/>
    <w:rsid w:val="003C3945"/>
    <w:rsid w:val="003C3A56"/>
    <w:rsid w:val="003C57F4"/>
    <w:rsid w:val="003C5BB6"/>
    <w:rsid w:val="003C7756"/>
    <w:rsid w:val="003D282C"/>
    <w:rsid w:val="003D2FE5"/>
    <w:rsid w:val="003D5335"/>
    <w:rsid w:val="003D5C30"/>
    <w:rsid w:val="003E4478"/>
    <w:rsid w:val="003E44CE"/>
    <w:rsid w:val="003E56CF"/>
    <w:rsid w:val="003E5BC7"/>
    <w:rsid w:val="003E631C"/>
    <w:rsid w:val="003E65E0"/>
    <w:rsid w:val="003E67A4"/>
    <w:rsid w:val="003E722D"/>
    <w:rsid w:val="003F22E3"/>
    <w:rsid w:val="003F3498"/>
    <w:rsid w:val="003F7231"/>
    <w:rsid w:val="003F7BC8"/>
    <w:rsid w:val="003F7E0D"/>
    <w:rsid w:val="00400B68"/>
    <w:rsid w:val="004035E5"/>
    <w:rsid w:val="004054D9"/>
    <w:rsid w:val="00406854"/>
    <w:rsid w:val="00406A64"/>
    <w:rsid w:val="00407830"/>
    <w:rsid w:val="004103C0"/>
    <w:rsid w:val="004121D5"/>
    <w:rsid w:val="00413477"/>
    <w:rsid w:val="0041447A"/>
    <w:rsid w:val="00415475"/>
    <w:rsid w:val="00415BF5"/>
    <w:rsid w:val="00417612"/>
    <w:rsid w:val="00417EAA"/>
    <w:rsid w:val="00420AC2"/>
    <w:rsid w:val="00420D98"/>
    <w:rsid w:val="0042116C"/>
    <w:rsid w:val="004219B4"/>
    <w:rsid w:val="004231CE"/>
    <w:rsid w:val="00426E10"/>
    <w:rsid w:val="00430083"/>
    <w:rsid w:val="004303CD"/>
    <w:rsid w:val="00430B2B"/>
    <w:rsid w:val="00432BC2"/>
    <w:rsid w:val="004346A8"/>
    <w:rsid w:val="00434BB9"/>
    <w:rsid w:val="004404CC"/>
    <w:rsid w:val="004413B2"/>
    <w:rsid w:val="004438B2"/>
    <w:rsid w:val="00443BFF"/>
    <w:rsid w:val="00444158"/>
    <w:rsid w:val="00445AC3"/>
    <w:rsid w:val="00446727"/>
    <w:rsid w:val="00447FD3"/>
    <w:rsid w:val="00450053"/>
    <w:rsid w:val="0045038B"/>
    <w:rsid w:val="00453071"/>
    <w:rsid w:val="004538D5"/>
    <w:rsid w:val="00453983"/>
    <w:rsid w:val="004541F5"/>
    <w:rsid w:val="0045516B"/>
    <w:rsid w:val="00455F57"/>
    <w:rsid w:val="004656AE"/>
    <w:rsid w:val="00465F8B"/>
    <w:rsid w:val="004662CA"/>
    <w:rsid w:val="004676D6"/>
    <w:rsid w:val="004677C0"/>
    <w:rsid w:val="0046787F"/>
    <w:rsid w:val="00471698"/>
    <w:rsid w:val="00475480"/>
    <w:rsid w:val="004773DD"/>
    <w:rsid w:val="0048022D"/>
    <w:rsid w:val="00481DED"/>
    <w:rsid w:val="00483146"/>
    <w:rsid w:val="00483C39"/>
    <w:rsid w:val="004842DC"/>
    <w:rsid w:val="00485C20"/>
    <w:rsid w:val="00485E31"/>
    <w:rsid w:val="00487D0C"/>
    <w:rsid w:val="00492BC0"/>
    <w:rsid w:val="004956DB"/>
    <w:rsid w:val="00496A6B"/>
    <w:rsid w:val="004972CA"/>
    <w:rsid w:val="004A20F6"/>
    <w:rsid w:val="004A703C"/>
    <w:rsid w:val="004A7353"/>
    <w:rsid w:val="004A7ED1"/>
    <w:rsid w:val="004B077D"/>
    <w:rsid w:val="004B126D"/>
    <w:rsid w:val="004B1BAD"/>
    <w:rsid w:val="004B47E1"/>
    <w:rsid w:val="004B4BBC"/>
    <w:rsid w:val="004B7154"/>
    <w:rsid w:val="004C0CAD"/>
    <w:rsid w:val="004C1D5B"/>
    <w:rsid w:val="004C1E43"/>
    <w:rsid w:val="004C2AA7"/>
    <w:rsid w:val="004C3A2C"/>
    <w:rsid w:val="004C3D75"/>
    <w:rsid w:val="004C4F2D"/>
    <w:rsid w:val="004C58CE"/>
    <w:rsid w:val="004C6BA9"/>
    <w:rsid w:val="004C70C6"/>
    <w:rsid w:val="004D0DAE"/>
    <w:rsid w:val="004D1420"/>
    <w:rsid w:val="004D1AB6"/>
    <w:rsid w:val="004D1B32"/>
    <w:rsid w:val="004D1E2F"/>
    <w:rsid w:val="004D2051"/>
    <w:rsid w:val="004D21F8"/>
    <w:rsid w:val="004D22B6"/>
    <w:rsid w:val="004D5260"/>
    <w:rsid w:val="004D6189"/>
    <w:rsid w:val="004D6380"/>
    <w:rsid w:val="004D6ADA"/>
    <w:rsid w:val="004E0843"/>
    <w:rsid w:val="004E24DE"/>
    <w:rsid w:val="004E6A55"/>
    <w:rsid w:val="004E6ECB"/>
    <w:rsid w:val="004E7A53"/>
    <w:rsid w:val="004E7C0E"/>
    <w:rsid w:val="004E7CA4"/>
    <w:rsid w:val="004F0BFD"/>
    <w:rsid w:val="004F1D25"/>
    <w:rsid w:val="004F2429"/>
    <w:rsid w:val="004F2A08"/>
    <w:rsid w:val="004F3035"/>
    <w:rsid w:val="004F34D0"/>
    <w:rsid w:val="004F3DE4"/>
    <w:rsid w:val="004F5C0E"/>
    <w:rsid w:val="004F677D"/>
    <w:rsid w:val="005012FA"/>
    <w:rsid w:val="00501BD5"/>
    <w:rsid w:val="00502F5B"/>
    <w:rsid w:val="0050379C"/>
    <w:rsid w:val="0050385C"/>
    <w:rsid w:val="00504325"/>
    <w:rsid w:val="00506266"/>
    <w:rsid w:val="0050640D"/>
    <w:rsid w:val="005111B2"/>
    <w:rsid w:val="005118F9"/>
    <w:rsid w:val="00511D36"/>
    <w:rsid w:val="00515D95"/>
    <w:rsid w:val="00520D99"/>
    <w:rsid w:val="00521F83"/>
    <w:rsid w:val="005229A8"/>
    <w:rsid w:val="005232BC"/>
    <w:rsid w:val="005251D9"/>
    <w:rsid w:val="005259CF"/>
    <w:rsid w:val="00525AF2"/>
    <w:rsid w:val="00526767"/>
    <w:rsid w:val="00527AA3"/>
    <w:rsid w:val="00527E3F"/>
    <w:rsid w:val="00531E4A"/>
    <w:rsid w:val="00534EAF"/>
    <w:rsid w:val="005358D3"/>
    <w:rsid w:val="005363FD"/>
    <w:rsid w:val="00536A04"/>
    <w:rsid w:val="00536D70"/>
    <w:rsid w:val="005406C1"/>
    <w:rsid w:val="00540B40"/>
    <w:rsid w:val="005422E7"/>
    <w:rsid w:val="00542CD9"/>
    <w:rsid w:val="00546D13"/>
    <w:rsid w:val="005504FA"/>
    <w:rsid w:val="00550D3E"/>
    <w:rsid w:val="005521D8"/>
    <w:rsid w:val="005530D2"/>
    <w:rsid w:val="0055371D"/>
    <w:rsid w:val="00556520"/>
    <w:rsid w:val="00556777"/>
    <w:rsid w:val="00557B02"/>
    <w:rsid w:val="00560D51"/>
    <w:rsid w:val="00561831"/>
    <w:rsid w:val="00561DEF"/>
    <w:rsid w:val="00561ED6"/>
    <w:rsid w:val="00562AF2"/>
    <w:rsid w:val="005643E1"/>
    <w:rsid w:val="00564666"/>
    <w:rsid w:val="00565E56"/>
    <w:rsid w:val="00567142"/>
    <w:rsid w:val="00567DDE"/>
    <w:rsid w:val="00567E0C"/>
    <w:rsid w:val="0057049B"/>
    <w:rsid w:val="00574AFF"/>
    <w:rsid w:val="00575968"/>
    <w:rsid w:val="0058216F"/>
    <w:rsid w:val="005823C5"/>
    <w:rsid w:val="00584DF8"/>
    <w:rsid w:val="00586119"/>
    <w:rsid w:val="0058682E"/>
    <w:rsid w:val="00586AFE"/>
    <w:rsid w:val="00586FE1"/>
    <w:rsid w:val="00590C17"/>
    <w:rsid w:val="00591051"/>
    <w:rsid w:val="005944A2"/>
    <w:rsid w:val="00594EA1"/>
    <w:rsid w:val="00594F37"/>
    <w:rsid w:val="005957FB"/>
    <w:rsid w:val="005A0CB8"/>
    <w:rsid w:val="005B0021"/>
    <w:rsid w:val="005B0270"/>
    <w:rsid w:val="005B07BB"/>
    <w:rsid w:val="005B0879"/>
    <w:rsid w:val="005B0C1D"/>
    <w:rsid w:val="005B5EC0"/>
    <w:rsid w:val="005B7AAC"/>
    <w:rsid w:val="005C3877"/>
    <w:rsid w:val="005C45B3"/>
    <w:rsid w:val="005C4968"/>
    <w:rsid w:val="005C6560"/>
    <w:rsid w:val="005D1C52"/>
    <w:rsid w:val="005D23A3"/>
    <w:rsid w:val="005D5013"/>
    <w:rsid w:val="005D53E0"/>
    <w:rsid w:val="005D562E"/>
    <w:rsid w:val="005D5957"/>
    <w:rsid w:val="005D7BFC"/>
    <w:rsid w:val="005E0488"/>
    <w:rsid w:val="005E1943"/>
    <w:rsid w:val="005E4002"/>
    <w:rsid w:val="005E5F4A"/>
    <w:rsid w:val="005E6B95"/>
    <w:rsid w:val="005E7ABC"/>
    <w:rsid w:val="005F0CF7"/>
    <w:rsid w:val="005F1849"/>
    <w:rsid w:val="005F1C32"/>
    <w:rsid w:val="005F389C"/>
    <w:rsid w:val="005F48C6"/>
    <w:rsid w:val="00601E99"/>
    <w:rsid w:val="006020B1"/>
    <w:rsid w:val="00602538"/>
    <w:rsid w:val="0060289C"/>
    <w:rsid w:val="00603AA0"/>
    <w:rsid w:val="00604860"/>
    <w:rsid w:val="006060F6"/>
    <w:rsid w:val="00606518"/>
    <w:rsid w:val="00607349"/>
    <w:rsid w:val="00607A45"/>
    <w:rsid w:val="00610217"/>
    <w:rsid w:val="00611128"/>
    <w:rsid w:val="006113F7"/>
    <w:rsid w:val="00613D40"/>
    <w:rsid w:val="00615C58"/>
    <w:rsid w:val="00616462"/>
    <w:rsid w:val="00617635"/>
    <w:rsid w:val="00617B54"/>
    <w:rsid w:val="00622F29"/>
    <w:rsid w:val="0062318F"/>
    <w:rsid w:val="006241A6"/>
    <w:rsid w:val="00626BC5"/>
    <w:rsid w:val="00630BBA"/>
    <w:rsid w:val="00631518"/>
    <w:rsid w:val="00633C7E"/>
    <w:rsid w:val="00633CE8"/>
    <w:rsid w:val="00634472"/>
    <w:rsid w:val="0063565E"/>
    <w:rsid w:val="00636BBD"/>
    <w:rsid w:val="00637DED"/>
    <w:rsid w:val="00640567"/>
    <w:rsid w:val="00640CE3"/>
    <w:rsid w:val="00642FBF"/>
    <w:rsid w:val="00643591"/>
    <w:rsid w:val="00643A50"/>
    <w:rsid w:val="00646503"/>
    <w:rsid w:val="00646D10"/>
    <w:rsid w:val="00646E24"/>
    <w:rsid w:val="00650BB9"/>
    <w:rsid w:val="006511C1"/>
    <w:rsid w:val="006544BB"/>
    <w:rsid w:val="006607C7"/>
    <w:rsid w:val="00660F64"/>
    <w:rsid w:val="00661B6C"/>
    <w:rsid w:val="00662066"/>
    <w:rsid w:val="00667EF2"/>
    <w:rsid w:val="006707B1"/>
    <w:rsid w:val="006718A7"/>
    <w:rsid w:val="00673139"/>
    <w:rsid w:val="0067451D"/>
    <w:rsid w:val="00674690"/>
    <w:rsid w:val="0067492D"/>
    <w:rsid w:val="00674F19"/>
    <w:rsid w:val="00676234"/>
    <w:rsid w:val="00676F78"/>
    <w:rsid w:val="00676FF4"/>
    <w:rsid w:val="00680823"/>
    <w:rsid w:val="00680F6C"/>
    <w:rsid w:val="00681211"/>
    <w:rsid w:val="00683D68"/>
    <w:rsid w:val="00684762"/>
    <w:rsid w:val="00684976"/>
    <w:rsid w:val="00685FDD"/>
    <w:rsid w:val="0068624F"/>
    <w:rsid w:val="0068658D"/>
    <w:rsid w:val="00691589"/>
    <w:rsid w:val="006960DC"/>
    <w:rsid w:val="00696C0B"/>
    <w:rsid w:val="00697A07"/>
    <w:rsid w:val="006A0318"/>
    <w:rsid w:val="006A0A84"/>
    <w:rsid w:val="006A3BA8"/>
    <w:rsid w:val="006A4865"/>
    <w:rsid w:val="006A5981"/>
    <w:rsid w:val="006A5E88"/>
    <w:rsid w:val="006B1463"/>
    <w:rsid w:val="006B17D8"/>
    <w:rsid w:val="006B1B27"/>
    <w:rsid w:val="006B2F29"/>
    <w:rsid w:val="006B342E"/>
    <w:rsid w:val="006B3DE3"/>
    <w:rsid w:val="006B4E2C"/>
    <w:rsid w:val="006B6DE5"/>
    <w:rsid w:val="006B78E4"/>
    <w:rsid w:val="006C0DBA"/>
    <w:rsid w:val="006C2D4D"/>
    <w:rsid w:val="006C553E"/>
    <w:rsid w:val="006C704C"/>
    <w:rsid w:val="006C721A"/>
    <w:rsid w:val="006D034C"/>
    <w:rsid w:val="006D22A1"/>
    <w:rsid w:val="006D242E"/>
    <w:rsid w:val="006D44D4"/>
    <w:rsid w:val="006D45E5"/>
    <w:rsid w:val="006D6AB6"/>
    <w:rsid w:val="006D7271"/>
    <w:rsid w:val="006D74C7"/>
    <w:rsid w:val="006E0606"/>
    <w:rsid w:val="006E2504"/>
    <w:rsid w:val="006E335A"/>
    <w:rsid w:val="006E411A"/>
    <w:rsid w:val="006E5AFD"/>
    <w:rsid w:val="006E5B70"/>
    <w:rsid w:val="006E64F0"/>
    <w:rsid w:val="006E7C7D"/>
    <w:rsid w:val="006F00AC"/>
    <w:rsid w:val="006F0319"/>
    <w:rsid w:val="006F26B1"/>
    <w:rsid w:val="006F4FD1"/>
    <w:rsid w:val="006F6833"/>
    <w:rsid w:val="007027BC"/>
    <w:rsid w:val="007040A0"/>
    <w:rsid w:val="007058A9"/>
    <w:rsid w:val="007066A1"/>
    <w:rsid w:val="00706942"/>
    <w:rsid w:val="00707B09"/>
    <w:rsid w:val="00712092"/>
    <w:rsid w:val="00712CCF"/>
    <w:rsid w:val="00714521"/>
    <w:rsid w:val="00715590"/>
    <w:rsid w:val="00715E70"/>
    <w:rsid w:val="007171DF"/>
    <w:rsid w:val="00717DA0"/>
    <w:rsid w:val="0072016D"/>
    <w:rsid w:val="007206C4"/>
    <w:rsid w:val="00720807"/>
    <w:rsid w:val="0072528E"/>
    <w:rsid w:val="007270C9"/>
    <w:rsid w:val="00730068"/>
    <w:rsid w:val="007302C3"/>
    <w:rsid w:val="00730C04"/>
    <w:rsid w:val="00731A68"/>
    <w:rsid w:val="0073317C"/>
    <w:rsid w:val="00733326"/>
    <w:rsid w:val="00733D30"/>
    <w:rsid w:val="00734216"/>
    <w:rsid w:val="00734C8C"/>
    <w:rsid w:val="00735DDF"/>
    <w:rsid w:val="00736FC5"/>
    <w:rsid w:val="00740568"/>
    <w:rsid w:val="00740B12"/>
    <w:rsid w:val="0074131B"/>
    <w:rsid w:val="007420A4"/>
    <w:rsid w:val="00743ACD"/>
    <w:rsid w:val="007440A8"/>
    <w:rsid w:val="0074433B"/>
    <w:rsid w:val="00745EEA"/>
    <w:rsid w:val="007475AF"/>
    <w:rsid w:val="0075054C"/>
    <w:rsid w:val="00750889"/>
    <w:rsid w:val="0075219F"/>
    <w:rsid w:val="007525DF"/>
    <w:rsid w:val="007528DA"/>
    <w:rsid w:val="007546A8"/>
    <w:rsid w:val="00755502"/>
    <w:rsid w:val="007566DF"/>
    <w:rsid w:val="00757A73"/>
    <w:rsid w:val="00757FD5"/>
    <w:rsid w:val="00761012"/>
    <w:rsid w:val="00761509"/>
    <w:rsid w:val="00762400"/>
    <w:rsid w:val="00762B45"/>
    <w:rsid w:val="007668CA"/>
    <w:rsid w:val="00770253"/>
    <w:rsid w:val="00770F0D"/>
    <w:rsid w:val="00771F53"/>
    <w:rsid w:val="00772020"/>
    <w:rsid w:val="00772661"/>
    <w:rsid w:val="007731F8"/>
    <w:rsid w:val="0077328B"/>
    <w:rsid w:val="00774FBE"/>
    <w:rsid w:val="00777C9A"/>
    <w:rsid w:val="007811DB"/>
    <w:rsid w:val="00782EC9"/>
    <w:rsid w:val="00783059"/>
    <w:rsid w:val="007840BB"/>
    <w:rsid w:val="007850BA"/>
    <w:rsid w:val="00787F7E"/>
    <w:rsid w:val="00791638"/>
    <w:rsid w:val="007929A5"/>
    <w:rsid w:val="007944D0"/>
    <w:rsid w:val="00794D48"/>
    <w:rsid w:val="00795C66"/>
    <w:rsid w:val="007962F6"/>
    <w:rsid w:val="007974AF"/>
    <w:rsid w:val="00797A61"/>
    <w:rsid w:val="007A083E"/>
    <w:rsid w:val="007A0E01"/>
    <w:rsid w:val="007A176B"/>
    <w:rsid w:val="007A1873"/>
    <w:rsid w:val="007A19AF"/>
    <w:rsid w:val="007A51EB"/>
    <w:rsid w:val="007A51ED"/>
    <w:rsid w:val="007A5444"/>
    <w:rsid w:val="007A6019"/>
    <w:rsid w:val="007A69FA"/>
    <w:rsid w:val="007A7A7E"/>
    <w:rsid w:val="007B5500"/>
    <w:rsid w:val="007B59AB"/>
    <w:rsid w:val="007C01F7"/>
    <w:rsid w:val="007C1D06"/>
    <w:rsid w:val="007C1DC9"/>
    <w:rsid w:val="007C247A"/>
    <w:rsid w:val="007C3AD8"/>
    <w:rsid w:val="007C3F0A"/>
    <w:rsid w:val="007C63B5"/>
    <w:rsid w:val="007C7E4D"/>
    <w:rsid w:val="007D2D42"/>
    <w:rsid w:val="007D3547"/>
    <w:rsid w:val="007D3F4A"/>
    <w:rsid w:val="007D4BF5"/>
    <w:rsid w:val="007D5599"/>
    <w:rsid w:val="007D6871"/>
    <w:rsid w:val="007D6EAB"/>
    <w:rsid w:val="007E123B"/>
    <w:rsid w:val="007E1397"/>
    <w:rsid w:val="007E3573"/>
    <w:rsid w:val="007E478F"/>
    <w:rsid w:val="007E5C7E"/>
    <w:rsid w:val="007E6BC8"/>
    <w:rsid w:val="007E7F8E"/>
    <w:rsid w:val="007F35DB"/>
    <w:rsid w:val="007F3B7E"/>
    <w:rsid w:val="007F3BE3"/>
    <w:rsid w:val="007F4DAC"/>
    <w:rsid w:val="007F52EA"/>
    <w:rsid w:val="007F59ED"/>
    <w:rsid w:val="007F6498"/>
    <w:rsid w:val="007F6AD9"/>
    <w:rsid w:val="007F7C33"/>
    <w:rsid w:val="007F7EA5"/>
    <w:rsid w:val="007F7F73"/>
    <w:rsid w:val="00800E89"/>
    <w:rsid w:val="00800FC3"/>
    <w:rsid w:val="008013D5"/>
    <w:rsid w:val="00801687"/>
    <w:rsid w:val="0080315B"/>
    <w:rsid w:val="00803784"/>
    <w:rsid w:val="00803A0B"/>
    <w:rsid w:val="00807333"/>
    <w:rsid w:val="00807F87"/>
    <w:rsid w:val="00811238"/>
    <w:rsid w:val="00812A60"/>
    <w:rsid w:val="00812F56"/>
    <w:rsid w:val="008202A6"/>
    <w:rsid w:val="00822A31"/>
    <w:rsid w:val="0082368C"/>
    <w:rsid w:val="00823CDD"/>
    <w:rsid w:val="00823EA0"/>
    <w:rsid w:val="0082534F"/>
    <w:rsid w:val="00825396"/>
    <w:rsid w:val="00827F01"/>
    <w:rsid w:val="0083047E"/>
    <w:rsid w:val="00831E77"/>
    <w:rsid w:val="00832291"/>
    <w:rsid w:val="00832633"/>
    <w:rsid w:val="00832ED6"/>
    <w:rsid w:val="00833120"/>
    <w:rsid w:val="00833728"/>
    <w:rsid w:val="008348B6"/>
    <w:rsid w:val="00834B21"/>
    <w:rsid w:val="00834EEA"/>
    <w:rsid w:val="00837549"/>
    <w:rsid w:val="00837626"/>
    <w:rsid w:val="00837C10"/>
    <w:rsid w:val="008405EA"/>
    <w:rsid w:val="0084318E"/>
    <w:rsid w:val="008434B3"/>
    <w:rsid w:val="00844D99"/>
    <w:rsid w:val="00850371"/>
    <w:rsid w:val="00851F0C"/>
    <w:rsid w:val="008544C3"/>
    <w:rsid w:val="00854DBD"/>
    <w:rsid w:val="00854E7D"/>
    <w:rsid w:val="00855B97"/>
    <w:rsid w:val="00856594"/>
    <w:rsid w:val="00856FA7"/>
    <w:rsid w:val="00862EED"/>
    <w:rsid w:val="008637B0"/>
    <w:rsid w:val="0086416B"/>
    <w:rsid w:val="00864CAE"/>
    <w:rsid w:val="008654ED"/>
    <w:rsid w:val="00866AFA"/>
    <w:rsid w:val="00866E98"/>
    <w:rsid w:val="008710B8"/>
    <w:rsid w:val="00871152"/>
    <w:rsid w:val="008713C3"/>
    <w:rsid w:val="008725A4"/>
    <w:rsid w:val="00872634"/>
    <w:rsid w:val="0087592F"/>
    <w:rsid w:val="0087680C"/>
    <w:rsid w:val="008831BA"/>
    <w:rsid w:val="00883B16"/>
    <w:rsid w:val="00884602"/>
    <w:rsid w:val="00884D22"/>
    <w:rsid w:val="0088690C"/>
    <w:rsid w:val="008876EC"/>
    <w:rsid w:val="0089183E"/>
    <w:rsid w:val="00895A0D"/>
    <w:rsid w:val="008962A2"/>
    <w:rsid w:val="00897EC5"/>
    <w:rsid w:val="008A10B1"/>
    <w:rsid w:val="008A2563"/>
    <w:rsid w:val="008A486A"/>
    <w:rsid w:val="008A49DC"/>
    <w:rsid w:val="008A4A73"/>
    <w:rsid w:val="008A57C4"/>
    <w:rsid w:val="008A5899"/>
    <w:rsid w:val="008A6B53"/>
    <w:rsid w:val="008B06DE"/>
    <w:rsid w:val="008B091C"/>
    <w:rsid w:val="008B16C5"/>
    <w:rsid w:val="008B5074"/>
    <w:rsid w:val="008B5F6A"/>
    <w:rsid w:val="008C15CC"/>
    <w:rsid w:val="008C1659"/>
    <w:rsid w:val="008C3E04"/>
    <w:rsid w:val="008C5E2A"/>
    <w:rsid w:val="008C5EC0"/>
    <w:rsid w:val="008D04AE"/>
    <w:rsid w:val="008D0D7C"/>
    <w:rsid w:val="008D1792"/>
    <w:rsid w:val="008D2DC4"/>
    <w:rsid w:val="008D3185"/>
    <w:rsid w:val="008D3C20"/>
    <w:rsid w:val="008D4622"/>
    <w:rsid w:val="008D702F"/>
    <w:rsid w:val="008D71CE"/>
    <w:rsid w:val="008E24E8"/>
    <w:rsid w:val="008E2E0F"/>
    <w:rsid w:val="008E352C"/>
    <w:rsid w:val="008E3794"/>
    <w:rsid w:val="008E4996"/>
    <w:rsid w:val="008E5FB7"/>
    <w:rsid w:val="008E6C08"/>
    <w:rsid w:val="008E7C9F"/>
    <w:rsid w:val="008F1358"/>
    <w:rsid w:val="008F13D8"/>
    <w:rsid w:val="008F3039"/>
    <w:rsid w:val="008F779C"/>
    <w:rsid w:val="009018A6"/>
    <w:rsid w:val="00901EE8"/>
    <w:rsid w:val="00903344"/>
    <w:rsid w:val="00904161"/>
    <w:rsid w:val="00907439"/>
    <w:rsid w:val="00911C46"/>
    <w:rsid w:val="00911D5F"/>
    <w:rsid w:val="00912BBD"/>
    <w:rsid w:val="009135D0"/>
    <w:rsid w:val="0091659A"/>
    <w:rsid w:val="009175F8"/>
    <w:rsid w:val="00917F9B"/>
    <w:rsid w:val="00922AB0"/>
    <w:rsid w:val="00923A4F"/>
    <w:rsid w:val="00923E3F"/>
    <w:rsid w:val="00925867"/>
    <w:rsid w:val="00925B49"/>
    <w:rsid w:val="00925C1F"/>
    <w:rsid w:val="009268CB"/>
    <w:rsid w:val="009277D6"/>
    <w:rsid w:val="00930FCE"/>
    <w:rsid w:val="00931F34"/>
    <w:rsid w:val="00932051"/>
    <w:rsid w:val="00934876"/>
    <w:rsid w:val="00934C3A"/>
    <w:rsid w:val="009374AC"/>
    <w:rsid w:val="00937EF7"/>
    <w:rsid w:val="009416BC"/>
    <w:rsid w:val="00943125"/>
    <w:rsid w:val="00944846"/>
    <w:rsid w:val="00944973"/>
    <w:rsid w:val="00945A39"/>
    <w:rsid w:val="00946A55"/>
    <w:rsid w:val="00946F41"/>
    <w:rsid w:val="00947A03"/>
    <w:rsid w:val="009517C8"/>
    <w:rsid w:val="009521E4"/>
    <w:rsid w:val="00952354"/>
    <w:rsid w:val="00952899"/>
    <w:rsid w:val="00954659"/>
    <w:rsid w:val="00954B30"/>
    <w:rsid w:val="0095571C"/>
    <w:rsid w:val="009559EB"/>
    <w:rsid w:val="00956607"/>
    <w:rsid w:val="0095668D"/>
    <w:rsid w:val="009604FB"/>
    <w:rsid w:val="009614FA"/>
    <w:rsid w:val="00965950"/>
    <w:rsid w:val="0096614E"/>
    <w:rsid w:val="009662C1"/>
    <w:rsid w:val="00967B3C"/>
    <w:rsid w:val="00967B3E"/>
    <w:rsid w:val="00967CFE"/>
    <w:rsid w:val="009723C7"/>
    <w:rsid w:val="00972ABA"/>
    <w:rsid w:val="00972D07"/>
    <w:rsid w:val="0097372A"/>
    <w:rsid w:val="00976154"/>
    <w:rsid w:val="0097732F"/>
    <w:rsid w:val="00982232"/>
    <w:rsid w:val="00982779"/>
    <w:rsid w:val="00985304"/>
    <w:rsid w:val="009916B5"/>
    <w:rsid w:val="00991C14"/>
    <w:rsid w:val="00991E6E"/>
    <w:rsid w:val="00991FA4"/>
    <w:rsid w:val="009935FE"/>
    <w:rsid w:val="009944AD"/>
    <w:rsid w:val="00994D50"/>
    <w:rsid w:val="00995245"/>
    <w:rsid w:val="00995A7A"/>
    <w:rsid w:val="00995A87"/>
    <w:rsid w:val="00997593"/>
    <w:rsid w:val="00997E5F"/>
    <w:rsid w:val="009A27A5"/>
    <w:rsid w:val="009A5E33"/>
    <w:rsid w:val="009B0FA1"/>
    <w:rsid w:val="009B1010"/>
    <w:rsid w:val="009B2C44"/>
    <w:rsid w:val="009B6997"/>
    <w:rsid w:val="009B737E"/>
    <w:rsid w:val="009C0084"/>
    <w:rsid w:val="009C1281"/>
    <w:rsid w:val="009C19E6"/>
    <w:rsid w:val="009C1EF4"/>
    <w:rsid w:val="009C2090"/>
    <w:rsid w:val="009C372D"/>
    <w:rsid w:val="009C4918"/>
    <w:rsid w:val="009C556E"/>
    <w:rsid w:val="009D0583"/>
    <w:rsid w:val="009D12EB"/>
    <w:rsid w:val="009D4E4B"/>
    <w:rsid w:val="009D7206"/>
    <w:rsid w:val="009D7468"/>
    <w:rsid w:val="009D74CD"/>
    <w:rsid w:val="009D78B0"/>
    <w:rsid w:val="009D7BA7"/>
    <w:rsid w:val="009E0E89"/>
    <w:rsid w:val="009E3BBC"/>
    <w:rsid w:val="009E4691"/>
    <w:rsid w:val="009E5382"/>
    <w:rsid w:val="009E78B3"/>
    <w:rsid w:val="009F2CA3"/>
    <w:rsid w:val="009F2E40"/>
    <w:rsid w:val="009F3185"/>
    <w:rsid w:val="009F330D"/>
    <w:rsid w:val="009F3725"/>
    <w:rsid w:val="009F3D79"/>
    <w:rsid w:val="009F49B4"/>
    <w:rsid w:val="009F61CE"/>
    <w:rsid w:val="009F7E99"/>
    <w:rsid w:val="00A0079D"/>
    <w:rsid w:val="00A00E09"/>
    <w:rsid w:val="00A01C6E"/>
    <w:rsid w:val="00A02167"/>
    <w:rsid w:val="00A029B6"/>
    <w:rsid w:val="00A03115"/>
    <w:rsid w:val="00A034E1"/>
    <w:rsid w:val="00A069C7"/>
    <w:rsid w:val="00A113ED"/>
    <w:rsid w:val="00A127BA"/>
    <w:rsid w:val="00A14F10"/>
    <w:rsid w:val="00A15852"/>
    <w:rsid w:val="00A15B4C"/>
    <w:rsid w:val="00A200AC"/>
    <w:rsid w:val="00A2030F"/>
    <w:rsid w:val="00A22833"/>
    <w:rsid w:val="00A229F7"/>
    <w:rsid w:val="00A23903"/>
    <w:rsid w:val="00A314C6"/>
    <w:rsid w:val="00A323D5"/>
    <w:rsid w:val="00A330AA"/>
    <w:rsid w:val="00A335C0"/>
    <w:rsid w:val="00A33FDF"/>
    <w:rsid w:val="00A34057"/>
    <w:rsid w:val="00A34B2A"/>
    <w:rsid w:val="00A355FA"/>
    <w:rsid w:val="00A36085"/>
    <w:rsid w:val="00A3699C"/>
    <w:rsid w:val="00A4153A"/>
    <w:rsid w:val="00A4172A"/>
    <w:rsid w:val="00A4281B"/>
    <w:rsid w:val="00A42B62"/>
    <w:rsid w:val="00A52472"/>
    <w:rsid w:val="00A52BCA"/>
    <w:rsid w:val="00A532B5"/>
    <w:rsid w:val="00A53C8C"/>
    <w:rsid w:val="00A53D8D"/>
    <w:rsid w:val="00A54457"/>
    <w:rsid w:val="00A54A2E"/>
    <w:rsid w:val="00A54CB5"/>
    <w:rsid w:val="00A56C90"/>
    <w:rsid w:val="00A6119D"/>
    <w:rsid w:val="00A615FC"/>
    <w:rsid w:val="00A654F1"/>
    <w:rsid w:val="00A66C39"/>
    <w:rsid w:val="00A71293"/>
    <w:rsid w:val="00A72BF1"/>
    <w:rsid w:val="00A75F18"/>
    <w:rsid w:val="00A7796C"/>
    <w:rsid w:val="00A904DD"/>
    <w:rsid w:val="00A9175F"/>
    <w:rsid w:val="00A952BE"/>
    <w:rsid w:val="00A95B06"/>
    <w:rsid w:val="00A96CFE"/>
    <w:rsid w:val="00A97741"/>
    <w:rsid w:val="00AA4104"/>
    <w:rsid w:val="00AA4689"/>
    <w:rsid w:val="00AA56E4"/>
    <w:rsid w:val="00AA5C97"/>
    <w:rsid w:val="00AA600D"/>
    <w:rsid w:val="00AB365E"/>
    <w:rsid w:val="00AB399D"/>
    <w:rsid w:val="00AB523A"/>
    <w:rsid w:val="00AB54F5"/>
    <w:rsid w:val="00AB63AC"/>
    <w:rsid w:val="00AC1735"/>
    <w:rsid w:val="00AC2491"/>
    <w:rsid w:val="00AC27AC"/>
    <w:rsid w:val="00AC2810"/>
    <w:rsid w:val="00AC29F2"/>
    <w:rsid w:val="00AC6941"/>
    <w:rsid w:val="00AC7901"/>
    <w:rsid w:val="00AD073B"/>
    <w:rsid w:val="00AD09F7"/>
    <w:rsid w:val="00AD15DA"/>
    <w:rsid w:val="00AD233D"/>
    <w:rsid w:val="00AD2C6D"/>
    <w:rsid w:val="00AD39B0"/>
    <w:rsid w:val="00AD409A"/>
    <w:rsid w:val="00AE0A48"/>
    <w:rsid w:val="00AE15B2"/>
    <w:rsid w:val="00AE15B6"/>
    <w:rsid w:val="00AE2352"/>
    <w:rsid w:val="00AE2EA4"/>
    <w:rsid w:val="00AE6547"/>
    <w:rsid w:val="00AE6ACC"/>
    <w:rsid w:val="00AF0A95"/>
    <w:rsid w:val="00AF1227"/>
    <w:rsid w:val="00AF1DD3"/>
    <w:rsid w:val="00AF2BA5"/>
    <w:rsid w:val="00AF3D06"/>
    <w:rsid w:val="00AF4B07"/>
    <w:rsid w:val="00B029D5"/>
    <w:rsid w:val="00B119B3"/>
    <w:rsid w:val="00B11E4E"/>
    <w:rsid w:val="00B12589"/>
    <w:rsid w:val="00B13A7C"/>
    <w:rsid w:val="00B15757"/>
    <w:rsid w:val="00B15A72"/>
    <w:rsid w:val="00B163B9"/>
    <w:rsid w:val="00B20C9C"/>
    <w:rsid w:val="00B21E4B"/>
    <w:rsid w:val="00B2459A"/>
    <w:rsid w:val="00B247D0"/>
    <w:rsid w:val="00B265FC"/>
    <w:rsid w:val="00B26974"/>
    <w:rsid w:val="00B26E2A"/>
    <w:rsid w:val="00B309B1"/>
    <w:rsid w:val="00B30AC7"/>
    <w:rsid w:val="00B32C0F"/>
    <w:rsid w:val="00B3316B"/>
    <w:rsid w:val="00B33835"/>
    <w:rsid w:val="00B3499D"/>
    <w:rsid w:val="00B34CE8"/>
    <w:rsid w:val="00B35F61"/>
    <w:rsid w:val="00B362B5"/>
    <w:rsid w:val="00B36328"/>
    <w:rsid w:val="00B36BE2"/>
    <w:rsid w:val="00B370C0"/>
    <w:rsid w:val="00B377FE"/>
    <w:rsid w:val="00B37D97"/>
    <w:rsid w:val="00B40546"/>
    <w:rsid w:val="00B40F09"/>
    <w:rsid w:val="00B40F6C"/>
    <w:rsid w:val="00B435AA"/>
    <w:rsid w:val="00B44D5F"/>
    <w:rsid w:val="00B4767E"/>
    <w:rsid w:val="00B47E60"/>
    <w:rsid w:val="00B51EA0"/>
    <w:rsid w:val="00B521D9"/>
    <w:rsid w:val="00B5491A"/>
    <w:rsid w:val="00B55009"/>
    <w:rsid w:val="00B561A4"/>
    <w:rsid w:val="00B56D5D"/>
    <w:rsid w:val="00B57904"/>
    <w:rsid w:val="00B63840"/>
    <w:rsid w:val="00B638E9"/>
    <w:rsid w:val="00B6689B"/>
    <w:rsid w:val="00B67671"/>
    <w:rsid w:val="00B67674"/>
    <w:rsid w:val="00B705C5"/>
    <w:rsid w:val="00B731E8"/>
    <w:rsid w:val="00B73902"/>
    <w:rsid w:val="00B76429"/>
    <w:rsid w:val="00B7686A"/>
    <w:rsid w:val="00B76D1A"/>
    <w:rsid w:val="00B82262"/>
    <w:rsid w:val="00B826C4"/>
    <w:rsid w:val="00B837A8"/>
    <w:rsid w:val="00B83F52"/>
    <w:rsid w:val="00B8480A"/>
    <w:rsid w:val="00B86D33"/>
    <w:rsid w:val="00B87A7A"/>
    <w:rsid w:val="00B926B2"/>
    <w:rsid w:val="00B963F5"/>
    <w:rsid w:val="00B964A7"/>
    <w:rsid w:val="00B96B36"/>
    <w:rsid w:val="00B97310"/>
    <w:rsid w:val="00B974DF"/>
    <w:rsid w:val="00BA0962"/>
    <w:rsid w:val="00BA266B"/>
    <w:rsid w:val="00BA2D66"/>
    <w:rsid w:val="00BA3175"/>
    <w:rsid w:val="00BA4650"/>
    <w:rsid w:val="00BA4F0C"/>
    <w:rsid w:val="00BA5889"/>
    <w:rsid w:val="00BA6173"/>
    <w:rsid w:val="00BA646D"/>
    <w:rsid w:val="00BA76CA"/>
    <w:rsid w:val="00BA78BA"/>
    <w:rsid w:val="00BB1948"/>
    <w:rsid w:val="00BB2754"/>
    <w:rsid w:val="00BB361E"/>
    <w:rsid w:val="00BB67A8"/>
    <w:rsid w:val="00BC1155"/>
    <w:rsid w:val="00BC1626"/>
    <w:rsid w:val="00BC1C93"/>
    <w:rsid w:val="00BC1E7F"/>
    <w:rsid w:val="00BC20CB"/>
    <w:rsid w:val="00BC3A80"/>
    <w:rsid w:val="00BC3B50"/>
    <w:rsid w:val="00BD006F"/>
    <w:rsid w:val="00BD1537"/>
    <w:rsid w:val="00BD1907"/>
    <w:rsid w:val="00BD303F"/>
    <w:rsid w:val="00BD4AD1"/>
    <w:rsid w:val="00BD6457"/>
    <w:rsid w:val="00BD70B1"/>
    <w:rsid w:val="00BD771C"/>
    <w:rsid w:val="00BD7EDA"/>
    <w:rsid w:val="00BE1B31"/>
    <w:rsid w:val="00BE23C8"/>
    <w:rsid w:val="00BE3055"/>
    <w:rsid w:val="00BE3C86"/>
    <w:rsid w:val="00BE4C30"/>
    <w:rsid w:val="00BE60B9"/>
    <w:rsid w:val="00BE73E0"/>
    <w:rsid w:val="00BE750A"/>
    <w:rsid w:val="00BE7EB1"/>
    <w:rsid w:val="00BF1DF0"/>
    <w:rsid w:val="00BF3926"/>
    <w:rsid w:val="00BF5391"/>
    <w:rsid w:val="00BF53B9"/>
    <w:rsid w:val="00BF66BB"/>
    <w:rsid w:val="00BF6F44"/>
    <w:rsid w:val="00C01705"/>
    <w:rsid w:val="00C01E83"/>
    <w:rsid w:val="00C02A57"/>
    <w:rsid w:val="00C03812"/>
    <w:rsid w:val="00C0549D"/>
    <w:rsid w:val="00C07903"/>
    <w:rsid w:val="00C07CD5"/>
    <w:rsid w:val="00C1398C"/>
    <w:rsid w:val="00C13A12"/>
    <w:rsid w:val="00C142B5"/>
    <w:rsid w:val="00C145A6"/>
    <w:rsid w:val="00C148AB"/>
    <w:rsid w:val="00C15A3C"/>
    <w:rsid w:val="00C173C2"/>
    <w:rsid w:val="00C20D2C"/>
    <w:rsid w:val="00C20DB6"/>
    <w:rsid w:val="00C220D3"/>
    <w:rsid w:val="00C24350"/>
    <w:rsid w:val="00C26918"/>
    <w:rsid w:val="00C27137"/>
    <w:rsid w:val="00C27BAF"/>
    <w:rsid w:val="00C27FAD"/>
    <w:rsid w:val="00C30A75"/>
    <w:rsid w:val="00C30E81"/>
    <w:rsid w:val="00C30F3A"/>
    <w:rsid w:val="00C317EC"/>
    <w:rsid w:val="00C31CEB"/>
    <w:rsid w:val="00C31ED7"/>
    <w:rsid w:val="00C31FAC"/>
    <w:rsid w:val="00C324E4"/>
    <w:rsid w:val="00C33D32"/>
    <w:rsid w:val="00C3444D"/>
    <w:rsid w:val="00C34BC6"/>
    <w:rsid w:val="00C34D7B"/>
    <w:rsid w:val="00C34F4A"/>
    <w:rsid w:val="00C37D5E"/>
    <w:rsid w:val="00C37F90"/>
    <w:rsid w:val="00C40875"/>
    <w:rsid w:val="00C40FC8"/>
    <w:rsid w:val="00C41A09"/>
    <w:rsid w:val="00C42D8D"/>
    <w:rsid w:val="00C441ED"/>
    <w:rsid w:val="00C458D8"/>
    <w:rsid w:val="00C46DD2"/>
    <w:rsid w:val="00C47C1E"/>
    <w:rsid w:val="00C507DC"/>
    <w:rsid w:val="00C51443"/>
    <w:rsid w:val="00C51625"/>
    <w:rsid w:val="00C51893"/>
    <w:rsid w:val="00C5222E"/>
    <w:rsid w:val="00C52D2A"/>
    <w:rsid w:val="00C52FEA"/>
    <w:rsid w:val="00C53D83"/>
    <w:rsid w:val="00C53E22"/>
    <w:rsid w:val="00C56073"/>
    <w:rsid w:val="00C60291"/>
    <w:rsid w:val="00C61E64"/>
    <w:rsid w:val="00C6274F"/>
    <w:rsid w:val="00C62BB5"/>
    <w:rsid w:val="00C6360C"/>
    <w:rsid w:val="00C63C77"/>
    <w:rsid w:val="00C646A4"/>
    <w:rsid w:val="00C6508D"/>
    <w:rsid w:val="00C6517D"/>
    <w:rsid w:val="00C653F4"/>
    <w:rsid w:val="00C6546B"/>
    <w:rsid w:val="00C6680F"/>
    <w:rsid w:val="00C66AE6"/>
    <w:rsid w:val="00C66F31"/>
    <w:rsid w:val="00C670B2"/>
    <w:rsid w:val="00C67CF9"/>
    <w:rsid w:val="00C70778"/>
    <w:rsid w:val="00C72075"/>
    <w:rsid w:val="00C72941"/>
    <w:rsid w:val="00C747A1"/>
    <w:rsid w:val="00C753D2"/>
    <w:rsid w:val="00C76E7F"/>
    <w:rsid w:val="00C77734"/>
    <w:rsid w:val="00C813E8"/>
    <w:rsid w:val="00C83619"/>
    <w:rsid w:val="00C83668"/>
    <w:rsid w:val="00C84245"/>
    <w:rsid w:val="00C94E36"/>
    <w:rsid w:val="00C959BF"/>
    <w:rsid w:val="00CA2244"/>
    <w:rsid w:val="00CA261B"/>
    <w:rsid w:val="00CA3664"/>
    <w:rsid w:val="00CA4565"/>
    <w:rsid w:val="00CA5AC4"/>
    <w:rsid w:val="00CB1831"/>
    <w:rsid w:val="00CB46A2"/>
    <w:rsid w:val="00CB5330"/>
    <w:rsid w:val="00CB5F18"/>
    <w:rsid w:val="00CB6474"/>
    <w:rsid w:val="00CB6C1E"/>
    <w:rsid w:val="00CB7D80"/>
    <w:rsid w:val="00CC0A2F"/>
    <w:rsid w:val="00CC1549"/>
    <w:rsid w:val="00CC2132"/>
    <w:rsid w:val="00CC241A"/>
    <w:rsid w:val="00CC2BC7"/>
    <w:rsid w:val="00CC2D03"/>
    <w:rsid w:val="00CC3D8D"/>
    <w:rsid w:val="00CC3F97"/>
    <w:rsid w:val="00CC4E42"/>
    <w:rsid w:val="00CC6551"/>
    <w:rsid w:val="00CC700A"/>
    <w:rsid w:val="00CC72B1"/>
    <w:rsid w:val="00CD05D8"/>
    <w:rsid w:val="00CD290D"/>
    <w:rsid w:val="00CD2EFC"/>
    <w:rsid w:val="00CD6585"/>
    <w:rsid w:val="00CD7709"/>
    <w:rsid w:val="00CE035A"/>
    <w:rsid w:val="00CE190A"/>
    <w:rsid w:val="00CE34B3"/>
    <w:rsid w:val="00CE4293"/>
    <w:rsid w:val="00CE5040"/>
    <w:rsid w:val="00CE58AC"/>
    <w:rsid w:val="00CE5E06"/>
    <w:rsid w:val="00CE6D4D"/>
    <w:rsid w:val="00CF0D05"/>
    <w:rsid w:val="00CF17EE"/>
    <w:rsid w:val="00CF1B52"/>
    <w:rsid w:val="00CF426D"/>
    <w:rsid w:val="00CF72F7"/>
    <w:rsid w:val="00CF7E76"/>
    <w:rsid w:val="00CF7FC1"/>
    <w:rsid w:val="00D00B61"/>
    <w:rsid w:val="00D02A7F"/>
    <w:rsid w:val="00D02BAE"/>
    <w:rsid w:val="00D03485"/>
    <w:rsid w:val="00D03C5E"/>
    <w:rsid w:val="00D05699"/>
    <w:rsid w:val="00D06F19"/>
    <w:rsid w:val="00D07A7A"/>
    <w:rsid w:val="00D118AB"/>
    <w:rsid w:val="00D1222D"/>
    <w:rsid w:val="00D14617"/>
    <w:rsid w:val="00D169D6"/>
    <w:rsid w:val="00D17D08"/>
    <w:rsid w:val="00D21F21"/>
    <w:rsid w:val="00D24AA4"/>
    <w:rsid w:val="00D26751"/>
    <w:rsid w:val="00D2762A"/>
    <w:rsid w:val="00D27F5C"/>
    <w:rsid w:val="00D348EA"/>
    <w:rsid w:val="00D35EAB"/>
    <w:rsid w:val="00D37261"/>
    <w:rsid w:val="00D37778"/>
    <w:rsid w:val="00D411DA"/>
    <w:rsid w:val="00D41789"/>
    <w:rsid w:val="00D41AF1"/>
    <w:rsid w:val="00D42982"/>
    <w:rsid w:val="00D45B78"/>
    <w:rsid w:val="00D46083"/>
    <w:rsid w:val="00D47FB1"/>
    <w:rsid w:val="00D526B8"/>
    <w:rsid w:val="00D53D9D"/>
    <w:rsid w:val="00D54CD7"/>
    <w:rsid w:val="00D55579"/>
    <w:rsid w:val="00D555B5"/>
    <w:rsid w:val="00D56610"/>
    <w:rsid w:val="00D61161"/>
    <w:rsid w:val="00D612CC"/>
    <w:rsid w:val="00D62409"/>
    <w:rsid w:val="00D641A1"/>
    <w:rsid w:val="00D65811"/>
    <w:rsid w:val="00D66252"/>
    <w:rsid w:val="00D66918"/>
    <w:rsid w:val="00D66A0E"/>
    <w:rsid w:val="00D678A0"/>
    <w:rsid w:val="00D7004F"/>
    <w:rsid w:val="00D7210E"/>
    <w:rsid w:val="00D740D3"/>
    <w:rsid w:val="00D76629"/>
    <w:rsid w:val="00D80988"/>
    <w:rsid w:val="00D80FFA"/>
    <w:rsid w:val="00D815BB"/>
    <w:rsid w:val="00D828B8"/>
    <w:rsid w:val="00D84030"/>
    <w:rsid w:val="00D852F3"/>
    <w:rsid w:val="00D85B44"/>
    <w:rsid w:val="00D91950"/>
    <w:rsid w:val="00D91C2F"/>
    <w:rsid w:val="00D95725"/>
    <w:rsid w:val="00D9667E"/>
    <w:rsid w:val="00DA0C20"/>
    <w:rsid w:val="00DA4436"/>
    <w:rsid w:val="00DA5186"/>
    <w:rsid w:val="00DA526B"/>
    <w:rsid w:val="00DA7CA5"/>
    <w:rsid w:val="00DB15C1"/>
    <w:rsid w:val="00DB25CD"/>
    <w:rsid w:val="00DB31D6"/>
    <w:rsid w:val="00DB464D"/>
    <w:rsid w:val="00DB514D"/>
    <w:rsid w:val="00DB531F"/>
    <w:rsid w:val="00DB5836"/>
    <w:rsid w:val="00DB6AE3"/>
    <w:rsid w:val="00DB6C0C"/>
    <w:rsid w:val="00DC0020"/>
    <w:rsid w:val="00DC1B53"/>
    <w:rsid w:val="00DC4904"/>
    <w:rsid w:val="00DC5463"/>
    <w:rsid w:val="00DC6A53"/>
    <w:rsid w:val="00DD3637"/>
    <w:rsid w:val="00DD365B"/>
    <w:rsid w:val="00DD39BC"/>
    <w:rsid w:val="00DD5C46"/>
    <w:rsid w:val="00DD5FC4"/>
    <w:rsid w:val="00DD6935"/>
    <w:rsid w:val="00DD6CB3"/>
    <w:rsid w:val="00DE1010"/>
    <w:rsid w:val="00DE5733"/>
    <w:rsid w:val="00DF0414"/>
    <w:rsid w:val="00DF0C9F"/>
    <w:rsid w:val="00DF3B92"/>
    <w:rsid w:val="00DF5A43"/>
    <w:rsid w:val="00DF6CA8"/>
    <w:rsid w:val="00DF728C"/>
    <w:rsid w:val="00E00199"/>
    <w:rsid w:val="00E0216F"/>
    <w:rsid w:val="00E0234E"/>
    <w:rsid w:val="00E04C89"/>
    <w:rsid w:val="00E06A9D"/>
    <w:rsid w:val="00E07512"/>
    <w:rsid w:val="00E10C55"/>
    <w:rsid w:val="00E1112F"/>
    <w:rsid w:val="00E11598"/>
    <w:rsid w:val="00E11E6E"/>
    <w:rsid w:val="00E13B57"/>
    <w:rsid w:val="00E162C6"/>
    <w:rsid w:val="00E16FD2"/>
    <w:rsid w:val="00E17B88"/>
    <w:rsid w:val="00E204DB"/>
    <w:rsid w:val="00E22C83"/>
    <w:rsid w:val="00E253C8"/>
    <w:rsid w:val="00E25407"/>
    <w:rsid w:val="00E258FA"/>
    <w:rsid w:val="00E27662"/>
    <w:rsid w:val="00E27F25"/>
    <w:rsid w:val="00E30986"/>
    <w:rsid w:val="00E32913"/>
    <w:rsid w:val="00E32D81"/>
    <w:rsid w:val="00E33690"/>
    <w:rsid w:val="00E33D0A"/>
    <w:rsid w:val="00E35225"/>
    <w:rsid w:val="00E35A3A"/>
    <w:rsid w:val="00E375AC"/>
    <w:rsid w:val="00E41CA2"/>
    <w:rsid w:val="00E426A6"/>
    <w:rsid w:val="00E42C64"/>
    <w:rsid w:val="00E46724"/>
    <w:rsid w:val="00E47781"/>
    <w:rsid w:val="00E533D4"/>
    <w:rsid w:val="00E540E0"/>
    <w:rsid w:val="00E608AA"/>
    <w:rsid w:val="00E6169C"/>
    <w:rsid w:val="00E620BA"/>
    <w:rsid w:val="00E6214F"/>
    <w:rsid w:val="00E67C9B"/>
    <w:rsid w:val="00E67DE8"/>
    <w:rsid w:val="00E70D0E"/>
    <w:rsid w:val="00E7341E"/>
    <w:rsid w:val="00E738A7"/>
    <w:rsid w:val="00E739CA"/>
    <w:rsid w:val="00E74BE8"/>
    <w:rsid w:val="00E74D77"/>
    <w:rsid w:val="00E74F12"/>
    <w:rsid w:val="00E76A1D"/>
    <w:rsid w:val="00E77DB3"/>
    <w:rsid w:val="00E81DEC"/>
    <w:rsid w:val="00E82336"/>
    <w:rsid w:val="00E836E3"/>
    <w:rsid w:val="00E9050E"/>
    <w:rsid w:val="00E90692"/>
    <w:rsid w:val="00E90F2F"/>
    <w:rsid w:val="00E94828"/>
    <w:rsid w:val="00E94B69"/>
    <w:rsid w:val="00E952DF"/>
    <w:rsid w:val="00EA150F"/>
    <w:rsid w:val="00EA1BB7"/>
    <w:rsid w:val="00EA5DC5"/>
    <w:rsid w:val="00EB013B"/>
    <w:rsid w:val="00EB0449"/>
    <w:rsid w:val="00EB26B6"/>
    <w:rsid w:val="00EB54DB"/>
    <w:rsid w:val="00EB6E05"/>
    <w:rsid w:val="00EB76B6"/>
    <w:rsid w:val="00EC3BD6"/>
    <w:rsid w:val="00EC6035"/>
    <w:rsid w:val="00EC65DB"/>
    <w:rsid w:val="00EC6F52"/>
    <w:rsid w:val="00EC7B64"/>
    <w:rsid w:val="00EC7EAC"/>
    <w:rsid w:val="00ED094A"/>
    <w:rsid w:val="00ED0B1D"/>
    <w:rsid w:val="00ED2069"/>
    <w:rsid w:val="00ED238C"/>
    <w:rsid w:val="00ED5A51"/>
    <w:rsid w:val="00ED71F1"/>
    <w:rsid w:val="00ED72B1"/>
    <w:rsid w:val="00ED7D7C"/>
    <w:rsid w:val="00EE00F2"/>
    <w:rsid w:val="00EE132A"/>
    <w:rsid w:val="00EE20E5"/>
    <w:rsid w:val="00EE3A36"/>
    <w:rsid w:val="00EE4501"/>
    <w:rsid w:val="00EE6EE6"/>
    <w:rsid w:val="00EE7ADD"/>
    <w:rsid w:val="00EF24A8"/>
    <w:rsid w:val="00EF2890"/>
    <w:rsid w:val="00EF29EB"/>
    <w:rsid w:val="00EF40EB"/>
    <w:rsid w:val="00EF4B9E"/>
    <w:rsid w:val="00EF5FEB"/>
    <w:rsid w:val="00EF6256"/>
    <w:rsid w:val="00EF6BC2"/>
    <w:rsid w:val="00F008E0"/>
    <w:rsid w:val="00F010C7"/>
    <w:rsid w:val="00F0117C"/>
    <w:rsid w:val="00F01386"/>
    <w:rsid w:val="00F028D2"/>
    <w:rsid w:val="00F03B77"/>
    <w:rsid w:val="00F03E35"/>
    <w:rsid w:val="00F062C3"/>
    <w:rsid w:val="00F06898"/>
    <w:rsid w:val="00F06B3B"/>
    <w:rsid w:val="00F10170"/>
    <w:rsid w:val="00F10DC3"/>
    <w:rsid w:val="00F11886"/>
    <w:rsid w:val="00F11D48"/>
    <w:rsid w:val="00F12072"/>
    <w:rsid w:val="00F12108"/>
    <w:rsid w:val="00F12694"/>
    <w:rsid w:val="00F1650C"/>
    <w:rsid w:val="00F20165"/>
    <w:rsid w:val="00F201DF"/>
    <w:rsid w:val="00F21A61"/>
    <w:rsid w:val="00F22061"/>
    <w:rsid w:val="00F2278E"/>
    <w:rsid w:val="00F22803"/>
    <w:rsid w:val="00F2374F"/>
    <w:rsid w:val="00F2451D"/>
    <w:rsid w:val="00F24A29"/>
    <w:rsid w:val="00F262A6"/>
    <w:rsid w:val="00F271AB"/>
    <w:rsid w:val="00F30BF0"/>
    <w:rsid w:val="00F31138"/>
    <w:rsid w:val="00F31DEA"/>
    <w:rsid w:val="00F33507"/>
    <w:rsid w:val="00F3597B"/>
    <w:rsid w:val="00F36514"/>
    <w:rsid w:val="00F37434"/>
    <w:rsid w:val="00F3756E"/>
    <w:rsid w:val="00F4497C"/>
    <w:rsid w:val="00F44D7F"/>
    <w:rsid w:val="00F5059E"/>
    <w:rsid w:val="00F52B7A"/>
    <w:rsid w:val="00F53A7A"/>
    <w:rsid w:val="00F53EE9"/>
    <w:rsid w:val="00F53F65"/>
    <w:rsid w:val="00F545F4"/>
    <w:rsid w:val="00F5499B"/>
    <w:rsid w:val="00F571E7"/>
    <w:rsid w:val="00F60731"/>
    <w:rsid w:val="00F61959"/>
    <w:rsid w:val="00F61CC3"/>
    <w:rsid w:val="00F61DFD"/>
    <w:rsid w:val="00F639B8"/>
    <w:rsid w:val="00F63F5D"/>
    <w:rsid w:val="00F657FD"/>
    <w:rsid w:val="00F65F80"/>
    <w:rsid w:val="00F6635F"/>
    <w:rsid w:val="00F71350"/>
    <w:rsid w:val="00F71927"/>
    <w:rsid w:val="00F72328"/>
    <w:rsid w:val="00F72360"/>
    <w:rsid w:val="00F72E30"/>
    <w:rsid w:val="00F736F8"/>
    <w:rsid w:val="00F7411F"/>
    <w:rsid w:val="00F7549E"/>
    <w:rsid w:val="00F8090E"/>
    <w:rsid w:val="00F823BE"/>
    <w:rsid w:val="00F83BE1"/>
    <w:rsid w:val="00F8756E"/>
    <w:rsid w:val="00F87AAE"/>
    <w:rsid w:val="00F90E42"/>
    <w:rsid w:val="00F923CF"/>
    <w:rsid w:val="00F944B2"/>
    <w:rsid w:val="00F94977"/>
    <w:rsid w:val="00F95C66"/>
    <w:rsid w:val="00F97FEB"/>
    <w:rsid w:val="00FA08D5"/>
    <w:rsid w:val="00FA127B"/>
    <w:rsid w:val="00FA6C31"/>
    <w:rsid w:val="00FB29E7"/>
    <w:rsid w:val="00FB2E74"/>
    <w:rsid w:val="00FB330A"/>
    <w:rsid w:val="00FB381C"/>
    <w:rsid w:val="00FB5F3A"/>
    <w:rsid w:val="00FC0988"/>
    <w:rsid w:val="00FC0A61"/>
    <w:rsid w:val="00FC0FE4"/>
    <w:rsid w:val="00FC18C9"/>
    <w:rsid w:val="00FC2090"/>
    <w:rsid w:val="00FC2517"/>
    <w:rsid w:val="00FC307D"/>
    <w:rsid w:val="00FC32EA"/>
    <w:rsid w:val="00FC691B"/>
    <w:rsid w:val="00FC6FA5"/>
    <w:rsid w:val="00FC7DBF"/>
    <w:rsid w:val="00FD18B4"/>
    <w:rsid w:val="00FD27B3"/>
    <w:rsid w:val="00FD2CD0"/>
    <w:rsid w:val="00FD30C0"/>
    <w:rsid w:val="00FD4FD3"/>
    <w:rsid w:val="00FD643D"/>
    <w:rsid w:val="00FD797C"/>
    <w:rsid w:val="00FE0D82"/>
    <w:rsid w:val="00FE2253"/>
    <w:rsid w:val="00FE2292"/>
    <w:rsid w:val="00FE397C"/>
    <w:rsid w:val="00FE4235"/>
    <w:rsid w:val="00FE43E5"/>
    <w:rsid w:val="00FE458E"/>
    <w:rsid w:val="00FE4A13"/>
    <w:rsid w:val="00FE6538"/>
    <w:rsid w:val="00FF14AD"/>
    <w:rsid w:val="00FF154E"/>
    <w:rsid w:val="00FF2AA1"/>
    <w:rsid w:val="00FF3062"/>
    <w:rsid w:val="00FF3A04"/>
    <w:rsid w:val="00FF3B83"/>
    <w:rsid w:val="00FF4ADE"/>
    <w:rsid w:val="00FF7804"/>
    <w:rsid w:val="1712D7A2"/>
    <w:rsid w:val="359213FE"/>
    <w:rsid w:val="3A46D02D"/>
    <w:rsid w:val="5119A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DCF045"/>
  <w15:chartTrackingRefBased/>
  <w15:docId w15:val="{B3DDC61E-70CF-4182-9E79-B19DD8FC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 w:unhideWhenUsed="1" w:qFormat="1"/>
    <w:lsdException w:name="Body Text Indent 3" w:semiHidden="1" w:uiPriority="2"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9"/>
    <w:semiHidden/>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9"/>
    <w:semiHidden/>
    <w:qFormat/>
    <w:rsid w:val="005251D9"/>
    <w:pPr>
      <w:spacing w:after="60"/>
      <w:outlineLvl w:val="4"/>
    </w:pPr>
    <w:rPr>
      <w:b/>
      <w:bCs/>
      <w:i/>
      <w:iCs/>
      <w:sz w:val="26"/>
      <w:szCs w:val="26"/>
    </w:rPr>
  </w:style>
  <w:style w:type="paragraph" w:styleId="Heading6">
    <w:name w:val="heading 6"/>
    <w:basedOn w:val="Normal"/>
    <w:next w:val="Normal"/>
    <w:link w:val="Heading6Char"/>
    <w:uiPriority w:val="99"/>
    <w:semiHidden/>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9"/>
    <w:qFormat/>
    <w:rsid w:val="00564666"/>
    <w:pPr>
      <w:numPr>
        <w:ilvl w:val="1"/>
        <w:numId w:val="7"/>
      </w:numPr>
      <w:outlineLvl w:val="1"/>
    </w:pPr>
    <w:rPr>
      <w:lang w:val="en-GB" w:eastAsia="en-IE"/>
    </w:rPr>
  </w:style>
  <w:style w:type="paragraph" w:customStyle="1" w:styleId="Agreement3">
    <w:name w:val="Agreement 3"/>
    <w:aliases w:val="A3"/>
    <w:basedOn w:val="Normal"/>
    <w:uiPriority w:val="9"/>
    <w:qFormat/>
    <w:rsid w:val="00564666"/>
    <w:pPr>
      <w:numPr>
        <w:ilvl w:val="2"/>
        <w:numId w:val="7"/>
      </w:numPr>
      <w:outlineLvl w:val="2"/>
    </w:pPr>
    <w:rPr>
      <w:lang w:val="en-GB" w:eastAsia="en-IE"/>
    </w:rPr>
  </w:style>
  <w:style w:type="paragraph" w:customStyle="1" w:styleId="Agreement4">
    <w:name w:val="Agreement 4"/>
    <w:aliases w:val="A4"/>
    <w:basedOn w:val="Normal"/>
    <w:uiPriority w:val="9"/>
    <w:qFormat/>
    <w:rsid w:val="00564666"/>
    <w:pPr>
      <w:numPr>
        <w:ilvl w:val="3"/>
        <w:numId w:val="7"/>
      </w:numPr>
      <w:outlineLvl w:val="3"/>
    </w:pPr>
    <w:rPr>
      <w:lang w:val="en-GB" w:eastAsia="en-IE"/>
    </w:rPr>
  </w:style>
  <w:style w:type="paragraph" w:customStyle="1" w:styleId="Agreement5">
    <w:name w:val="Agreement 5"/>
    <w:aliases w:val="A5"/>
    <w:basedOn w:val="Normal"/>
    <w:uiPriority w:val="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qFormat/>
    <w:rsid w:val="00564666"/>
    <w:pPr>
      <w:spacing w:before="120"/>
    </w:pPr>
    <w:rPr>
      <w:lang w:val="en-GB" w:eastAsia="en-GB"/>
    </w:rPr>
  </w:style>
  <w:style w:type="character" w:customStyle="1" w:styleId="BodyTextChar">
    <w:name w:val="Body Text Char"/>
    <w:aliases w:val="BT Char"/>
    <w:link w:val="BodyText"/>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basedOn w:val="Normal"/>
    <w:link w:val="FootnoteTextChar"/>
    <w:rsid w:val="005251D9"/>
    <w:pPr>
      <w:spacing w:before="60" w:after="60"/>
    </w:pPr>
    <w:rPr>
      <w:sz w:val="16"/>
      <w:szCs w:val="20"/>
    </w:rPr>
  </w:style>
  <w:style w:type="character" w:customStyle="1" w:styleId="FootnoteTextChar">
    <w:name w:val="Footnote Text Char"/>
    <w:link w:val="FootnoteText"/>
    <w:uiPriority w:val="99"/>
    <w:semiHidden/>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9"/>
    <w:semiHidden/>
    <w:rsid w:val="005251D9"/>
    <w:rPr>
      <w:rFonts w:ascii="Arial" w:eastAsia="Times New Roman" w:hAnsi="Arial" w:cs="Arial"/>
      <w:b/>
      <w:bCs/>
      <w:szCs w:val="32"/>
      <w:lang w:val="en-GB"/>
    </w:rPr>
  </w:style>
  <w:style w:type="character" w:customStyle="1" w:styleId="Heading2Char">
    <w:name w:val="Heading 2 Char"/>
    <w:link w:val="Heading2"/>
    <w:uiPriority w:val="9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uiPriority w:val="99"/>
    <w:semiHidden/>
    <w:rsid w:val="005251D9"/>
    <w:rPr>
      <w:rFonts w:ascii="Times New Roman" w:eastAsia="Times New Roman" w:hAnsi="Times New Roman" w:cs="Times New Roman"/>
      <w:b/>
      <w:bCs/>
      <w:lang w:val="en-GB"/>
    </w:rPr>
  </w:style>
  <w:style w:type="character" w:customStyle="1" w:styleId="Heading7Char">
    <w:name w:val="Heading 7 Char"/>
    <w:link w:val="Heading7"/>
    <w:uiPriority w:val="9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19"/>
    <w:qFormat/>
    <w:rsid w:val="00564666"/>
    <w:pPr>
      <w:numPr>
        <w:numId w:val="9"/>
      </w:numPr>
      <w:outlineLvl w:val="0"/>
    </w:pPr>
    <w:rPr>
      <w:lang w:val="en-GB" w:eastAsia="en-GB"/>
    </w:rPr>
  </w:style>
  <w:style w:type="paragraph" w:customStyle="1" w:styleId="Non-Agreement2">
    <w:name w:val="Non-Agreement 2"/>
    <w:aliases w:val="NA2"/>
    <w:basedOn w:val="Normal"/>
    <w:uiPriority w:val="19"/>
    <w:qFormat/>
    <w:rsid w:val="00564666"/>
    <w:pPr>
      <w:numPr>
        <w:ilvl w:val="1"/>
        <w:numId w:val="9"/>
      </w:numPr>
      <w:outlineLvl w:val="1"/>
    </w:pPr>
    <w:rPr>
      <w:lang w:val="en-GB" w:eastAsia="en-GB"/>
    </w:rPr>
  </w:style>
  <w:style w:type="paragraph" w:customStyle="1" w:styleId="Non-Agreement3">
    <w:name w:val="Non-Agreement 3"/>
    <w:aliases w:val="NA3"/>
    <w:basedOn w:val="Normal"/>
    <w:uiPriority w:val="19"/>
    <w:qFormat/>
    <w:rsid w:val="00564666"/>
    <w:pPr>
      <w:numPr>
        <w:ilvl w:val="2"/>
        <w:numId w:val="9"/>
      </w:numPr>
      <w:outlineLvl w:val="2"/>
    </w:pPr>
    <w:rPr>
      <w:lang w:val="en-GB" w:eastAsia="en-GB"/>
    </w:rPr>
  </w:style>
  <w:style w:type="paragraph" w:customStyle="1" w:styleId="Non-Agreement4">
    <w:name w:val="Non-Agreement 4"/>
    <w:aliases w:val="NA4"/>
    <w:basedOn w:val="Normal"/>
    <w:uiPriority w:val="19"/>
    <w:qFormat/>
    <w:rsid w:val="00564666"/>
    <w:pPr>
      <w:numPr>
        <w:ilvl w:val="3"/>
        <w:numId w:val="9"/>
      </w:numPr>
      <w:outlineLvl w:val="3"/>
    </w:pPr>
    <w:rPr>
      <w:lang w:val="en-GB" w:eastAsia="en-GB"/>
    </w:rPr>
  </w:style>
  <w:style w:type="paragraph" w:customStyle="1" w:styleId="Non-Agreement5">
    <w:name w:val="Non-Agreement 5"/>
    <w:aliases w:val="NA5"/>
    <w:basedOn w:val="Normal"/>
    <w:uiPriority w:val="1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unhideWhenUsed/>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F12108"/>
    <w:rPr>
      <w:sz w:val="16"/>
      <w:szCs w:val="16"/>
    </w:rPr>
  </w:style>
  <w:style w:type="paragraph" w:styleId="CommentText">
    <w:name w:val="annotation text"/>
    <w:basedOn w:val="Normal"/>
    <w:link w:val="CommentTextChar"/>
    <w:uiPriority w:val="99"/>
    <w:unhideWhenUsed/>
    <w:rsid w:val="00F12108"/>
    <w:rPr>
      <w:sz w:val="20"/>
      <w:szCs w:val="20"/>
    </w:rPr>
  </w:style>
  <w:style w:type="character" w:customStyle="1" w:styleId="CommentTextChar">
    <w:name w:val="Comment Text Char"/>
    <w:link w:val="CommentText"/>
    <w:uiPriority w:val="99"/>
    <w:rsid w:val="00F12108"/>
    <w:rPr>
      <w:lang w:val="en-IE" w:eastAsia="en-US"/>
    </w:rPr>
  </w:style>
  <w:style w:type="paragraph" w:styleId="CommentSubject">
    <w:name w:val="annotation subject"/>
    <w:basedOn w:val="CommentText"/>
    <w:next w:val="CommentText"/>
    <w:link w:val="CommentSubjectChar"/>
    <w:uiPriority w:val="99"/>
    <w:semiHidden/>
    <w:unhideWhenUsed/>
    <w:rsid w:val="00F12108"/>
    <w:rPr>
      <w:b/>
      <w:bCs/>
    </w:rPr>
  </w:style>
  <w:style w:type="character" w:customStyle="1" w:styleId="CommentSubjectChar">
    <w:name w:val="Comment Subject Char"/>
    <w:link w:val="CommentSubject"/>
    <w:uiPriority w:val="99"/>
    <w:semiHidden/>
    <w:rsid w:val="00F12108"/>
    <w:rPr>
      <w:b/>
      <w:bCs/>
      <w:lang w:val="en-IE" w:eastAsia="en-US"/>
    </w:rPr>
  </w:style>
  <w:style w:type="paragraph" w:styleId="NormalIndent">
    <w:name w:val="Normal Indent"/>
    <w:basedOn w:val="Normal"/>
    <w:rsid w:val="00667EF2"/>
    <w:pPr>
      <w:widowControl w:val="0"/>
      <w:spacing w:before="0" w:after="0"/>
      <w:ind w:left="720"/>
    </w:pPr>
    <w:rPr>
      <w:rFonts w:ascii="Times New Roman" w:eastAsia="Times New Roman" w:hAnsi="Times New Roman"/>
      <w:sz w:val="24"/>
      <w:szCs w:val="20"/>
      <w:lang w:val="en-GB"/>
    </w:rPr>
  </w:style>
  <w:style w:type="paragraph" w:customStyle="1" w:styleId="CM1">
    <w:name w:val="CM1"/>
    <w:basedOn w:val="Normal"/>
    <w:next w:val="Normal"/>
    <w:uiPriority w:val="99"/>
    <w:rsid w:val="004F3DE4"/>
    <w:pPr>
      <w:autoSpaceDE w:val="0"/>
      <w:autoSpaceDN w:val="0"/>
      <w:adjustRightInd w:val="0"/>
      <w:spacing w:before="0" w:after="0"/>
      <w:jc w:val="left"/>
    </w:pPr>
    <w:rPr>
      <w:rFonts w:ascii="EUAlbertina" w:hAnsi="EUAlbertina"/>
      <w:sz w:val="24"/>
      <w:szCs w:val="24"/>
      <w:lang w:val="en-GB" w:eastAsia="en-GB"/>
    </w:rPr>
  </w:style>
  <w:style w:type="paragraph" w:customStyle="1" w:styleId="CM3">
    <w:name w:val="CM3"/>
    <w:basedOn w:val="Normal"/>
    <w:next w:val="Normal"/>
    <w:uiPriority w:val="99"/>
    <w:rsid w:val="004F3DE4"/>
    <w:pPr>
      <w:autoSpaceDE w:val="0"/>
      <w:autoSpaceDN w:val="0"/>
      <w:adjustRightInd w:val="0"/>
      <w:spacing w:before="0" w:after="0"/>
      <w:jc w:val="left"/>
    </w:pPr>
    <w:rPr>
      <w:rFonts w:ascii="EUAlbertina" w:hAnsi="EUAlberti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06065">
      <w:bodyDiv w:val="1"/>
      <w:marLeft w:val="0"/>
      <w:marRight w:val="0"/>
      <w:marTop w:val="0"/>
      <w:marBottom w:val="0"/>
      <w:divBdr>
        <w:top w:val="none" w:sz="0" w:space="0" w:color="auto"/>
        <w:left w:val="none" w:sz="0" w:space="0" w:color="auto"/>
        <w:bottom w:val="none" w:sz="0" w:space="0" w:color="auto"/>
        <w:right w:val="none" w:sz="0" w:space="0" w:color="auto"/>
      </w:divBdr>
    </w:div>
    <w:div w:id="243757328">
      <w:bodyDiv w:val="1"/>
      <w:marLeft w:val="0"/>
      <w:marRight w:val="0"/>
      <w:marTop w:val="0"/>
      <w:marBottom w:val="0"/>
      <w:divBdr>
        <w:top w:val="none" w:sz="0" w:space="0" w:color="auto"/>
        <w:left w:val="none" w:sz="0" w:space="0" w:color="auto"/>
        <w:bottom w:val="none" w:sz="0" w:space="0" w:color="auto"/>
        <w:right w:val="none" w:sz="0" w:space="0" w:color="auto"/>
      </w:divBdr>
    </w:div>
    <w:div w:id="512494286">
      <w:bodyDiv w:val="1"/>
      <w:marLeft w:val="0"/>
      <w:marRight w:val="0"/>
      <w:marTop w:val="0"/>
      <w:marBottom w:val="0"/>
      <w:divBdr>
        <w:top w:val="none" w:sz="0" w:space="0" w:color="auto"/>
        <w:left w:val="none" w:sz="0" w:space="0" w:color="auto"/>
        <w:bottom w:val="none" w:sz="0" w:space="0" w:color="auto"/>
        <w:right w:val="none" w:sz="0" w:space="0" w:color="auto"/>
      </w:divBdr>
    </w:div>
    <w:div w:id="520973714">
      <w:bodyDiv w:val="1"/>
      <w:marLeft w:val="0"/>
      <w:marRight w:val="0"/>
      <w:marTop w:val="0"/>
      <w:marBottom w:val="0"/>
      <w:divBdr>
        <w:top w:val="none" w:sz="0" w:space="0" w:color="auto"/>
        <w:left w:val="none" w:sz="0" w:space="0" w:color="auto"/>
        <w:bottom w:val="none" w:sz="0" w:space="0" w:color="auto"/>
        <w:right w:val="none" w:sz="0" w:space="0" w:color="auto"/>
      </w:divBdr>
    </w:div>
    <w:div w:id="617226964">
      <w:bodyDiv w:val="1"/>
      <w:marLeft w:val="0"/>
      <w:marRight w:val="0"/>
      <w:marTop w:val="0"/>
      <w:marBottom w:val="0"/>
      <w:divBdr>
        <w:top w:val="none" w:sz="0" w:space="0" w:color="auto"/>
        <w:left w:val="none" w:sz="0" w:space="0" w:color="auto"/>
        <w:bottom w:val="none" w:sz="0" w:space="0" w:color="auto"/>
        <w:right w:val="none" w:sz="0" w:space="0" w:color="auto"/>
      </w:divBdr>
    </w:div>
    <w:div w:id="976908788">
      <w:bodyDiv w:val="1"/>
      <w:marLeft w:val="0"/>
      <w:marRight w:val="0"/>
      <w:marTop w:val="0"/>
      <w:marBottom w:val="0"/>
      <w:divBdr>
        <w:top w:val="none" w:sz="0" w:space="0" w:color="auto"/>
        <w:left w:val="none" w:sz="0" w:space="0" w:color="auto"/>
        <w:bottom w:val="none" w:sz="0" w:space="0" w:color="auto"/>
        <w:right w:val="none" w:sz="0" w:space="0" w:color="auto"/>
      </w:divBdr>
    </w:div>
    <w:div w:id="1026636101">
      <w:bodyDiv w:val="1"/>
      <w:marLeft w:val="0"/>
      <w:marRight w:val="0"/>
      <w:marTop w:val="0"/>
      <w:marBottom w:val="0"/>
      <w:divBdr>
        <w:top w:val="none" w:sz="0" w:space="0" w:color="auto"/>
        <w:left w:val="none" w:sz="0" w:space="0" w:color="auto"/>
        <w:bottom w:val="none" w:sz="0" w:space="0" w:color="auto"/>
        <w:right w:val="none" w:sz="0" w:space="0" w:color="auto"/>
      </w:divBdr>
    </w:div>
    <w:div w:id="1280910416">
      <w:bodyDiv w:val="1"/>
      <w:marLeft w:val="0"/>
      <w:marRight w:val="0"/>
      <w:marTop w:val="0"/>
      <w:marBottom w:val="0"/>
      <w:divBdr>
        <w:top w:val="none" w:sz="0" w:space="0" w:color="auto"/>
        <w:left w:val="none" w:sz="0" w:space="0" w:color="auto"/>
        <w:bottom w:val="none" w:sz="0" w:space="0" w:color="auto"/>
        <w:right w:val="none" w:sz="0" w:space="0" w:color="auto"/>
      </w:divBdr>
    </w:div>
    <w:div w:id="1377895351">
      <w:bodyDiv w:val="1"/>
      <w:marLeft w:val="0"/>
      <w:marRight w:val="0"/>
      <w:marTop w:val="0"/>
      <w:marBottom w:val="0"/>
      <w:divBdr>
        <w:top w:val="none" w:sz="0" w:space="0" w:color="auto"/>
        <w:left w:val="none" w:sz="0" w:space="0" w:color="auto"/>
        <w:bottom w:val="none" w:sz="0" w:space="0" w:color="auto"/>
        <w:right w:val="none" w:sz="0" w:space="0" w:color="auto"/>
      </w:divBdr>
    </w:div>
    <w:div w:id="1662779672">
      <w:bodyDiv w:val="1"/>
      <w:marLeft w:val="0"/>
      <w:marRight w:val="0"/>
      <w:marTop w:val="0"/>
      <w:marBottom w:val="0"/>
      <w:divBdr>
        <w:top w:val="none" w:sz="0" w:space="0" w:color="auto"/>
        <w:left w:val="none" w:sz="0" w:space="0" w:color="auto"/>
        <w:bottom w:val="none" w:sz="0" w:space="0" w:color="auto"/>
        <w:right w:val="none" w:sz="0" w:space="0" w:color="auto"/>
      </w:divBdr>
    </w:div>
    <w:div w:id="1699895449">
      <w:bodyDiv w:val="1"/>
      <w:marLeft w:val="0"/>
      <w:marRight w:val="0"/>
      <w:marTop w:val="0"/>
      <w:marBottom w:val="0"/>
      <w:divBdr>
        <w:top w:val="none" w:sz="0" w:space="0" w:color="auto"/>
        <w:left w:val="none" w:sz="0" w:space="0" w:color="auto"/>
        <w:bottom w:val="none" w:sz="0" w:space="0" w:color="auto"/>
        <w:right w:val="none" w:sz="0" w:space="0" w:color="auto"/>
      </w:divBdr>
    </w:div>
    <w:div w:id="1823737850">
      <w:bodyDiv w:val="1"/>
      <w:marLeft w:val="0"/>
      <w:marRight w:val="0"/>
      <w:marTop w:val="0"/>
      <w:marBottom w:val="0"/>
      <w:divBdr>
        <w:top w:val="none" w:sz="0" w:space="0" w:color="auto"/>
        <w:left w:val="none" w:sz="0" w:space="0" w:color="auto"/>
        <w:bottom w:val="none" w:sz="0" w:space="0" w:color="auto"/>
        <w:right w:val="none" w:sz="0" w:space="0" w:color="auto"/>
      </w:divBdr>
    </w:div>
    <w:div w:id="1954743838">
      <w:bodyDiv w:val="1"/>
      <w:marLeft w:val="0"/>
      <w:marRight w:val="0"/>
      <w:marTop w:val="0"/>
      <w:marBottom w:val="0"/>
      <w:divBdr>
        <w:top w:val="none" w:sz="0" w:space="0" w:color="auto"/>
        <w:left w:val="none" w:sz="0" w:space="0" w:color="auto"/>
        <w:bottom w:val="none" w:sz="0" w:space="0" w:color="auto"/>
        <w:right w:val="none" w:sz="0" w:space="0" w:color="auto"/>
      </w:divBdr>
    </w:div>
    <w:div w:id="1991520055">
      <w:bodyDiv w:val="1"/>
      <w:marLeft w:val="0"/>
      <w:marRight w:val="0"/>
      <w:marTop w:val="0"/>
      <w:marBottom w:val="0"/>
      <w:divBdr>
        <w:top w:val="none" w:sz="0" w:space="0" w:color="auto"/>
        <w:left w:val="none" w:sz="0" w:space="0" w:color="auto"/>
        <w:bottom w:val="none" w:sz="0" w:space="0" w:color="auto"/>
        <w:right w:val="none" w:sz="0" w:space="0" w:color="auto"/>
      </w:divBdr>
    </w:div>
    <w:div w:id="2074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iqeq.com/fund-prices" TargetMode="Externa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iqeq.com/fund-prices" TargetMode="External" Id="rId17" /><Relationship Type="http://schemas.openxmlformats.org/officeDocument/2006/relationships/footer" Target="footer3.xml" Id="rId16" /><Relationship Type="http://schemas.openxmlformats.org/officeDocument/2006/relationships/hyperlink" Target="https://iqeq.com/fund-prices" TargetMode="Externa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iqeq.com/fund-prices" TargetMode="External" Id="rId19"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ED7B729D-F90D-4E8D-8599-33A9C158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CVV/685914-000003/15441079v45</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DocXRemovePrint">
    <vt:lpwstr>False</vt:lpwstr>
  </op:property>
  <op:property fmtid="{D5CDD505-2E9C-101B-9397-08002B2CF9AE}" pid="6" name="ContentTypeId">
    <vt:lpwstr>0x01010045BAA13681D4BD4996AC2E26586A8A67</vt:lpwstr>
  </op:property>
  <op:property fmtid="{D5CDD505-2E9C-101B-9397-08002B2CF9AE}" pid="7" name="DMSClientNum">
    <vt:lpwstr>027306</vt:lpwstr>
  </op:property>
  <op:property fmtid="{D5CDD505-2E9C-101B-9397-08002B2CF9AE}" pid="8" name="DMSClientName">
    <vt:lpwstr>Davy Funds plc</vt:lpwstr>
  </op:property>
  <op:property fmtid="{D5CDD505-2E9C-101B-9397-08002B2CF9AE}" pid="9" name="DMSMatterNum">
    <vt:lpwstr>027306.0001</vt:lpwstr>
  </op:property>
  <op:property fmtid="{D5CDD505-2E9C-101B-9397-08002B2CF9AE}" pid="10" name="DMSMatterDesc">
    <vt:lpwstr>Legal Matters</vt:lpwstr>
  </op:property>
  <op:property fmtid="{D5CDD505-2E9C-101B-9397-08002B2CF9AE}" pid="11" name="DMSClientMatter">
    <vt:lpwstr>027306/027306.0001</vt:lpwstr>
  </op:property>
  <op:property fmtid="{D5CDD505-2E9C-101B-9397-08002B2CF9AE}" pid="12" name="DMSTypist">
    <vt:lpwstr>ELEANORAM</vt:lpwstr>
  </op:property>
  <op:property fmtid="{D5CDD505-2E9C-101B-9397-08002B2CF9AE}" pid="13" name="DMSOwner">
    <vt:lpwstr>ELEANORAM</vt:lpwstr>
  </op:property>
  <op:property fmtid="{D5CDD505-2E9C-101B-9397-08002B2CF9AE}" pid="14" name="DMSOwnerName">
    <vt:lpwstr>McCormack, Eleanora</vt:lpwstr>
  </op:property>
  <op:property fmtid="{D5CDD505-2E9C-101B-9397-08002B2CF9AE}" pid="15" name="DMSDocNumber">
    <vt:lpwstr>72916338</vt:lpwstr>
  </op:property>
  <op:property fmtid="{D5CDD505-2E9C-101B-9397-08002B2CF9AE}" pid="16" name="DMSOurRef">
    <vt:lpwstr>ELEANORAM/ELEANORAM</vt:lpwstr>
  </op:property>
  <op:property fmtid="{D5CDD505-2E9C-101B-9397-08002B2CF9AE}" pid="17" name="DMSTypistName">
    <vt:lpwstr>McCormack, Eleanora</vt:lpwstr>
  </op:property>
  <op:property fmtid="{D5CDD505-2E9C-101B-9397-08002B2CF9AE}" pid="18" name="iManageFooter">
    <vt:lpwstr>WF-72916338-v2 | 027306.0001</vt:lpwstr>
  </op:property>
  <op:property fmtid="{D5CDD505-2E9C-101B-9397-08002B2CF9AE}" pid="19" name="DMSFooter">
    <vt:lpwstr>WF-72916338-v3</vt:lpwstr>
  </op:property>
  <op:property fmtid="{D5CDD505-2E9C-101B-9397-08002B2CF9AE}" pid="20" name="DMSDocVersion">
    <vt:lpwstr>3</vt:lpwstr>
  </op:property>
</op:Properties>
</file>